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9A4B9" w14:textId="4D8248AA" w:rsidR="002A6FD5" w:rsidRDefault="002A6FD5" w:rsidP="0034083C">
      <w:pPr>
        <w:rPr>
          <w:rFonts w:ascii="Calibri" w:hAnsi="Calibri" w:cs="Times New Roman"/>
          <w:b/>
          <w:bCs/>
          <w:color w:val="000000"/>
          <w:sz w:val="22"/>
          <w:szCs w:val="22"/>
        </w:rPr>
      </w:pPr>
    </w:p>
    <w:tbl>
      <w:tblPr>
        <w:tblStyle w:val="TableGrid"/>
        <w:tblW w:w="8815" w:type="dxa"/>
        <w:tblLook w:val="04A0" w:firstRow="1" w:lastRow="0" w:firstColumn="1" w:lastColumn="0" w:noHBand="0" w:noVBand="1"/>
      </w:tblPr>
      <w:tblGrid>
        <w:gridCol w:w="4407"/>
        <w:gridCol w:w="4408"/>
      </w:tblGrid>
      <w:tr w:rsidR="002A6FD5" w14:paraId="48A12310" w14:textId="77777777" w:rsidTr="00736A7E">
        <w:trPr>
          <w:tblHeader/>
        </w:trPr>
        <w:tc>
          <w:tcPr>
            <w:tcW w:w="4407" w:type="dxa"/>
            <w:shd w:val="clear" w:color="auto" w:fill="E7E6E6" w:themeFill="background2"/>
          </w:tcPr>
          <w:p w14:paraId="735D13B0" w14:textId="1A2A89FC" w:rsidR="002A6FD5" w:rsidRDefault="002A6FD5" w:rsidP="0034083C">
            <w:pPr>
              <w:rPr>
                <w:rFonts w:ascii="Calibri" w:hAnsi="Calibri" w:cs="Times New Roman"/>
                <w:b/>
                <w:bCs/>
                <w:color w:val="000000"/>
                <w:sz w:val="22"/>
                <w:szCs w:val="22"/>
              </w:rPr>
            </w:pPr>
            <w:r>
              <w:rPr>
                <w:rFonts w:ascii="Calibri" w:hAnsi="Calibri" w:cs="Times New Roman"/>
                <w:b/>
                <w:bCs/>
                <w:color w:val="000000"/>
                <w:sz w:val="22"/>
                <w:szCs w:val="22"/>
              </w:rPr>
              <w:t>Board Letter Main Points</w:t>
            </w:r>
          </w:p>
        </w:tc>
        <w:tc>
          <w:tcPr>
            <w:tcW w:w="4408" w:type="dxa"/>
            <w:shd w:val="clear" w:color="auto" w:fill="E7E6E6" w:themeFill="background2"/>
          </w:tcPr>
          <w:p w14:paraId="54C94677" w14:textId="6CFC556C" w:rsidR="002A6FD5" w:rsidRDefault="002A6FD5" w:rsidP="0034083C">
            <w:pPr>
              <w:rPr>
                <w:rFonts w:ascii="Calibri" w:hAnsi="Calibri" w:cs="Times New Roman"/>
                <w:b/>
                <w:bCs/>
                <w:color w:val="000000"/>
                <w:sz w:val="22"/>
                <w:szCs w:val="22"/>
              </w:rPr>
            </w:pPr>
            <w:r>
              <w:rPr>
                <w:rFonts w:ascii="Calibri" w:hAnsi="Calibri" w:cs="Times New Roman"/>
                <w:b/>
                <w:bCs/>
                <w:color w:val="000000"/>
                <w:sz w:val="22"/>
                <w:szCs w:val="22"/>
              </w:rPr>
              <w:t>CCWG Comments / Questions</w:t>
            </w:r>
          </w:p>
        </w:tc>
      </w:tr>
      <w:tr w:rsidR="002A6FD5" w14:paraId="75B7ED2C" w14:textId="77777777" w:rsidTr="002A6FD5">
        <w:tc>
          <w:tcPr>
            <w:tcW w:w="4407" w:type="dxa"/>
          </w:tcPr>
          <w:p w14:paraId="68CB02DD" w14:textId="33BED80C" w:rsidR="002A6FD5" w:rsidRDefault="002A6FD5" w:rsidP="0034083C">
            <w:pPr>
              <w:rPr>
                <w:rFonts w:ascii="Calibri" w:hAnsi="Calibri" w:cs="Times New Roman"/>
                <w:b/>
                <w:bCs/>
                <w:color w:val="000000"/>
                <w:sz w:val="22"/>
                <w:szCs w:val="22"/>
              </w:rPr>
            </w:pPr>
            <w:r w:rsidRPr="0034083C">
              <w:rPr>
                <w:rFonts w:ascii="Calibri" w:hAnsi="Calibri" w:cs="Times New Roman"/>
                <w:color w:val="000000"/>
                <w:sz w:val="22"/>
                <w:szCs w:val="22"/>
              </w:rPr>
              <w:t xml:space="preserve">First, to confirm what I think is already well understood, the Board has chosen Asha </w:t>
            </w:r>
            <w:proofErr w:type="spellStart"/>
            <w:r w:rsidRPr="0034083C">
              <w:rPr>
                <w:rFonts w:ascii="Calibri" w:hAnsi="Calibri" w:cs="Times New Roman"/>
                <w:color w:val="000000"/>
                <w:sz w:val="22"/>
                <w:szCs w:val="22"/>
              </w:rPr>
              <w:t>Hemrajani</w:t>
            </w:r>
            <w:proofErr w:type="spellEnd"/>
            <w:r w:rsidRPr="0034083C">
              <w:rPr>
                <w:rFonts w:ascii="Calibri" w:hAnsi="Calibri" w:cs="Times New Roman"/>
                <w:color w:val="000000"/>
                <w:sz w:val="22"/>
                <w:szCs w:val="22"/>
              </w:rPr>
              <w:t xml:space="preserve"> and Becky Burr as the Board liaisons to the CCWG-AP.  Both are experienced, thoughtful, conscientious and committed to working constructively with the CCWG-AP.  We have set up an internal process to keep the Board informed and to channel any thoughts we have through Asha and Becky.</w:t>
            </w:r>
          </w:p>
        </w:tc>
        <w:tc>
          <w:tcPr>
            <w:tcW w:w="4408" w:type="dxa"/>
          </w:tcPr>
          <w:p w14:paraId="4F39C142" w14:textId="77777777" w:rsidR="002A6FD5" w:rsidRDefault="002A6FD5" w:rsidP="0034083C">
            <w:pPr>
              <w:rPr>
                <w:rFonts w:ascii="Calibri" w:hAnsi="Calibri" w:cs="Times New Roman"/>
                <w:b/>
                <w:bCs/>
                <w:color w:val="000000"/>
                <w:sz w:val="22"/>
                <w:szCs w:val="22"/>
              </w:rPr>
            </w:pPr>
          </w:p>
        </w:tc>
      </w:tr>
      <w:tr w:rsidR="002A6FD5" w14:paraId="14066B3C" w14:textId="77777777" w:rsidTr="002A6FD5">
        <w:tc>
          <w:tcPr>
            <w:tcW w:w="4407" w:type="dxa"/>
          </w:tcPr>
          <w:p w14:paraId="2C1295EA" w14:textId="38B03E51" w:rsidR="002A6FD5" w:rsidRDefault="002A6FD5" w:rsidP="002A6FD5">
            <w:pPr>
              <w:rPr>
                <w:rFonts w:ascii="Calibri" w:hAnsi="Calibri" w:cs="Times New Roman"/>
                <w:b/>
                <w:bCs/>
                <w:color w:val="000000"/>
                <w:sz w:val="22"/>
                <w:szCs w:val="22"/>
              </w:rPr>
            </w:pPr>
            <w:r w:rsidRPr="0034083C">
              <w:rPr>
                <w:rFonts w:ascii="Calibri" w:hAnsi="Calibri" w:cs="Times New Roman"/>
                <w:color w:val="000000"/>
                <w:sz w:val="22"/>
                <w:szCs w:val="22"/>
              </w:rPr>
              <w:t>Second, although I think it’s been mentioned more than once already, we mention again this process presents important legal and fiduciary constraints in relation to ICANN’s 501(c)3 status and the fiduciary responsibility of the ICANN Board of Directors and Officers. It is important that all those participating in this effort are well-aware of these limitations and I encourage careful review of the </w:t>
            </w:r>
            <w:hyperlink r:id="rId5" w:history="1">
              <w:r w:rsidRPr="002A6FD5">
                <w:rPr>
                  <w:rStyle w:val="Hyperlink"/>
                  <w:rFonts w:ascii="Calibri" w:hAnsi="Calibri" w:cs="Times New Roman"/>
                  <w:sz w:val="22"/>
                  <w:szCs w:val="22"/>
                </w:rPr>
                <w:t>Legal and Fiduciary note</w:t>
              </w:r>
            </w:hyperlink>
            <w:r w:rsidRPr="0034083C">
              <w:rPr>
                <w:rFonts w:ascii="Calibri" w:hAnsi="Calibri" w:cs="Times New Roman"/>
                <w:color w:val="000000"/>
                <w:sz w:val="22"/>
                <w:szCs w:val="22"/>
              </w:rPr>
              <w:t xml:space="preserve"> that was submitted to the Drafting Team by the ICANN legal and finance teams as well as any ongoing notes/recommendations that ICANN staff may provide to the CCWG in the course of the CCWG’s work.</w:t>
            </w:r>
          </w:p>
        </w:tc>
        <w:tc>
          <w:tcPr>
            <w:tcW w:w="4408" w:type="dxa"/>
          </w:tcPr>
          <w:p w14:paraId="600DFF42" w14:textId="77777777" w:rsidR="002A6FD5" w:rsidRDefault="002A6FD5" w:rsidP="0034083C">
            <w:pPr>
              <w:rPr>
                <w:rFonts w:ascii="Calibri" w:hAnsi="Calibri" w:cs="Times New Roman"/>
                <w:b/>
                <w:bCs/>
                <w:color w:val="000000"/>
                <w:sz w:val="22"/>
                <w:szCs w:val="22"/>
              </w:rPr>
            </w:pPr>
          </w:p>
        </w:tc>
      </w:tr>
      <w:tr w:rsidR="002A6FD5" w14:paraId="18A2F3DF" w14:textId="77777777" w:rsidTr="002A6FD5">
        <w:tc>
          <w:tcPr>
            <w:tcW w:w="4407" w:type="dxa"/>
          </w:tcPr>
          <w:p w14:paraId="554C919F" w14:textId="7662B949" w:rsidR="002A6FD5" w:rsidRPr="002A6FD5" w:rsidRDefault="002A6FD5" w:rsidP="0034083C">
            <w:pPr>
              <w:rPr>
                <w:rFonts w:ascii="Calibri" w:hAnsi="Calibri" w:cs="Times New Roman"/>
                <w:color w:val="000000"/>
              </w:rPr>
            </w:pPr>
            <w:r w:rsidRPr="0034083C">
              <w:rPr>
                <w:rFonts w:ascii="Calibri" w:hAnsi="Calibri" w:cs="Times New Roman"/>
                <w:color w:val="000000"/>
                <w:sz w:val="22"/>
                <w:szCs w:val="22"/>
              </w:rPr>
              <w:t>Third, with respect to the cost of operation of the CCWG-AP, we emphasize the importance of the following items in supporting a successful, responsible, and productive process for all involved:</w:t>
            </w:r>
          </w:p>
        </w:tc>
        <w:tc>
          <w:tcPr>
            <w:tcW w:w="4408" w:type="dxa"/>
          </w:tcPr>
          <w:p w14:paraId="757B5CC5" w14:textId="77777777" w:rsidR="002A6FD5" w:rsidRDefault="002A6FD5" w:rsidP="0034083C">
            <w:pPr>
              <w:rPr>
                <w:rFonts w:ascii="Calibri" w:hAnsi="Calibri" w:cs="Times New Roman"/>
                <w:b/>
                <w:bCs/>
                <w:color w:val="000000"/>
                <w:sz w:val="22"/>
                <w:szCs w:val="22"/>
              </w:rPr>
            </w:pPr>
          </w:p>
        </w:tc>
      </w:tr>
      <w:tr w:rsidR="002A6FD5" w14:paraId="6A3C0C03" w14:textId="77777777" w:rsidTr="002A6FD5">
        <w:tc>
          <w:tcPr>
            <w:tcW w:w="4407" w:type="dxa"/>
          </w:tcPr>
          <w:p w14:paraId="3E7260B1" w14:textId="600F569C" w:rsidR="002A6FD5" w:rsidRPr="00736A7E" w:rsidRDefault="00736A7E" w:rsidP="0034083C">
            <w:pPr>
              <w:numPr>
                <w:ilvl w:val="0"/>
                <w:numId w:val="1"/>
              </w:numPr>
              <w:rPr>
                <w:rFonts w:ascii="Calibri" w:eastAsia="Times New Roman" w:hAnsi="Calibri" w:cs="Times New Roman"/>
                <w:color w:val="000000"/>
              </w:rPr>
            </w:pPr>
            <w:r w:rsidRPr="0034083C">
              <w:rPr>
                <w:rFonts w:ascii="Calibri" w:eastAsia="Times New Roman" w:hAnsi="Calibri" w:cs="Times New Roman"/>
                <w:color w:val="000000"/>
                <w:sz w:val="22"/>
                <w:szCs w:val="22"/>
              </w:rPr>
              <w:t xml:space="preserve">The CCWG </w:t>
            </w:r>
            <w:proofErr w:type="gramStart"/>
            <w:r w:rsidRPr="0034083C">
              <w:rPr>
                <w:rFonts w:ascii="Calibri" w:eastAsia="Times New Roman" w:hAnsi="Calibri" w:cs="Times New Roman"/>
                <w:color w:val="000000"/>
                <w:sz w:val="22"/>
                <w:szCs w:val="22"/>
              </w:rPr>
              <w:t>has to</w:t>
            </w:r>
            <w:proofErr w:type="gramEnd"/>
            <w:r w:rsidRPr="0034083C">
              <w:rPr>
                <w:rFonts w:ascii="Calibri" w:eastAsia="Times New Roman" w:hAnsi="Calibri" w:cs="Times New Roman"/>
                <w:color w:val="000000"/>
                <w:sz w:val="22"/>
                <w:szCs w:val="22"/>
              </w:rPr>
              <w:t xml:space="preserve"> be run as a project with proper budget and schedule.  This should be based on a plan for the working group.</w:t>
            </w:r>
          </w:p>
        </w:tc>
        <w:tc>
          <w:tcPr>
            <w:tcW w:w="4408" w:type="dxa"/>
          </w:tcPr>
          <w:p w14:paraId="44F4465C" w14:textId="77777777" w:rsidR="002A6FD5" w:rsidRDefault="002A6FD5" w:rsidP="0034083C">
            <w:pPr>
              <w:rPr>
                <w:rFonts w:ascii="Calibri" w:hAnsi="Calibri" w:cs="Times New Roman"/>
                <w:b/>
                <w:bCs/>
                <w:color w:val="000000"/>
                <w:sz w:val="22"/>
                <w:szCs w:val="22"/>
              </w:rPr>
            </w:pPr>
          </w:p>
        </w:tc>
      </w:tr>
      <w:tr w:rsidR="002A6FD5" w14:paraId="4E30FBB7" w14:textId="77777777" w:rsidTr="002A6FD5">
        <w:tc>
          <w:tcPr>
            <w:tcW w:w="4407" w:type="dxa"/>
          </w:tcPr>
          <w:p w14:paraId="1CA5D211" w14:textId="6553EC8A" w:rsidR="002A6FD5" w:rsidRPr="00736A7E" w:rsidRDefault="00736A7E" w:rsidP="0034083C">
            <w:pPr>
              <w:numPr>
                <w:ilvl w:val="0"/>
                <w:numId w:val="2"/>
              </w:numPr>
              <w:rPr>
                <w:rFonts w:ascii="Calibri" w:eastAsia="Times New Roman" w:hAnsi="Calibri" w:cs="Times New Roman"/>
                <w:color w:val="000000"/>
              </w:rPr>
            </w:pPr>
            <w:r w:rsidRPr="0034083C">
              <w:rPr>
                <w:rFonts w:ascii="Calibri" w:eastAsia="Times New Roman" w:hAnsi="Calibri" w:cs="Times New Roman"/>
                <w:color w:val="000000"/>
                <w:sz w:val="22"/>
                <w:szCs w:val="22"/>
              </w:rPr>
              <w:t>The auction proceeds remain curtained off until the next phase, i.e. an approved plan for distribution of the proceeds.  The CCWG-AP is funded out of the ongoing budget.</w:t>
            </w:r>
          </w:p>
        </w:tc>
        <w:tc>
          <w:tcPr>
            <w:tcW w:w="4408" w:type="dxa"/>
          </w:tcPr>
          <w:p w14:paraId="20789D23" w14:textId="77C42846" w:rsidR="002A6FD5" w:rsidRPr="00CF30F7" w:rsidRDefault="00CF30F7" w:rsidP="0034083C">
            <w:pPr>
              <w:rPr>
                <w:rFonts w:ascii="Times New Roman" w:eastAsia="Times New Roman" w:hAnsi="Times New Roman" w:cs="Times New Roman"/>
              </w:rPr>
            </w:pPr>
            <w:r w:rsidRPr="00CF30F7">
              <w:rPr>
                <w:rFonts w:ascii="Calibri" w:hAnsi="Calibri" w:cs="Times New Roman"/>
                <w:bCs/>
                <w:color w:val="000000"/>
                <w:sz w:val="22"/>
                <w:szCs w:val="22"/>
              </w:rPr>
              <w:t>From Sylvia</w:t>
            </w:r>
            <w:r>
              <w:rPr>
                <w:rFonts w:ascii="Calibri" w:hAnsi="Calibri" w:cs="Times New Roman"/>
                <w:b/>
                <w:bCs/>
                <w:color w:val="000000"/>
                <w:sz w:val="22"/>
                <w:szCs w:val="22"/>
              </w:rPr>
              <w:t xml:space="preserve">: </w:t>
            </w:r>
            <w:r w:rsidRPr="00CF30F7">
              <w:rPr>
                <w:rFonts w:ascii="Calibri" w:eastAsia="Times New Roman" w:hAnsi="Calibri" w:cs="Times New Roman"/>
                <w:color w:val="000000"/>
                <w:sz w:val="23"/>
                <w:szCs w:val="23"/>
                <w:shd w:val="clear" w:color="auto" w:fill="FFFFFF"/>
              </w:rPr>
              <w:t xml:space="preserve">ICANN staff and our CCWG chairs have indicated that there is no budget associated to the CCWG activities, for meetings or external advice. However, an advisor has been hired and the 2 items above mentioned make it clear that there is in fact a budget allocation, and as such it is appropriate to have a plan. Can you please clarify what activities might be covered under this? That will help the group to come up with ideas and support the development of a working plan. Will the development of </w:t>
            </w:r>
            <w:r w:rsidRPr="00CF30F7">
              <w:rPr>
                <w:rFonts w:ascii="Calibri" w:eastAsia="Times New Roman" w:hAnsi="Calibri" w:cs="Times New Roman"/>
                <w:color w:val="000000"/>
                <w:sz w:val="23"/>
                <w:szCs w:val="23"/>
                <w:shd w:val="clear" w:color="auto" w:fill="FFFFFF"/>
              </w:rPr>
              <w:lastRenderedPageBreak/>
              <w:t xml:space="preserve">the working plan be </w:t>
            </w:r>
            <w:proofErr w:type="spellStart"/>
            <w:r w:rsidRPr="00CF30F7">
              <w:rPr>
                <w:rFonts w:ascii="Calibri" w:eastAsia="Times New Roman" w:hAnsi="Calibri" w:cs="Times New Roman"/>
                <w:color w:val="000000"/>
                <w:sz w:val="23"/>
                <w:szCs w:val="23"/>
                <w:shd w:val="clear" w:color="auto" w:fill="FFFFFF"/>
              </w:rPr>
              <w:t>lead</w:t>
            </w:r>
            <w:proofErr w:type="spellEnd"/>
            <w:r w:rsidRPr="00CF30F7">
              <w:rPr>
                <w:rFonts w:ascii="Calibri" w:eastAsia="Times New Roman" w:hAnsi="Calibri" w:cs="Times New Roman"/>
                <w:color w:val="000000"/>
                <w:sz w:val="23"/>
                <w:szCs w:val="23"/>
                <w:shd w:val="clear" w:color="auto" w:fill="FFFFFF"/>
              </w:rPr>
              <w:t xml:space="preserve"> by the co-chairs? Or how that plan is supposed to be organized?</w:t>
            </w:r>
          </w:p>
        </w:tc>
      </w:tr>
      <w:tr w:rsidR="002A6FD5" w14:paraId="0DD99CFB" w14:textId="77777777" w:rsidTr="002A6FD5">
        <w:tc>
          <w:tcPr>
            <w:tcW w:w="4407" w:type="dxa"/>
          </w:tcPr>
          <w:p w14:paraId="23AD52B6" w14:textId="27260881" w:rsidR="00736A7E" w:rsidRPr="0034083C" w:rsidRDefault="00736A7E" w:rsidP="00736A7E">
            <w:pPr>
              <w:numPr>
                <w:ilvl w:val="0"/>
                <w:numId w:val="3"/>
              </w:numPr>
              <w:rPr>
                <w:rFonts w:ascii="Calibri" w:eastAsia="Times New Roman" w:hAnsi="Calibri" w:cs="Times New Roman"/>
                <w:color w:val="000000"/>
              </w:rPr>
            </w:pPr>
            <w:r w:rsidRPr="0034083C">
              <w:rPr>
                <w:rFonts w:ascii="Calibri" w:eastAsia="Times New Roman" w:hAnsi="Calibri" w:cs="Times New Roman"/>
                <w:color w:val="000000"/>
                <w:sz w:val="22"/>
                <w:szCs w:val="22"/>
              </w:rPr>
              <w:lastRenderedPageBreak/>
              <w:t>Once a system is set up for distribution, the cost of administering the distribution of the funds will naturally come out of the auction proceeds.  As a point of departure, the nominal goal for the overhead is no more than 5%.  However, rather than focusing on a specific figure first, the output of the CCWG-AP should include in its proposal the mechanism and/or process for:</w:t>
            </w:r>
          </w:p>
          <w:p w14:paraId="4B4AD281" w14:textId="77777777" w:rsidR="00736A7E" w:rsidRPr="0034083C" w:rsidRDefault="00736A7E" w:rsidP="00736A7E">
            <w:pPr>
              <w:numPr>
                <w:ilvl w:val="0"/>
                <w:numId w:val="4"/>
              </w:numPr>
              <w:rPr>
                <w:rFonts w:ascii="Calibri" w:eastAsia="Times New Roman" w:hAnsi="Calibri" w:cs="Times New Roman"/>
                <w:color w:val="000000"/>
              </w:rPr>
            </w:pPr>
            <w:r w:rsidRPr="0034083C">
              <w:rPr>
                <w:rFonts w:ascii="Calibri" w:eastAsia="Times New Roman" w:hAnsi="Calibri" w:cs="Times New Roman"/>
                <w:color w:val="000000"/>
                <w:sz w:val="22"/>
                <w:szCs w:val="22"/>
              </w:rPr>
              <w:t>receiving, selecting and distributing the funds;</w:t>
            </w:r>
          </w:p>
          <w:p w14:paraId="107A7628" w14:textId="77777777" w:rsidR="00736A7E" w:rsidRPr="0034083C" w:rsidRDefault="00736A7E" w:rsidP="00736A7E">
            <w:pPr>
              <w:numPr>
                <w:ilvl w:val="0"/>
                <w:numId w:val="4"/>
              </w:numPr>
              <w:rPr>
                <w:rFonts w:ascii="Calibri" w:eastAsia="Times New Roman" w:hAnsi="Calibri" w:cs="Times New Roman"/>
                <w:color w:val="000000"/>
              </w:rPr>
            </w:pPr>
            <w:r w:rsidRPr="0034083C">
              <w:rPr>
                <w:rFonts w:ascii="Calibri" w:eastAsia="Times New Roman" w:hAnsi="Calibri" w:cs="Times New Roman"/>
                <w:color w:val="000000"/>
                <w:sz w:val="22"/>
                <w:szCs w:val="22"/>
              </w:rPr>
              <w:t>overseeing the funded projects;</w:t>
            </w:r>
          </w:p>
          <w:p w14:paraId="48357791" w14:textId="30D1F9D6" w:rsidR="002A6FD5" w:rsidRPr="00736A7E" w:rsidRDefault="00736A7E" w:rsidP="00736A7E">
            <w:pPr>
              <w:numPr>
                <w:ilvl w:val="0"/>
                <w:numId w:val="4"/>
              </w:numPr>
              <w:rPr>
                <w:rFonts w:ascii="Calibri" w:eastAsia="Times New Roman" w:hAnsi="Calibri" w:cs="Times New Roman"/>
                <w:color w:val="000000"/>
              </w:rPr>
            </w:pPr>
            <w:r w:rsidRPr="0034083C">
              <w:rPr>
                <w:rFonts w:ascii="Calibri" w:eastAsia="Times New Roman" w:hAnsi="Calibri" w:cs="Times New Roman"/>
                <w:color w:val="000000"/>
                <w:sz w:val="22"/>
                <w:szCs w:val="22"/>
              </w:rPr>
              <w:t xml:space="preserve">properly reporting on the expenditures and projects </w:t>
            </w:r>
            <w:proofErr w:type="gramStart"/>
            <w:r w:rsidRPr="0034083C">
              <w:rPr>
                <w:rFonts w:ascii="Calibri" w:eastAsia="Times New Roman" w:hAnsi="Calibri" w:cs="Times New Roman"/>
                <w:color w:val="000000"/>
                <w:sz w:val="22"/>
                <w:szCs w:val="22"/>
              </w:rPr>
              <w:t>in order to</w:t>
            </w:r>
            <w:proofErr w:type="gramEnd"/>
            <w:r w:rsidRPr="0034083C">
              <w:rPr>
                <w:rFonts w:ascii="Calibri" w:eastAsia="Times New Roman" w:hAnsi="Calibri" w:cs="Times New Roman"/>
                <w:color w:val="000000"/>
                <w:sz w:val="22"/>
                <w:szCs w:val="22"/>
              </w:rPr>
              <w:t xml:space="preserve"> meet the community’s requirements for transparency and accountability.</w:t>
            </w:r>
          </w:p>
        </w:tc>
        <w:tc>
          <w:tcPr>
            <w:tcW w:w="4408" w:type="dxa"/>
          </w:tcPr>
          <w:p w14:paraId="33F72F2A" w14:textId="7A5B04CD" w:rsidR="004B0C09" w:rsidRPr="004B0C09" w:rsidRDefault="004B0C09" w:rsidP="004B0C09">
            <w:pPr>
              <w:rPr>
                <w:rFonts w:ascii="Times New Roman" w:eastAsia="Times New Roman" w:hAnsi="Times New Roman" w:cs="Times New Roman"/>
              </w:rPr>
            </w:pPr>
            <w:r>
              <w:rPr>
                <w:rFonts w:eastAsia="Times New Roman" w:cs="Times New Roman"/>
                <w:color w:val="000000"/>
                <w:sz w:val="22"/>
                <w:szCs w:val="22"/>
              </w:rPr>
              <w:t xml:space="preserve">From </w:t>
            </w:r>
            <w:proofErr w:type="spellStart"/>
            <w:r w:rsidRPr="004B0C09">
              <w:rPr>
                <w:rFonts w:eastAsia="Times New Roman" w:cs="Times New Roman"/>
                <w:color w:val="000000"/>
                <w:sz w:val="22"/>
                <w:szCs w:val="22"/>
              </w:rPr>
              <w:t>Seun</w:t>
            </w:r>
            <w:proofErr w:type="spellEnd"/>
            <w:r w:rsidRPr="004B0C09">
              <w:rPr>
                <w:rFonts w:eastAsia="Times New Roman" w:cs="Times New Roman"/>
                <w:color w:val="000000"/>
                <w:sz w:val="22"/>
                <w:szCs w:val="22"/>
              </w:rPr>
              <w:t>: Regarding “"As a point of departure, the nominal goal for the overhead is no more than 5%."</w:t>
            </w:r>
            <w:r>
              <w:rPr>
                <w:rFonts w:ascii="Times New Roman" w:eastAsia="Times New Roman" w:hAnsi="Times New Roman" w:cs="Times New Roman"/>
              </w:rPr>
              <w:t xml:space="preserve"> </w:t>
            </w:r>
            <w:r w:rsidRPr="004B0C09">
              <w:rPr>
                <w:rFonts w:eastAsia="Times New Roman" w:cs="Times New Roman"/>
                <w:color w:val="000000"/>
                <w:sz w:val="22"/>
                <w:szCs w:val="22"/>
              </w:rPr>
              <w:t xml:space="preserve">Does that gives some direction/expectations on what the cost of administering the "AP" should try not to exceed? If </w:t>
            </w:r>
            <w:proofErr w:type="gramStart"/>
            <w:r w:rsidRPr="004B0C09">
              <w:rPr>
                <w:rFonts w:eastAsia="Times New Roman" w:cs="Times New Roman"/>
                <w:color w:val="000000"/>
                <w:sz w:val="22"/>
                <w:szCs w:val="22"/>
              </w:rPr>
              <w:t>yes</w:t>
            </w:r>
            <w:proofErr w:type="gramEnd"/>
            <w:r w:rsidRPr="004B0C09">
              <w:rPr>
                <w:rFonts w:eastAsia="Times New Roman" w:cs="Times New Roman"/>
                <w:color w:val="000000"/>
                <w:sz w:val="22"/>
                <w:szCs w:val="22"/>
              </w:rPr>
              <w:t xml:space="preserve"> I think it's a good one as I am a fan of judicious </w:t>
            </w:r>
            <w:proofErr w:type="spellStart"/>
            <w:r w:rsidRPr="004B0C09">
              <w:rPr>
                <w:rFonts w:eastAsia="Times New Roman" w:cs="Times New Roman"/>
                <w:color w:val="000000"/>
                <w:sz w:val="22"/>
                <w:szCs w:val="22"/>
              </w:rPr>
              <w:t>utilisation</w:t>
            </w:r>
            <w:proofErr w:type="spellEnd"/>
            <w:r w:rsidRPr="004B0C09">
              <w:rPr>
                <w:rFonts w:eastAsia="Times New Roman" w:cs="Times New Roman"/>
                <w:color w:val="000000"/>
                <w:sz w:val="22"/>
                <w:szCs w:val="22"/>
              </w:rPr>
              <w:t xml:space="preserve"> of the funds towards the actual projects as much as possible (or if no, I then think it will be good to have such mindset). It's something to take note as we develop the various mechanisms/processes required. </w:t>
            </w:r>
          </w:p>
          <w:p w14:paraId="3CE4205F" w14:textId="77777777" w:rsidR="00B01A71" w:rsidRDefault="00B01A71" w:rsidP="0034083C">
            <w:pPr>
              <w:rPr>
                <w:rFonts w:ascii="Calibri" w:hAnsi="Calibri" w:cs="Times New Roman"/>
                <w:bCs/>
                <w:color w:val="000000"/>
                <w:sz w:val="22"/>
                <w:szCs w:val="22"/>
              </w:rPr>
            </w:pPr>
          </w:p>
          <w:p w14:paraId="2298AAFB" w14:textId="77777777" w:rsidR="002A6FD5" w:rsidRDefault="00CF30F7" w:rsidP="0034083C">
            <w:pPr>
              <w:rPr>
                <w:rFonts w:ascii="Times New Roman" w:eastAsia="Times New Roman" w:hAnsi="Times New Roman" w:cs="Times New Roman"/>
                <w:sz w:val="22"/>
                <w:szCs w:val="22"/>
              </w:rPr>
            </w:pPr>
            <w:r w:rsidRPr="00CF30F7">
              <w:rPr>
                <w:rFonts w:ascii="Calibri" w:hAnsi="Calibri" w:cs="Times New Roman"/>
                <w:bCs/>
                <w:color w:val="000000"/>
                <w:sz w:val="22"/>
                <w:szCs w:val="22"/>
              </w:rPr>
              <w:t>From Sylvia:</w:t>
            </w:r>
            <w:r w:rsidRPr="00CF30F7">
              <w:rPr>
                <w:rFonts w:ascii="Calibri" w:hAnsi="Calibri" w:cs="Times New Roman"/>
                <w:b/>
                <w:bCs/>
                <w:color w:val="000000"/>
                <w:sz w:val="22"/>
                <w:szCs w:val="22"/>
              </w:rPr>
              <w:t xml:space="preserve"> </w:t>
            </w:r>
            <w:r w:rsidRPr="00CF30F7">
              <w:rPr>
                <w:rFonts w:ascii="Calibri" w:eastAsia="Times New Roman" w:hAnsi="Calibri" w:cs="Times New Roman"/>
                <w:color w:val="000000"/>
                <w:sz w:val="22"/>
                <w:szCs w:val="22"/>
                <w:shd w:val="clear" w:color="auto" w:fill="FFFFFF"/>
              </w:rPr>
              <w:t>Although having a low percentage for management seems like a great idea, that was in fact one of the questions tasked to the CCWG to work on. What is a reasonable overhead or administration costs percentage. As that entirely depends on what kind of mechanism is in place, and what reporting mechanisms and monitoring tools are in place, I think it is very premature to call on a specific number at this stage.</w:t>
            </w:r>
          </w:p>
          <w:p w14:paraId="4638D895" w14:textId="05AF9B44" w:rsidR="00B01A71" w:rsidRPr="00CF30F7" w:rsidRDefault="00B01A71" w:rsidP="0034083C">
            <w:pPr>
              <w:rPr>
                <w:rFonts w:ascii="Times New Roman" w:eastAsia="Times New Roman" w:hAnsi="Times New Roman" w:cs="Times New Roman"/>
                <w:sz w:val="22"/>
                <w:szCs w:val="22"/>
              </w:rPr>
            </w:pPr>
            <w:r w:rsidRPr="00B01A71">
              <w:rPr>
                <w:rFonts w:ascii="Calibri" w:eastAsia="Times New Roman" w:hAnsi="Calibri" w:cs="Times New Roman"/>
                <w:color w:val="000000"/>
                <w:sz w:val="22"/>
                <w:szCs w:val="22"/>
                <w:shd w:val="clear" w:color="auto" w:fill="FFFFFF"/>
              </w:rPr>
              <w:t xml:space="preserve">The 3 main activities listed above are clearly steering the conversation towards a grant mechanism, which might be one of many financial mechanisms that are available to make use of the funds without jeopardizing the </w:t>
            </w:r>
            <w:proofErr w:type="gramStart"/>
            <w:r w:rsidRPr="00B01A71">
              <w:rPr>
                <w:rFonts w:ascii="Calibri" w:eastAsia="Times New Roman" w:hAnsi="Calibri" w:cs="Times New Roman"/>
                <w:color w:val="000000"/>
                <w:sz w:val="22"/>
                <w:szCs w:val="22"/>
                <w:shd w:val="clear" w:color="auto" w:fill="FFFFFF"/>
              </w:rPr>
              <w:t>tax exempt</w:t>
            </w:r>
            <w:proofErr w:type="gramEnd"/>
            <w:r w:rsidRPr="00B01A71">
              <w:rPr>
                <w:rFonts w:ascii="Calibri" w:eastAsia="Times New Roman" w:hAnsi="Calibri" w:cs="Times New Roman"/>
                <w:color w:val="000000"/>
                <w:sz w:val="22"/>
                <w:szCs w:val="22"/>
                <w:shd w:val="clear" w:color="auto" w:fill="FFFFFF"/>
              </w:rPr>
              <w:t xml:space="preserve"> status. These was, once again, one of the questions for the CCWG to deliberate, based on some expert input around financial mechanisms available. For each of those, there will be different requirements and considerations so it is important not to get set on </w:t>
            </w:r>
            <w:proofErr w:type="gramStart"/>
            <w:r w:rsidRPr="00B01A71">
              <w:rPr>
                <w:rFonts w:ascii="Calibri" w:eastAsia="Times New Roman" w:hAnsi="Calibri" w:cs="Times New Roman"/>
                <w:color w:val="000000"/>
                <w:sz w:val="22"/>
                <w:szCs w:val="22"/>
                <w:shd w:val="clear" w:color="auto" w:fill="FFFFFF"/>
              </w:rPr>
              <w:t>a grants</w:t>
            </w:r>
            <w:proofErr w:type="gramEnd"/>
            <w:r w:rsidRPr="00B01A71">
              <w:rPr>
                <w:rFonts w:ascii="Calibri" w:eastAsia="Times New Roman" w:hAnsi="Calibri" w:cs="Times New Roman"/>
                <w:color w:val="000000"/>
                <w:sz w:val="22"/>
                <w:szCs w:val="22"/>
                <w:shd w:val="clear" w:color="auto" w:fill="FFFFFF"/>
              </w:rPr>
              <w:t xml:space="preserve"> for project support as the mechanism of choice, as there might be other mechanisms to explore.</w:t>
            </w:r>
          </w:p>
        </w:tc>
      </w:tr>
      <w:tr w:rsidR="002A6FD5" w14:paraId="04B9A131" w14:textId="77777777" w:rsidTr="002A6FD5">
        <w:tc>
          <w:tcPr>
            <w:tcW w:w="4407" w:type="dxa"/>
          </w:tcPr>
          <w:p w14:paraId="7067FC48" w14:textId="0D9986F2" w:rsidR="002A6FD5" w:rsidRPr="00736A7E" w:rsidRDefault="00736A7E" w:rsidP="0034083C">
            <w:pPr>
              <w:rPr>
                <w:rFonts w:ascii="Calibri" w:hAnsi="Calibri" w:cs="Times New Roman"/>
                <w:color w:val="000000"/>
              </w:rPr>
            </w:pPr>
            <w:r w:rsidRPr="0034083C">
              <w:rPr>
                <w:rFonts w:ascii="Calibri" w:hAnsi="Calibri" w:cs="Times New Roman"/>
                <w:color w:val="000000"/>
                <w:sz w:val="22"/>
                <w:szCs w:val="22"/>
              </w:rPr>
              <w:t>Fourth, the CCWG-AP must cast a wide net, not limited to just the existing SO and AC structures.</w:t>
            </w:r>
          </w:p>
        </w:tc>
        <w:tc>
          <w:tcPr>
            <w:tcW w:w="4408" w:type="dxa"/>
          </w:tcPr>
          <w:p w14:paraId="604651B6" w14:textId="2CECDEFE" w:rsidR="002A6FD5" w:rsidRPr="00B01A71" w:rsidRDefault="00B01A71" w:rsidP="0034083C">
            <w:pPr>
              <w:rPr>
                <w:rFonts w:ascii="Times New Roman" w:eastAsia="Times New Roman" w:hAnsi="Times New Roman" w:cs="Times New Roman"/>
                <w:sz w:val="22"/>
                <w:szCs w:val="22"/>
              </w:rPr>
            </w:pPr>
            <w:r w:rsidRPr="00B01A71">
              <w:rPr>
                <w:rFonts w:ascii="Calibri" w:hAnsi="Calibri" w:cs="Times New Roman"/>
                <w:bCs/>
                <w:color w:val="000000"/>
                <w:sz w:val="22"/>
                <w:szCs w:val="22"/>
              </w:rPr>
              <w:t>From Sylvia:</w:t>
            </w:r>
            <w:r w:rsidRPr="00B01A71">
              <w:rPr>
                <w:rFonts w:ascii="Calibri" w:hAnsi="Calibri" w:cs="Times New Roman"/>
                <w:b/>
                <w:bCs/>
                <w:color w:val="000000"/>
                <w:sz w:val="22"/>
                <w:szCs w:val="22"/>
              </w:rPr>
              <w:t xml:space="preserve"> </w:t>
            </w:r>
            <w:r w:rsidRPr="00B01A71">
              <w:rPr>
                <w:rFonts w:ascii="Calibri" w:eastAsia="Times New Roman" w:hAnsi="Calibri" w:cs="Times New Roman"/>
                <w:color w:val="000000"/>
                <w:sz w:val="22"/>
                <w:szCs w:val="22"/>
                <w:shd w:val="clear" w:color="auto" w:fill="FFFFFF"/>
              </w:rPr>
              <w:t>My understanding is that this refers to the participants and observers of the group, which are a considerable number.</w:t>
            </w:r>
          </w:p>
        </w:tc>
      </w:tr>
      <w:tr w:rsidR="002A6FD5" w14:paraId="0857FB23" w14:textId="77777777" w:rsidTr="002A6FD5">
        <w:tc>
          <w:tcPr>
            <w:tcW w:w="4407" w:type="dxa"/>
          </w:tcPr>
          <w:p w14:paraId="606981C2" w14:textId="68B0855E" w:rsidR="002A6FD5" w:rsidRPr="00736A7E" w:rsidRDefault="00736A7E" w:rsidP="0034083C">
            <w:pPr>
              <w:rPr>
                <w:rFonts w:ascii="Calibri" w:hAnsi="Calibri" w:cs="Times New Roman"/>
                <w:color w:val="000000"/>
              </w:rPr>
            </w:pPr>
            <w:r w:rsidRPr="0034083C">
              <w:rPr>
                <w:rFonts w:ascii="Calibri" w:hAnsi="Calibri" w:cs="Times New Roman"/>
                <w:color w:val="000000"/>
                <w:sz w:val="22"/>
                <w:szCs w:val="22"/>
              </w:rPr>
              <w:t>Fifth, the focus should be on gene</w:t>
            </w:r>
            <w:r>
              <w:rPr>
                <w:rFonts w:ascii="Calibri" w:hAnsi="Calibri" w:cs="Times New Roman"/>
                <w:color w:val="000000"/>
                <w:sz w:val="22"/>
                <w:szCs w:val="22"/>
              </w:rPr>
              <w:t xml:space="preserve">ral principles and objectives. </w:t>
            </w:r>
            <w:r w:rsidRPr="0034083C">
              <w:rPr>
                <w:rFonts w:ascii="Calibri" w:hAnsi="Calibri" w:cs="Times New Roman"/>
                <w:color w:val="000000"/>
                <w:sz w:val="22"/>
                <w:szCs w:val="22"/>
              </w:rPr>
              <w:t>Choices of specific projects will be made in the next phase.</w:t>
            </w:r>
          </w:p>
        </w:tc>
        <w:tc>
          <w:tcPr>
            <w:tcW w:w="4408" w:type="dxa"/>
          </w:tcPr>
          <w:p w14:paraId="4AA3C8B7" w14:textId="723B5792" w:rsidR="002A6FD5" w:rsidRPr="00B01A71" w:rsidRDefault="00B01A71" w:rsidP="0034083C">
            <w:pPr>
              <w:rPr>
                <w:rFonts w:ascii="Times New Roman" w:eastAsia="Times New Roman" w:hAnsi="Times New Roman" w:cs="Times New Roman"/>
                <w:sz w:val="22"/>
                <w:szCs w:val="22"/>
              </w:rPr>
            </w:pPr>
            <w:r w:rsidRPr="00B01A71">
              <w:rPr>
                <w:rFonts w:ascii="Calibri" w:hAnsi="Calibri" w:cs="Times New Roman"/>
                <w:bCs/>
                <w:color w:val="000000"/>
                <w:sz w:val="22"/>
                <w:szCs w:val="22"/>
              </w:rPr>
              <w:t>From Sylvia</w:t>
            </w:r>
            <w:r w:rsidRPr="00B01A71">
              <w:rPr>
                <w:rFonts w:ascii="Calibri" w:hAnsi="Calibri" w:cs="Times New Roman"/>
                <w:b/>
                <w:bCs/>
                <w:color w:val="000000"/>
                <w:sz w:val="22"/>
                <w:szCs w:val="22"/>
              </w:rPr>
              <w:t xml:space="preserve">: </w:t>
            </w:r>
            <w:r w:rsidRPr="00B01A71">
              <w:rPr>
                <w:rFonts w:ascii="Calibri" w:eastAsia="Times New Roman" w:hAnsi="Calibri" w:cs="Times New Roman"/>
                <w:color w:val="000000"/>
                <w:sz w:val="22"/>
                <w:szCs w:val="22"/>
                <w:shd w:val="clear" w:color="auto" w:fill="FFFFFF"/>
              </w:rPr>
              <w:t> Again, the mention of projects might limit the options available. It is important for the CCWG to consider all the different options to allocate the funding, that do not necessarily imply that ICANN allocated grants to projects.</w:t>
            </w:r>
          </w:p>
        </w:tc>
      </w:tr>
      <w:tr w:rsidR="002A6FD5" w14:paraId="2BA485E0" w14:textId="77777777" w:rsidTr="00DE5B8A">
        <w:trPr>
          <w:trHeight w:val="503"/>
        </w:trPr>
        <w:tc>
          <w:tcPr>
            <w:tcW w:w="4407" w:type="dxa"/>
          </w:tcPr>
          <w:p w14:paraId="324A1B59" w14:textId="4A671B3A" w:rsidR="002A6FD5" w:rsidRPr="00736A7E" w:rsidRDefault="00736A7E" w:rsidP="0034083C">
            <w:pPr>
              <w:rPr>
                <w:rFonts w:ascii="Calibri" w:hAnsi="Calibri" w:cs="Times New Roman"/>
                <w:color w:val="000000"/>
              </w:rPr>
            </w:pPr>
            <w:r w:rsidRPr="0034083C">
              <w:rPr>
                <w:rFonts w:ascii="Calibri" w:hAnsi="Calibri" w:cs="Times New Roman"/>
                <w:color w:val="000000"/>
                <w:sz w:val="22"/>
                <w:szCs w:val="22"/>
              </w:rPr>
              <w:t>Sixth, to avoid conflicts of interest, there should be clear separation of those deciding general direction, those choosing specific projects and those receiving the funds.</w:t>
            </w:r>
          </w:p>
        </w:tc>
        <w:tc>
          <w:tcPr>
            <w:tcW w:w="4408" w:type="dxa"/>
          </w:tcPr>
          <w:p w14:paraId="5BA459CF" w14:textId="4E0FBEB9" w:rsidR="00DE5B8A" w:rsidRPr="00DE5B8A" w:rsidRDefault="00DE5B8A" w:rsidP="00DE5B8A">
            <w:pPr>
              <w:rPr>
                <w:rFonts w:eastAsia="Times New Roman" w:cs="Times New Roman"/>
                <w:color w:val="000000"/>
                <w:sz w:val="22"/>
                <w:szCs w:val="22"/>
              </w:rPr>
            </w:pPr>
            <w:r>
              <w:rPr>
                <w:rFonts w:eastAsia="Times New Roman" w:cs="Times New Roman"/>
                <w:color w:val="000000"/>
                <w:sz w:val="22"/>
                <w:szCs w:val="22"/>
              </w:rPr>
              <w:t xml:space="preserve">From Daniel </w:t>
            </w:r>
            <w:proofErr w:type="spellStart"/>
            <w:r>
              <w:rPr>
                <w:rFonts w:eastAsia="Times New Roman" w:cs="Times New Roman"/>
                <w:color w:val="000000"/>
                <w:sz w:val="22"/>
                <w:szCs w:val="22"/>
              </w:rPr>
              <w:t>Dardailler</w:t>
            </w:r>
            <w:proofErr w:type="spellEnd"/>
            <w:r>
              <w:rPr>
                <w:rFonts w:eastAsia="Times New Roman" w:cs="Times New Roman"/>
                <w:color w:val="000000"/>
                <w:sz w:val="22"/>
                <w:szCs w:val="22"/>
              </w:rPr>
              <w:t xml:space="preserve">: </w:t>
            </w:r>
            <w:r w:rsidRPr="00DE5B8A">
              <w:rPr>
                <w:rFonts w:eastAsia="Times New Roman" w:cs="Times New Roman"/>
                <w:color w:val="000000"/>
                <w:sz w:val="22"/>
                <w:szCs w:val="22"/>
              </w:rPr>
              <w:t>The need for separation is obvious between the granters and the grantees, but those deciding on the general directions, the strategic plan, have no reason to be excluded from either becoming experts in project proposal evaluatio</w:t>
            </w:r>
            <w:r>
              <w:rPr>
                <w:rFonts w:eastAsia="Times New Roman" w:cs="Times New Roman"/>
                <w:color w:val="000000"/>
                <w:sz w:val="22"/>
                <w:szCs w:val="22"/>
              </w:rPr>
              <w:t xml:space="preserve">n, or being authors of specific proposals themselves. </w:t>
            </w:r>
            <w:r w:rsidRPr="00DE5B8A">
              <w:rPr>
                <w:rFonts w:eastAsia="Times New Roman" w:cs="Times New Roman"/>
                <w:color w:val="000000"/>
                <w:sz w:val="22"/>
                <w:szCs w:val="22"/>
              </w:rPr>
              <w:t>The strategic plan in the large R&amp;D framework programs of the EC for instance, are always done by EU experts in the field (who else can analyze the right futur</w:t>
            </w:r>
            <w:r>
              <w:rPr>
                <w:rFonts w:eastAsia="Times New Roman" w:cs="Times New Roman"/>
                <w:color w:val="000000"/>
                <w:sz w:val="22"/>
                <w:szCs w:val="22"/>
              </w:rPr>
              <w:t xml:space="preserve">e strategy?), in public forum, through consensus, and this </w:t>
            </w:r>
            <w:r w:rsidRPr="00DE5B8A">
              <w:rPr>
                <w:rFonts w:eastAsia="Times New Roman" w:cs="Times New Roman"/>
                <w:color w:val="000000"/>
                <w:sz w:val="22"/>
                <w:szCs w:val="22"/>
              </w:rPr>
              <w:t xml:space="preserve">doesn't prevent them from applying </w:t>
            </w:r>
            <w:proofErr w:type="gramStart"/>
            <w:r w:rsidRPr="00DE5B8A">
              <w:rPr>
                <w:rFonts w:eastAsia="Times New Roman" w:cs="Times New Roman"/>
                <w:color w:val="000000"/>
                <w:sz w:val="22"/>
                <w:szCs w:val="22"/>
              </w:rPr>
              <w:t>later on</w:t>
            </w:r>
            <w:proofErr w:type="gramEnd"/>
            <w:r w:rsidRPr="00DE5B8A">
              <w:rPr>
                <w:rFonts w:eastAsia="Times New Roman" w:cs="Times New Roman"/>
                <w:color w:val="000000"/>
                <w:sz w:val="22"/>
                <w:szCs w:val="22"/>
              </w:rPr>
              <w:t>, or being an expert in specific calls to judge proposals. The rationales are that the general directions are always consensual and general enough to encompass man</w:t>
            </w:r>
            <w:r>
              <w:rPr>
                <w:rFonts w:eastAsia="Times New Roman" w:cs="Times New Roman"/>
                <w:color w:val="000000"/>
                <w:sz w:val="22"/>
                <w:szCs w:val="22"/>
              </w:rPr>
              <w:t xml:space="preserve">y potential project domains, in each </w:t>
            </w:r>
            <w:proofErr w:type="gramStart"/>
            <w:r>
              <w:rPr>
                <w:rFonts w:eastAsia="Times New Roman" w:cs="Times New Roman"/>
                <w:color w:val="000000"/>
                <w:sz w:val="22"/>
                <w:szCs w:val="22"/>
              </w:rPr>
              <w:t>directions</w:t>
            </w:r>
            <w:proofErr w:type="gramEnd"/>
            <w:r>
              <w:rPr>
                <w:rFonts w:eastAsia="Times New Roman" w:cs="Times New Roman"/>
                <w:color w:val="000000"/>
                <w:sz w:val="22"/>
                <w:szCs w:val="22"/>
              </w:rPr>
              <w:t xml:space="preserve">. </w:t>
            </w:r>
            <w:r w:rsidRPr="00DE5B8A">
              <w:rPr>
                <w:rFonts w:eastAsia="Times New Roman" w:cs="Times New Roman"/>
                <w:color w:val="000000"/>
                <w:sz w:val="22"/>
                <w:szCs w:val="22"/>
              </w:rPr>
              <w:t xml:space="preserve">This CWG is tasked to come up with general directions for the funding, in a way that does good for the Internet and that </w:t>
            </w:r>
            <w:proofErr w:type="gramStart"/>
            <w:r w:rsidRPr="00DE5B8A">
              <w:rPr>
                <w:rFonts w:eastAsia="Times New Roman" w:cs="Times New Roman"/>
                <w:color w:val="000000"/>
                <w:sz w:val="22"/>
                <w:szCs w:val="22"/>
              </w:rPr>
              <w:t>is more or less</w:t>
            </w:r>
            <w:proofErr w:type="gramEnd"/>
            <w:r w:rsidRPr="00DE5B8A">
              <w:rPr>
                <w:rFonts w:eastAsia="Times New Roman" w:cs="Times New Roman"/>
                <w:color w:val="000000"/>
                <w:sz w:val="22"/>
                <w:szCs w:val="22"/>
              </w:rPr>
              <w:t xml:space="preserve"> (TBD) aligned with the ICANN mission. Clearly, the people capable of solving this equation are already experts in ICANN and Internet goodness, or they wouldn't be here, so it's very likely that they are already doing the sort of job the auction funding will help.</w:t>
            </w:r>
          </w:p>
          <w:p w14:paraId="6B578E39" w14:textId="3FFE62AC" w:rsidR="00DE5B8A" w:rsidRPr="00DE5B8A" w:rsidRDefault="00DE5B8A" w:rsidP="00DE5B8A">
            <w:pPr>
              <w:rPr>
                <w:rFonts w:eastAsia="Times New Roman" w:cs="Times New Roman"/>
                <w:color w:val="000000"/>
                <w:sz w:val="22"/>
                <w:szCs w:val="22"/>
              </w:rPr>
            </w:pPr>
            <w:r w:rsidRPr="00DE5B8A">
              <w:rPr>
                <w:rFonts w:eastAsia="Times New Roman" w:cs="Times New Roman"/>
                <w:color w:val="000000"/>
                <w:sz w:val="22"/>
                <w:szCs w:val="22"/>
              </w:rPr>
              <w:t>And if we ask them to leave the CWG for this reason, they'll have to be replaced with folks that may have no idea of what is good for the </w:t>
            </w:r>
          </w:p>
          <w:p w14:paraId="18F8094F" w14:textId="77777777" w:rsidR="00DE5B8A" w:rsidRPr="00DE5B8A" w:rsidRDefault="00DE5B8A" w:rsidP="00DE5B8A">
            <w:pPr>
              <w:rPr>
                <w:rFonts w:eastAsia="Times New Roman" w:cs="Times New Roman"/>
                <w:color w:val="000000"/>
                <w:sz w:val="22"/>
                <w:szCs w:val="22"/>
              </w:rPr>
            </w:pPr>
            <w:r w:rsidRPr="00DE5B8A">
              <w:rPr>
                <w:rFonts w:eastAsia="Times New Roman" w:cs="Times New Roman"/>
                <w:color w:val="000000"/>
                <w:sz w:val="22"/>
                <w:szCs w:val="22"/>
              </w:rPr>
              <w:t>Internet and ICANN, since they don't practice.</w:t>
            </w:r>
          </w:p>
          <w:p w14:paraId="4D149B25" w14:textId="0BA6283D" w:rsidR="002A6FD5" w:rsidRDefault="00DE5B8A" w:rsidP="0034083C">
            <w:pPr>
              <w:rPr>
                <w:rFonts w:eastAsia="Times New Roman" w:cs="Times New Roman"/>
                <w:color w:val="000000"/>
                <w:sz w:val="22"/>
                <w:szCs w:val="22"/>
              </w:rPr>
            </w:pPr>
            <w:r>
              <w:rPr>
                <w:rFonts w:eastAsia="Times New Roman" w:cs="Times New Roman"/>
                <w:color w:val="000000"/>
                <w:sz w:val="22"/>
                <w:szCs w:val="22"/>
              </w:rPr>
              <w:t>Can we clarify this point</w:t>
            </w:r>
            <w:r w:rsidRPr="00DE5B8A">
              <w:rPr>
                <w:rFonts w:eastAsia="Times New Roman" w:cs="Times New Roman"/>
                <w:color w:val="000000"/>
                <w:sz w:val="22"/>
                <w:szCs w:val="22"/>
              </w:rPr>
              <w:t>?</w:t>
            </w:r>
          </w:p>
          <w:p w14:paraId="0F4B9D23" w14:textId="77777777" w:rsidR="00DE5B8A" w:rsidRDefault="00DE5B8A" w:rsidP="00DE5B8A">
            <w:pPr>
              <w:rPr>
                <w:rFonts w:eastAsia="Times New Roman" w:cs="Times New Roman"/>
                <w:color w:val="000000"/>
                <w:sz w:val="22"/>
                <w:szCs w:val="22"/>
              </w:rPr>
            </w:pPr>
          </w:p>
          <w:p w14:paraId="2969CE16" w14:textId="3E50B436" w:rsidR="00DE5B8A" w:rsidRPr="00DE5B8A" w:rsidRDefault="00DE5B8A" w:rsidP="00DE5B8A">
            <w:pPr>
              <w:rPr>
                <w:rFonts w:eastAsia="Times New Roman" w:cs="Times New Roman"/>
                <w:color w:val="000000"/>
                <w:sz w:val="22"/>
                <w:szCs w:val="22"/>
              </w:rPr>
            </w:pPr>
            <w:r>
              <w:rPr>
                <w:rFonts w:eastAsia="Times New Roman" w:cs="Times New Roman"/>
                <w:color w:val="000000"/>
                <w:sz w:val="22"/>
                <w:szCs w:val="22"/>
              </w:rPr>
              <w:t xml:space="preserve">From Mathieu Weill: </w:t>
            </w:r>
            <w:r w:rsidRPr="00DE5B8A">
              <w:rPr>
                <w:rFonts w:eastAsia="Times New Roman" w:cs="Times New Roman"/>
                <w:color w:val="000000"/>
                <w:sz w:val="22"/>
                <w:szCs w:val="22"/>
              </w:rPr>
              <w:t>I have the same question as Daniel's</w:t>
            </w:r>
            <w:r>
              <w:rPr>
                <w:rFonts w:eastAsia="Times New Roman" w:cs="Times New Roman"/>
                <w:color w:val="000000"/>
                <w:sz w:val="22"/>
                <w:szCs w:val="22"/>
              </w:rPr>
              <w:t>, regarding the sixth statement.</w:t>
            </w:r>
          </w:p>
          <w:p w14:paraId="7222D856" w14:textId="77777777" w:rsidR="00DE5B8A" w:rsidRDefault="00DE5B8A" w:rsidP="0034083C">
            <w:pPr>
              <w:rPr>
                <w:rFonts w:eastAsia="Times New Roman" w:cs="Times New Roman"/>
                <w:color w:val="000000"/>
                <w:sz w:val="22"/>
                <w:szCs w:val="22"/>
              </w:rPr>
            </w:pPr>
            <w:r w:rsidRPr="00DE5B8A">
              <w:rPr>
                <w:rFonts w:eastAsia="Times New Roman" w:cs="Times New Roman"/>
                <w:color w:val="000000"/>
                <w:sz w:val="22"/>
                <w:szCs w:val="22"/>
              </w:rPr>
              <w:t>Does that relate to the proposed framework our group will recommend, or to</w:t>
            </w:r>
            <w:r>
              <w:rPr>
                <w:rFonts w:eastAsia="Times New Roman" w:cs="Times New Roman"/>
                <w:color w:val="000000"/>
                <w:sz w:val="22"/>
                <w:szCs w:val="22"/>
              </w:rPr>
              <w:t xml:space="preserve"> </w:t>
            </w:r>
            <w:r w:rsidRPr="00DE5B8A">
              <w:rPr>
                <w:rFonts w:eastAsia="Times New Roman" w:cs="Times New Roman"/>
                <w:color w:val="000000"/>
                <w:sz w:val="22"/>
                <w:szCs w:val="22"/>
              </w:rPr>
              <w:t>the wa</w:t>
            </w:r>
            <w:r w:rsidR="00B01A71">
              <w:rPr>
                <w:rFonts w:eastAsia="Times New Roman" w:cs="Times New Roman"/>
                <w:color w:val="000000"/>
                <w:sz w:val="22"/>
                <w:szCs w:val="22"/>
              </w:rPr>
              <w:t>y we organize our deliberations</w:t>
            </w:r>
            <w:r w:rsidRPr="00DE5B8A">
              <w:rPr>
                <w:rFonts w:eastAsia="Times New Roman" w:cs="Times New Roman"/>
                <w:color w:val="000000"/>
                <w:sz w:val="22"/>
                <w:szCs w:val="22"/>
              </w:rPr>
              <w:t>?</w:t>
            </w:r>
          </w:p>
          <w:p w14:paraId="3DD2481D" w14:textId="77777777" w:rsidR="00B01A71" w:rsidRDefault="00B01A71" w:rsidP="0034083C">
            <w:pPr>
              <w:rPr>
                <w:rFonts w:eastAsia="Times New Roman" w:cs="Times New Roman"/>
                <w:color w:val="000000"/>
                <w:sz w:val="22"/>
                <w:szCs w:val="22"/>
              </w:rPr>
            </w:pPr>
          </w:p>
          <w:p w14:paraId="6007F08F" w14:textId="29316393" w:rsidR="00B01A71" w:rsidRPr="00B01A71" w:rsidRDefault="00B01A71" w:rsidP="0034083C">
            <w:pPr>
              <w:rPr>
                <w:rFonts w:ascii="Times New Roman" w:eastAsia="Times New Roman" w:hAnsi="Times New Roman" w:cs="Times New Roman"/>
                <w:sz w:val="22"/>
                <w:szCs w:val="22"/>
              </w:rPr>
            </w:pPr>
            <w:r w:rsidRPr="00B01A71">
              <w:rPr>
                <w:rFonts w:eastAsia="Times New Roman" w:cs="Times New Roman"/>
                <w:color w:val="000000"/>
                <w:sz w:val="22"/>
                <w:szCs w:val="22"/>
              </w:rPr>
              <w:t xml:space="preserve">From Sylvia: </w:t>
            </w:r>
            <w:r w:rsidRPr="00B01A71">
              <w:rPr>
                <w:rFonts w:ascii="Calibri" w:eastAsia="Times New Roman" w:hAnsi="Calibri" w:cs="Times New Roman"/>
                <w:color w:val="000000"/>
                <w:sz w:val="22"/>
                <w:szCs w:val="22"/>
                <w:shd w:val="clear" w:color="auto" w:fill="FFFFFF"/>
              </w:rPr>
              <w:t>Absolutely. That is why the Drafting Team divided the work in 3 clear phases. One to draft the charter, one for the CCWG to seek answers to those questions and provide recommendations, and a final one for final allocation of funds. The memo raises this point, as if there was a possibility for the CCWG to make funding allocations, which we are not tasked to do. I believe this comment creates confusion among members and participants of the CCWG, which is unnecessary.</w:t>
            </w:r>
            <w:bookmarkStart w:id="0" w:name="_GoBack"/>
            <w:bookmarkEnd w:id="0"/>
          </w:p>
        </w:tc>
      </w:tr>
    </w:tbl>
    <w:p w14:paraId="126042E7" w14:textId="10553687" w:rsidR="002A6FD5" w:rsidRDefault="002A6FD5" w:rsidP="0034083C">
      <w:pPr>
        <w:rPr>
          <w:rFonts w:ascii="Calibri" w:hAnsi="Calibri" w:cs="Times New Roman"/>
          <w:b/>
          <w:bCs/>
          <w:color w:val="000000"/>
          <w:sz w:val="22"/>
          <w:szCs w:val="22"/>
        </w:rPr>
      </w:pPr>
    </w:p>
    <w:p w14:paraId="11F35A3C" w14:textId="77777777" w:rsidR="002A6FD5" w:rsidRDefault="002A6FD5" w:rsidP="0034083C">
      <w:pPr>
        <w:rPr>
          <w:rFonts w:ascii="Calibri" w:hAnsi="Calibri" w:cs="Times New Roman"/>
          <w:b/>
          <w:bCs/>
          <w:color w:val="000000"/>
          <w:sz w:val="22"/>
          <w:szCs w:val="22"/>
        </w:rPr>
      </w:pPr>
    </w:p>
    <w:p w14:paraId="72D97089" w14:textId="5250FD9A" w:rsidR="0034083C" w:rsidRPr="0034083C" w:rsidRDefault="0034083C" w:rsidP="00736A7E">
      <w:pPr>
        <w:rPr>
          <w:rFonts w:ascii="Calibri" w:hAnsi="Calibri" w:cs="Times New Roman"/>
          <w:color w:val="000000"/>
        </w:rPr>
      </w:pPr>
    </w:p>
    <w:p w14:paraId="1ABF28D7" w14:textId="77777777" w:rsidR="000E7792" w:rsidRDefault="002E1E29"/>
    <w:sectPr w:rsidR="000E7792" w:rsidSect="00D9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43280"/>
    <w:multiLevelType w:val="multilevel"/>
    <w:tmpl w:val="26863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0566A75"/>
    <w:multiLevelType w:val="multilevel"/>
    <w:tmpl w:val="9DE835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nsid w:val="4E8F1657"/>
    <w:multiLevelType w:val="multilevel"/>
    <w:tmpl w:val="66206B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nsid w:val="7C397A8F"/>
    <w:multiLevelType w:val="multilevel"/>
    <w:tmpl w:val="39E8EA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83C"/>
    <w:rsid w:val="001D3795"/>
    <w:rsid w:val="002A6FD5"/>
    <w:rsid w:val="002E1E29"/>
    <w:rsid w:val="0034083C"/>
    <w:rsid w:val="004B0C09"/>
    <w:rsid w:val="00736A7E"/>
    <w:rsid w:val="008E3A71"/>
    <w:rsid w:val="00B01A71"/>
    <w:rsid w:val="00B06800"/>
    <w:rsid w:val="00C7576E"/>
    <w:rsid w:val="00CF30F7"/>
    <w:rsid w:val="00D9672E"/>
    <w:rsid w:val="00DE5B8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CDCD1E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4083C"/>
  </w:style>
  <w:style w:type="character" w:styleId="Hyperlink">
    <w:name w:val="Hyperlink"/>
    <w:basedOn w:val="DefaultParagraphFont"/>
    <w:uiPriority w:val="99"/>
    <w:unhideWhenUsed/>
    <w:rsid w:val="0034083C"/>
    <w:rPr>
      <w:color w:val="0000FF"/>
      <w:u w:val="single"/>
    </w:rPr>
  </w:style>
  <w:style w:type="table" w:styleId="TableGrid">
    <w:name w:val="Table Grid"/>
    <w:basedOn w:val="TableNormal"/>
    <w:uiPriority w:val="39"/>
    <w:rsid w:val="002A6F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99607">
      <w:bodyDiv w:val="1"/>
      <w:marLeft w:val="0"/>
      <w:marRight w:val="0"/>
      <w:marTop w:val="0"/>
      <w:marBottom w:val="0"/>
      <w:divBdr>
        <w:top w:val="none" w:sz="0" w:space="0" w:color="auto"/>
        <w:left w:val="none" w:sz="0" w:space="0" w:color="auto"/>
        <w:bottom w:val="none" w:sz="0" w:space="0" w:color="auto"/>
        <w:right w:val="none" w:sz="0" w:space="0" w:color="auto"/>
      </w:divBdr>
    </w:div>
    <w:div w:id="439952994">
      <w:bodyDiv w:val="1"/>
      <w:marLeft w:val="0"/>
      <w:marRight w:val="0"/>
      <w:marTop w:val="0"/>
      <w:marBottom w:val="0"/>
      <w:divBdr>
        <w:top w:val="none" w:sz="0" w:space="0" w:color="auto"/>
        <w:left w:val="none" w:sz="0" w:space="0" w:color="auto"/>
        <w:bottom w:val="none" w:sz="0" w:space="0" w:color="auto"/>
        <w:right w:val="none" w:sz="0" w:space="0" w:color="auto"/>
      </w:divBdr>
      <w:divsChild>
        <w:div w:id="621422837">
          <w:marLeft w:val="0"/>
          <w:marRight w:val="0"/>
          <w:marTop w:val="0"/>
          <w:marBottom w:val="0"/>
          <w:divBdr>
            <w:top w:val="none" w:sz="0" w:space="0" w:color="auto"/>
            <w:left w:val="none" w:sz="0" w:space="0" w:color="auto"/>
            <w:bottom w:val="none" w:sz="0" w:space="0" w:color="auto"/>
            <w:right w:val="none" w:sz="0" w:space="0" w:color="auto"/>
          </w:divBdr>
          <w:divsChild>
            <w:div w:id="1166556852">
              <w:marLeft w:val="0"/>
              <w:marRight w:val="0"/>
              <w:marTop w:val="0"/>
              <w:marBottom w:val="0"/>
              <w:divBdr>
                <w:top w:val="single" w:sz="8" w:space="3" w:color="E1E1E1"/>
                <w:left w:val="none" w:sz="0" w:space="0" w:color="auto"/>
                <w:bottom w:val="none" w:sz="0" w:space="0" w:color="auto"/>
                <w:right w:val="none" w:sz="0" w:space="0" w:color="auto"/>
              </w:divBdr>
            </w:div>
          </w:divsChild>
        </w:div>
        <w:div w:id="1218393357">
          <w:marLeft w:val="0"/>
          <w:marRight w:val="0"/>
          <w:marTop w:val="0"/>
          <w:marBottom w:val="0"/>
          <w:divBdr>
            <w:top w:val="none" w:sz="0" w:space="0" w:color="auto"/>
            <w:left w:val="none" w:sz="0" w:space="0" w:color="auto"/>
            <w:bottom w:val="none" w:sz="0" w:space="0" w:color="auto"/>
            <w:right w:val="none" w:sz="0" w:space="0" w:color="auto"/>
          </w:divBdr>
        </w:div>
        <w:div w:id="759332640">
          <w:marLeft w:val="0"/>
          <w:marRight w:val="0"/>
          <w:marTop w:val="0"/>
          <w:marBottom w:val="0"/>
          <w:divBdr>
            <w:top w:val="none" w:sz="0" w:space="0" w:color="auto"/>
            <w:left w:val="none" w:sz="0" w:space="0" w:color="auto"/>
            <w:bottom w:val="none" w:sz="0" w:space="0" w:color="auto"/>
            <w:right w:val="none" w:sz="0" w:space="0" w:color="auto"/>
          </w:divBdr>
          <w:divsChild>
            <w:div w:id="885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04549">
      <w:bodyDiv w:val="1"/>
      <w:marLeft w:val="0"/>
      <w:marRight w:val="0"/>
      <w:marTop w:val="0"/>
      <w:marBottom w:val="0"/>
      <w:divBdr>
        <w:top w:val="none" w:sz="0" w:space="0" w:color="auto"/>
        <w:left w:val="none" w:sz="0" w:space="0" w:color="auto"/>
        <w:bottom w:val="none" w:sz="0" w:space="0" w:color="auto"/>
        <w:right w:val="none" w:sz="0" w:space="0" w:color="auto"/>
      </w:divBdr>
    </w:div>
    <w:div w:id="1137143522">
      <w:bodyDiv w:val="1"/>
      <w:marLeft w:val="0"/>
      <w:marRight w:val="0"/>
      <w:marTop w:val="0"/>
      <w:marBottom w:val="0"/>
      <w:divBdr>
        <w:top w:val="none" w:sz="0" w:space="0" w:color="auto"/>
        <w:left w:val="none" w:sz="0" w:space="0" w:color="auto"/>
        <w:bottom w:val="none" w:sz="0" w:space="0" w:color="auto"/>
        <w:right w:val="none" w:sz="0" w:space="0" w:color="auto"/>
      </w:divBdr>
      <w:divsChild>
        <w:div w:id="2024747450">
          <w:marLeft w:val="0"/>
          <w:marRight w:val="0"/>
          <w:marTop w:val="0"/>
          <w:marBottom w:val="0"/>
          <w:divBdr>
            <w:top w:val="none" w:sz="0" w:space="0" w:color="auto"/>
            <w:left w:val="none" w:sz="0" w:space="0" w:color="auto"/>
            <w:bottom w:val="none" w:sz="0" w:space="0" w:color="auto"/>
            <w:right w:val="none" w:sz="0" w:space="0" w:color="auto"/>
          </w:divBdr>
        </w:div>
        <w:div w:id="1363507670">
          <w:marLeft w:val="0"/>
          <w:marRight w:val="0"/>
          <w:marTop w:val="0"/>
          <w:marBottom w:val="0"/>
          <w:divBdr>
            <w:top w:val="none" w:sz="0" w:space="0" w:color="auto"/>
            <w:left w:val="none" w:sz="0" w:space="0" w:color="auto"/>
            <w:bottom w:val="none" w:sz="0" w:space="0" w:color="auto"/>
            <w:right w:val="none" w:sz="0" w:space="0" w:color="auto"/>
          </w:divBdr>
        </w:div>
        <w:div w:id="1018890375">
          <w:marLeft w:val="0"/>
          <w:marRight w:val="0"/>
          <w:marTop w:val="0"/>
          <w:marBottom w:val="0"/>
          <w:divBdr>
            <w:top w:val="none" w:sz="0" w:space="0" w:color="auto"/>
            <w:left w:val="none" w:sz="0" w:space="0" w:color="auto"/>
            <w:bottom w:val="none" w:sz="0" w:space="0" w:color="auto"/>
            <w:right w:val="none" w:sz="0" w:space="0" w:color="auto"/>
          </w:divBdr>
        </w:div>
        <w:div w:id="501358994">
          <w:marLeft w:val="0"/>
          <w:marRight w:val="0"/>
          <w:marTop w:val="0"/>
          <w:marBottom w:val="0"/>
          <w:divBdr>
            <w:top w:val="none" w:sz="0" w:space="0" w:color="auto"/>
            <w:left w:val="none" w:sz="0" w:space="0" w:color="auto"/>
            <w:bottom w:val="none" w:sz="0" w:space="0" w:color="auto"/>
            <w:right w:val="none" w:sz="0" w:space="0" w:color="auto"/>
          </w:divBdr>
        </w:div>
        <w:div w:id="2116247855">
          <w:marLeft w:val="0"/>
          <w:marRight w:val="0"/>
          <w:marTop w:val="0"/>
          <w:marBottom w:val="0"/>
          <w:divBdr>
            <w:top w:val="none" w:sz="0" w:space="0" w:color="auto"/>
            <w:left w:val="none" w:sz="0" w:space="0" w:color="auto"/>
            <w:bottom w:val="none" w:sz="0" w:space="0" w:color="auto"/>
            <w:right w:val="none" w:sz="0" w:space="0" w:color="auto"/>
          </w:divBdr>
        </w:div>
        <w:div w:id="1539927425">
          <w:marLeft w:val="0"/>
          <w:marRight w:val="0"/>
          <w:marTop w:val="0"/>
          <w:marBottom w:val="0"/>
          <w:divBdr>
            <w:top w:val="none" w:sz="0" w:space="0" w:color="auto"/>
            <w:left w:val="none" w:sz="0" w:space="0" w:color="auto"/>
            <w:bottom w:val="none" w:sz="0" w:space="0" w:color="auto"/>
            <w:right w:val="none" w:sz="0" w:space="0" w:color="auto"/>
          </w:divBdr>
        </w:div>
        <w:div w:id="65155324">
          <w:marLeft w:val="0"/>
          <w:marRight w:val="0"/>
          <w:marTop w:val="0"/>
          <w:marBottom w:val="0"/>
          <w:divBdr>
            <w:top w:val="none" w:sz="0" w:space="0" w:color="auto"/>
            <w:left w:val="none" w:sz="0" w:space="0" w:color="auto"/>
            <w:bottom w:val="none" w:sz="0" w:space="0" w:color="auto"/>
            <w:right w:val="none" w:sz="0" w:space="0" w:color="auto"/>
          </w:divBdr>
        </w:div>
      </w:divsChild>
    </w:div>
    <w:div w:id="1172574723">
      <w:bodyDiv w:val="1"/>
      <w:marLeft w:val="0"/>
      <w:marRight w:val="0"/>
      <w:marTop w:val="0"/>
      <w:marBottom w:val="0"/>
      <w:divBdr>
        <w:top w:val="none" w:sz="0" w:space="0" w:color="auto"/>
        <w:left w:val="none" w:sz="0" w:space="0" w:color="auto"/>
        <w:bottom w:val="none" w:sz="0" w:space="0" w:color="auto"/>
        <w:right w:val="none" w:sz="0" w:space="0" w:color="auto"/>
      </w:divBdr>
    </w:div>
    <w:div w:id="1555920328">
      <w:bodyDiv w:val="1"/>
      <w:marLeft w:val="0"/>
      <w:marRight w:val="0"/>
      <w:marTop w:val="0"/>
      <w:marBottom w:val="0"/>
      <w:divBdr>
        <w:top w:val="none" w:sz="0" w:space="0" w:color="auto"/>
        <w:left w:val="none" w:sz="0" w:space="0" w:color="auto"/>
        <w:bottom w:val="none" w:sz="0" w:space="0" w:color="auto"/>
        <w:right w:val="none" w:sz="0" w:space="0" w:color="auto"/>
      </w:divBdr>
      <w:divsChild>
        <w:div w:id="725376680">
          <w:marLeft w:val="0"/>
          <w:marRight w:val="0"/>
          <w:marTop w:val="0"/>
          <w:marBottom w:val="0"/>
          <w:divBdr>
            <w:top w:val="none" w:sz="0" w:space="0" w:color="auto"/>
            <w:left w:val="none" w:sz="0" w:space="0" w:color="auto"/>
            <w:bottom w:val="none" w:sz="0" w:space="0" w:color="auto"/>
            <w:right w:val="none" w:sz="0" w:space="0" w:color="auto"/>
          </w:divBdr>
        </w:div>
        <w:div w:id="13844156">
          <w:marLeft w:val="0"/>
          <w:marRight w:val="0"/>
          <w:marTop w:val="0"/>
          <w:marBottom w:val="0"/>
          <w:divBdr>
            <w:top w:val="none" w:sz="0" w:space="0" w:color="auto"/>
            <w:left w:val="none" w:sz="0" w:space="0" w:color="auto"/>
            <w:bottom w:val="none" w:sz="0" w:space="0" w:color="auto"/>
            <w:right w:val="none" w:sz="0" w:space="0" w:color="auto"/>
          </w:divBdr>
        </w:div>
        <w:div w:id="1497763540">
          <w:marLeft w:val="0"/>
          <w:marRight w:val="0"/>
          <w:marTop w:val="0"/>
          <w:marBottom w:val="0"/>
          <w:divBdr>
            <w:top w:val="none" w:sz="0" w:space="0" w:color="auto"/>
            <w:left w:val="none" w:sz="0" w:space="0" w:color="auto"/>
            <w:bottom w:val="none" w:sz="0" w:space="0" w:color="auto"/>
            <w:right w:val="none" w:sz="0" w:space="0" w:color="auto"/>
          </w:divBdr>
        </w:div>
        <w:div w:id="1783576974">
          <w:marLeft w:val="0"/>
          <w:marRight w:val="0"/>
          <w:marTop w:val="0"/>
          <w:marBottom w:val="0"/>
          <w:divBdr>
            <w:top w:val="none" w:sz="0" w:space="0" w:color="auto"/>
            <w:left w:val="none" w:sz="0" w:space="0" w:color="auto"/>
            <w:bottom w:val="none" w:sz="0" w:space="0" w:color="auto"/>
            <w:right w:val="none" w:sz="0" w:space="0" w:color="auto"/>
          </w:divBdr>
        </w:div>
        <w:div w:id="295645881">
          <w:marLeft w:val="0"/>
          <w:marRight w:val="0"/>
          <w:marTop w:val="0"/>
          <w:marBottom w:val="0"/>
          <w:divBdr>
            <w:top w:val="none" w:sz="0" w:space="0" w:color="auto"/>
            <w:left w:val="none" w:sz="0" w:space="0" w:color="auto"/>
            <w:bottom w:val="none" w:sz="0" w:space="0" w:color="auto"/>
            <w:right w:val="none" w:sz="0" w:space="0" w:color="auto"/>
          </w:divBdr>
        </w:div>
        <w:div w:id="1789933493">
          <w:marLeft w:val="0"/>
          <w:marRight w:val="0"/>
          <w:marTop w:val="0"/>
          <w:marBottom w:val="0"/>
          <w:divBdr>
            <w:top w:val="none" w:sz="0" w:space="0" w:color="auto"/>
            <w:left w:val="none" w:sz="0" w:space="0" w:color="auto"/>
            <w:bottom w:val="none" w:sz="0" w:space="0" w:color="auto"/>
            <w:right w:val="none" w:sz="0" w:space="0" w:color="auto"/>
          </w:divBdr>
        </w:div>
        <w:div w:id="794980468">
          <w:marLeft w:val="0"/>
          <w:marRight w:val="0"/>
          <w:marTop w:val="0"/>
          <w:marBottom w:val="0"/>
          <w:divBdr>
            <w:top w:val="none" w:sz="0" w:space="0" w:color="auto"/>
            <w:left w:val="none" w:sz="0" w:space="0" w:color="auto"/>
            <w:bottom w:val="none" w:sz="0" w:space="0" w:color="auto"/>
            <w:right w:val="none" w:sz="0" w:space="0" w:color="auto"/>
          </w:divBdr>
        </w:div>
        <w:div w:id="1194685232">
          <w:marLeft w:val="0"/>
          <w:marRight w:val="0"/>
          <w:marTop w:val="0"/>
          <w:marBottom w:val="0"/>
          <w:divBdr>
            <w:top w:val="none" w:sz="0" w:space="0" w:color="auto"/>
            <w:left w:val="none" w:sz="0" w:space="0" w:color="auto"/>
            <w:bottom w:val="none" w:sz="0" w:space="0" w:color="auto"/>
            <w:right w:val="none" w:sz="0" w:space="0" w:color="auto"/>
          </w:divBdr>
        </w:div>
        <w:div w:id="555510439">
          <w:marLeft w:val="0"/>
          <w:marRight w:val="0"/>
          <w:marTop w:val="0"/>
          <w:marBottom w:val="0"/>
          <w:divBdr>
            <w:top w:val="none" w:sz="0" w:space="0" w:color="auto"/>
            <w:left w:val="none" w:sz="0" w:space="0" w:color="auto"/>
            <w:bottom w:val="none" w:sz="0" w:space="0" w:color="auto"/>
            <w:right w:val="none" w:sz="0" w:space="0" w:color="auto"/>
          </w:divBdr>
        </w:div>
        <w:div w:id="749691818">
          <w:marLeft w:val="0"/>
          <w:marRight w:val="0"/>
          <w:marTop w:val="0"/>
          <w:marBottom w:val="0"/>
          <w:divBdr>
            <w:top w:val="none" w:sz="0" w:space="0" w:color="auto"/>
            <w:left w:val="none" w:sz="0" w:space="0" w:color="auto"/>
            <w:bottom w:val="none" w:sz="0" w:space="0" w:color="auto"/>
            <w:right w:val="none" w:sz="0" w:space="0" w:color="auto"/>
          </w:divBdr>
        </w:div>
        <w:div w:id="662708058">
          <w:marLeft w:val="0"/>
          <w:marRight w:val="0"/>
          <w:marTop w:val="0"/>
          <w:marBottom w:val="0"/>
          <w:divBdr>
            <w:top w:val="none" w:sz="0" w:space="0" w:color="auto"/>
            <w:left w:val="none" w:sz="0" w:space="0" w:color="auto"/>
            <w:bottom w:val="none" w:sz="0" w:space="0" w:color="auto"/>
            <w:right w:val="none" w:sz="0" w:space="0" w:color="auto"/>
          </w:divBdr>
        </w:div>
        <w:div w:id="1510482696">
          <w:marLeft w:val="0"/>
          <w:marRight w:val="0"/>
          <w:marTop w:val="0"/>
          <w:marBottom w:val="0"/>
          <w:divBdr>
            <w:top w:val="none" w:sz="0" w:space="0" w:color="auto"/>
            <w:left w:val="none" w:sz="0" w:space="0" w:color="auto"/>
            <w:bottom w:val="none" w:sz="0" w:space="0" w:color="auto"/>
            <w:right w:val="none" w:sz="0" w:space="0" w:color="auto"/>
          </w:divBdr>
        </w:div>
        <w:div w:id="1919751065">
          <w:marLeft w:val="0"/>
          <w:marRight w:val="0"/>
          <w:marTop w:val="0"/>
          <w:marBottom w:val="0"/>
          <w:divBdr>
            <w:top w:val="none" w:sz="0" w:space="0" w:color="auto"/>
            <w:left w:val="none" w:sz="0" w:space="0" w:color="auto"/>
            <w:bottom w:val="none" w:sz="0" w:space="0" w:color="auto"/>
            <w:right w:val="none" w:sz="0" w:space="0" w:color="auto"/>
          </w:divBdr>
        </w:div>
        <w:div w:id="1581602258">
          <w:marLeft w:val="0"/>
          <w:marRight w:val="0"/>
          <w:marTop w:val="0"/>
          <w:marBottom w:val="0"/>
          <w:divBdr>
            <w:top w:val="none" w:sz="0" w:space="0" w:color="auto"/>
            <w:left w:val="none" w:sz="0" w:space="0" w:color="auto"/>
            <w:bottom w:val="none" w:sz="0" w:space="0" w:color="auto"/>
            <w:right w:val="none" w:sz="0" w:space="0" w:color="auto"/>
          </w:divBdr>
        </w:div>
        <w:div w:id="1878395209">
          <w:marLeft w:val="0"/>
          <w:marRight w:val="0"/>
          <w:marTop w:val="0"/>
          <w:marBottom w:val="0"/>
          <w:divBdr>
            <w:top w:val="none" w:sz="0" w:space="0" w:color="auto"/>
            <w:left w:val="none" w:sz="0" w:space="0" w:color="auto"/>
            <w:bottom w:val="none" w:sz="0" w:space="0" w:color="auto"/>
            <w:right w:val="none" w:sz="0" w:space="0" w:color="auto"/>
          </w:divBdr>
        </w:div>
        <w:div w:id="978607475">
          <w:marLeft w:val="0"/>
          <w:marRight w:val="0"/>
          <w:marTop w:val="0"/>
          <w:marBottom w:val="0"/>
          <w:divBdr>
            <w:top w:val="none" w:sz="0" w:space="0" w:color="auto"/>
            <w:left w:val="none" w:sz="0" w:space="0" w:color="auto"/>
            <w:bottom w:val="none" w:sz="0" w:space="0" w:color="auto"/>
            <w:right w:val="none" w:sz="0" w:space="0" w:color="auto"/>
          </w:divBdr>
        </w:div>
        <w:div w:id="383216615">
          <w:marLeft w:val="0"/>
          <w:marRight w:val="0"/>
          <w:marTop w:val="0"/>
          <w:marBottom w:val="0"/>
          <w:divBdr>
            <w:top w:val="none" w:sz="0" w:space="0" w:color="auto"/>
            <w:left w:val="none" w:sz="0" w:space="0" w:color="auto"/>
            <w:bottom w:val="none" w:sz="0" w:space="0" w:color="auto"/>
            <w:right w:val="none" w:sz="0" w:space="0" w:color="auto"/>
          </w:divBdr>
        </w:div>
        <w:div w:id="514609895">
          <w:marLeft w:val="0"/>
          <w:marRight w:val="0"/>
          <w:marTop w:val="0"/>
          <w:marBottom w:val="0"/>
          <w:divBdr>
            <w:top w:val="none" w:sz="0" w:space="0" w:color="auto"/>
            <w:left w:val="none" w:sz="0" w:space="0" w:color="auto"/>
            <w:bottom w:val="none" w:sz="0" w:space="0" w:color="auto"/>
            <w:right w:val="none" w:sz="0" w:space="0" w:color="auto"/>
          </w:divBdr>
        </w:div>
        <w:div w:id="238834600">
          <w:marLeft w:val="0"/>
          <w:marRight w:val="0"/>
          <w:marTop w:val="0"/>
          <w:marBottom w:val="0"/>
          <w:divBdr>
            <w:top w:val="none" w:sz="0" w:space="0" w:color="auto"/>
            <w:left w:val="none" w:sz="0" w:space="0" w:color="auto"/>
            <w:bottom w:val="none" w:sz="0" w:space="0" w:color="auto"/>
            <w:right w:val="none" w:sz="0" w:space="0" w:color="auto"/>
          </w:divBdr>
        </w:div>
        <w:div w:id="2063940264">
          <w:marLeft w:val="0"/>
          <w:marRight w:val="0"/>
          <w:marTop w:val="0"/>
          <w:marBottom w:val="0"/>
          <w:divBdr>
            <w:top w:val="none" w:sz="0" w:space="0" w:color="auto"/>
            <w:left w:val="none" w:sz="0" w:space="0" w:color="auto"/>
            <w:bottom w:val="none" w:sz="0" w:space="0" w:color="auto"/>
            <w:right w:val="none" w:sz="0" w:space="0" w:color="auto"/>
          </w:divBdr>
        </w:div>
        <w:div w:id="1286741646">
          <w:marLeft w:val="0"/>
          <w:marRight w:val="0"/>
          <w:marTop w:val="0"/>
          <w:marBottom w:val="0"/>
          <w:divBdr>
            <w:top w:val="none" w:sz="0" w:space="0" w:color="auto"/>
            <w:left w:val="none" w:sz="0" w:space="0" w:color="auto"/>
            <w:bottom w:val="none" w:sz="0" w:space="0" w:color="auto"/>
            <w:right w:val="none" w:sz="0" w:space="0" w:color="auto"/>
          </w:divBdr>
        </w:div>
        <w:div w:id="865679012">
          <w:marLeft w:val="0"/>
          <w:marRight w:val="0"/>
          <w:marTop w:val="0"/>
          <w:marBottom w:val="0"/>
          <w:divBdr>
            <w:top w:val="none" w:sz="0" w:space="0" w:color="auto"/>
            <w:left w:val="none" w:sz="0" w:space="0" w:color="auto"/>
            <w:bottom w:val="none" w:sz="0" w:space="0" w:color="auto"/>
            <w:right w:val="none" w:sz="0" w:space="0" w:color="auto"/>
          </w:divBdr>
        </w:div>
        <w:div w:id="1490633716">
          <w:marLeft w:val="0"/>
          <w:marRight w:val="0"/>
          <w:marTop w:val="0"/>
          <w:marBottom w:val="0"/>
          <w:divBdr>
            <w:top w:val="none" w:sz="0" w:space="0" w:color="auto"/>
            <w:left w:val="none" w:sz="0" w:space="0" w:color="auto"/>
            <w:bottom w:val="none" w:sz="0" w:space="0" w:color="auto"/>
            <w:right w:val="none" w:sz="0" w:space="0" w:color="auto"/>
          </w:divBdr>
        </w:div>
        <w:div w:id="2010324196">
          <w:marLeft w:val="0"/>
          <w:marRight w:val="0"/>
          <w:marTop w:val="0"/>
          <w:marBottom w:val="0"/>
          <w:divBdr>
            <w:top w:val="none" w:sz="0" w:space="0" w:color="auto"/>
            <w:left w:val="none" w:sz="0" w:space="0" w:color="auto"/>
            <w:bottom w:val="none" w:sz="0" w:space="0" w:color="auto"/>
            <w:right w:val="none" w:sz="0" w:space="0" w:color="auto"/>
          </w:divBdr>
        </w:div>
        <w:div w:id="1443186420">
          <w:marLeft w:val="0"/>
          <w:marRight w:val="0"/>
          <w:marTop w:val="0"/>
          <w:marBottom w:val="0"/>
          <w:divBdr>
            <w:top w:val="none" w:sz="0" w:space="0" w:color="auto"/>
            <w:left w:val="none" w:sz="0" w:space="0" w:color="auto"/>
            <w:bottom w:val="none" w:sz="0" w:space="0" w:color="auto"/>
            <w:right w:val="none" w:sz="0" w:space="0" w:color="auto"/>
          </w:divBdr>
        </w:div>
        <w:div w:id="326788651">
          <w:marLeft w:val="0"/>
          <w:marRight w:val="0"/>
          <w:marTop w:val="0"/>
          <w:marBottom w:val="0"/>
          <w:divBdr>
            <w:top w:val="none" w:sz="0" w:space="0" w:color="auto"/>
            <w:left w:val="none" w:sz="0" w:space="0" w:color="auto"/>
            <w:bottom w:val="none" w:sz="0" w:space="0" w:color="auto"/>
            <w:right w:val="none" w:sz="0" w:space="0" w:color="auto"/>
          </w:divBdr>
        </w:div>
        <w:div w:id="879129633">
          <w:marLeft w:val="0"/>
          <w:marRight w:val="0"/>
          <w:marTop w:val="0"/>
          <w:marBottom w:val="0"/>
          <w:divBdr>
            <w:top w:val="none" w:sz="0" w:space="0" w:color="auto"/>
            <w:left w:val="none" w:sz="0" w:space="0" w:color="auto"/>
            <w:bottom w:val="none" w:sz="0" w:space="0" w:color="auto"/>
            <w:right w:val="none" w:sz="0" w:space="0" w:color="auto"/>
          </w:divBdr>
        </w:div>
        <w:div w:id="968823079">
          <w:marLeft w:val="0"/>
          <w:marRight w:val="0"/>
          <w:marTop w:val="0"/>
          <w:marBottom w:val="0"/>
          <w:divBdr>
            <w:top w:val="none" w:sz="0" w:space="0" w:color="auto"/>
            <w:left w:val="none" w:sz="0" w:space="0" w:color="auto"/>
            <w:bottom w:val="none" w:sz="0" w:space="0" w:color="auto"/>
            <w:right w:val="none" w:sz="0" w:space="0" w:color="auto"/>
          </w:divBdr>
        </w:div>
        <w:div w:id="284891842">
          <w:marLeft w:val="0"/>
          <w:marRight w:val="0"/>
          <w:marTop w:val="0"/>
          <w:marBottom w:val="0"/>
          <w:divBdr>
            <w:top w:val="none" w:sz="0" w:space="0" w:color="auto"/>
            <w:left w:val="none" w:sz="0" w:space="0" w:color="auto"/>
            <w:bottom w:val="none" w:sz="0" w:space="0" w:color="auto"/>
            <w:right w:val="none" w:sz="0" w:space="0" w:color="auto"/>
          </w:divBdr>
        </w:div>
        <w:div w:id="375929956">
          <w:marLeft w:val="0"/>
          <w:marRight w:val="0"/>
          <w:marTop w:val="0"/>
          <w:marBottom w:val="0"/>
          <w:divBdr>
            <w:top w:val="none" w:sz="0" w:space="0" w:color="auto"/>
            <w:left w:val="none" w:sz="0" w:space="0" w:color="auto"/>
            <w:bottom w:val="none" w:sz="0" w:space="0" w:color="auto"/>
            <w:right w:val="none" w:sz="0" w:space="0" w:color="auto"/>
          </w:divBdr>
        </w:div>
      </w:divsChild>
    </w:div>
    <w:div w:id="1624120591">
      <w:bodyDiv w:val="1"/>
      <w:marLeft w:val="0"/>
      <w:marRight w:val="0"/>
      <w:marTop w:val="0"/>
      <w:marBottom w:val="0"/>
      <w:divBdr>
        <w:top w:val="none" w:sz="0" w:space="0" w:color="auto"/>
        <w:left w:val="none" w:sz="0" w:space="0" w:color="auto"/>
        <w:bottom w:val="none" w:sz="0" w:space="0" w:color="auto"/>
        <w:right w:val="none" w:sz="0" w:space="0" w:color="auto"/>
      </w:divBdr>
    </w:div>
    <w:div w:id="1749957971">
      <w:bodyDiv w:val="1"/>
      <w:marLeft w:val="0"/>
      <w:marRight w:val="0"/>
      <w:marTop w:val="0"/>
      <w:marBottom w:val="0"/>
      <w:divBdr>
        <w:top w:val="none" w:sz="0" w:space="0" w:color="auto"/>
        <w:left w:val="none" w:sz="0" w:space="0" w:color="auto"/>
        <w:bottom w:val="none" w:sz="0" w:space="0" w:color="auto"/>
        <w:right w:val="none" w:sz="0" w:space="0" w:color="auto"/>
      </w:divBdr>
    </w:div>
    <w:div w:id="1950698805">
      <w:bodyDiv w:val="1"/>
      <w:marLeft w:val="0"/>
      <w:marRight w:val="0"/>
      <w:marTop w:val="0"/>
      <w:marBottom w:val="0"/>
      <w:divBdr>
        <w:top w:val="none" w:sz="0" w:space="0" w:color="auto"/>
        <w:left w:val="none" w:sz="0" w:space="0" w:color="auto"/>
        <w:bottom w:val="none" w:sz="0" w:space="0" w:color="auto"/>
        <w:right w:val="none" w:sz="0" w:space="0" w:color="auto"/>
      </w:divBdr>
    </w:div>
    <w:div w:id="2103061304">
      <w:bodyDiv w:val="1"/>
      <w:marLeft w:val="0"/>
      <w:marRight w:val="0"/>
      <w:marTop w:val="0"/>
      <w:marBottom w:val="0"/>
      <w:divBdr>
        <w:top w:val="none" w:sz="0" w:space="0" w:color="auto"/>
        <w:left w:val="none" w:sz="0" w:space="0" w:color="auto"/>
        <w:bottom w:val="none" w:sz="0" w:space="0" w:color="auto"/>
        <w:right w:val="none" w:sz="0" w:space="0" w:color="auto"/>
      </w:divBdr>
    </w:div>
    <w:div w:id="21461987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ommunity.icann.org/display/CWGONGAP/Legal+and+Fiduciary+Constraints+Related+Material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1077</Words>
  <Characters>6144</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cp:lastPrinted>2017-03-09T13:31:00Z</cp:lastPrinted>
  <dcterms:created xsi:type="dcterms:W3CDTF">2017-03-14T13:52:00Z</dcterms:created>
  <dcterms:modified xsi:type="dcterms:W3CDTF">2017-03-14T13:52:00Z</dcterms:modified>
</cp:coreProperties>
</file>