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pPr>
      <w:r w:rsidDel="00000000" w:rsidR="00000000" w:rsidRPr="00000000">
        <w:rPr>
          <w:b w:val="1"/>
          <w:rtl w:val="0"/>
        </w:rPr>
        <w:t xml:space="preserve">IPC Public Comment on EPDP Phase 2 SSAD Recommendations</w:t>
      </w:r>
      <w:r w:rsidDel="00000000" w:rsidR="00000000" w:rsidRPr="00000000">
        <w:rPr>
          <w:rtl w:val="0"/>
        </w:rPr>
      </w:r>
    </w:p>
    <w:p w:rsidR="00000000" w:rsidDel="00000000" w:rsidP="00000000" w:rsidRDefault="00000000" w:rsidRPr="00000000" w14:paraId="00000002">
      <w:pPr>
        <w:jc w:val="center"/>
        <w:rPr>
          <w:b w:val="1"/>
          <w:i w:val="1"/>
          <w:u w:val="single"/>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t xml:space="preserve">The IPC appreciates the opportunity to submit public comment on the EPDP Phase 2 SSAD Recommendations. </w:t>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pPr>
      <w:r w:rsidDel="00000000" w:rsidR="00000000" w:rsidRPr="00000000">
        <w:rPr>
          <w:rtl w:val="0"/>
        </w:rPr>
        <w:t xml:space="preserve">We would like to take this opportunity to echo concerns raised in our joint Minority Statement</w:t>
      </w:r>
      <w:r w:rsidDel="00000000" w:rsidR="00000000" w:rsidRPr="00000000">
        <w:rPr>
          <w:vertAlign w:val="superscript"/>
        </w:rPr>
        <w:footnoteReference w:customMarkFollows="0" w:id="0"/>
      </w:r>
      <w:r w:rsidDel="00000000" w:rsidR="00000000" w:rsidRPr="00000000">
        <w:rPr>
          <w:rtl w:val="0"/>
        </w:rPr>
        <w:t xml:space="preserve"> with the Business Constituency, as well as those of the ALAC, GAC, and SSAC which together represent the intended users of the SSAD. To summarize, the SSAD Recommendations do not follow the advice of the Belgian DPA and Bird &amp; Bird, lack centralized decision making, lack a sufficient mechanism for evolution, and lack enforceability. We reiterate that the SSAD contemplated by the EPDP Phase 2 will neither provide data predictably nor sufficiently timely access for its intended users. </w:t>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rPr/>
      </w:pPr>
      <w:r w:rsidDel="00000000" w:rsidR="00000000" w:rsidRPr="00000000">
        <w:rPr>
          <w:rtl w:val="0"/>
        </w:rPr>
        <w:t xml:space="preserve">We would also like to recap the three reasons (each of which we think is persuasive independently) we recently shared with the ICANN Board</w:t>
      </w:r>
      <w:r w:rsidDel="00000000" w:rsidR="00000000" w:rsidRPr="00000000">
        <w:rPr>
          <w:vertAlign w:val="superscript"/>
        </w:rPr>
        <w:footnoteReference w:customMarkFollows="0" w:id="1"/>
      </w:r>
      <w:r w:rsidDel="00000000" w:rsidR="00000000" w:rsidRPr="00000000">
        <w:rPr>
          <w:rtl w:val="0"/>
        </w:rPr>
        <w:t xml:space="preserve"> as to why the Board should not adopt the SSAD Recommendations: the recommendations lack the requisite consensus to be adopted and enforced as consensus policy; adopting these recommendations is not in the public interest; and the Board should first seek to fully understand how the NIS2 Directive impacts the relationship between GDPR and domain registration data. </w:t>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rPr/>
      </w:pPr>
      <w:r w:rsidDel="00000000" w:rsidR="00000000" w:rsidRPr="00000000">
        <w:rPr>
          <w:rtl w:val="0"/>
        </w:rPr>
        <w:t xml:space="preserve">We would also like to clarify our request to the Board, which unfortunately could have been made clearer in our letter of 9 March 2021. To be clear, we do not object to the Board’s undertaking of an Operational Design Phase (ODP) related to the SSAD Recommendations. In fact, we think such an ODP will make it clear that the costs of building the SSAD envisioned in the EPDP Phase 2 do not justify its dubious benefits. With that expectation in mind, and for the reasons presented here, we do ask that the Board neither adopt nor implement the SSAD Recommendations. Rather, we respectfully request that the Board remand them to the GNSO for the development of a centralized registration data access model which will work for its intended users. The Belgian DPA described such a centralized access model as a “better, ‘common sense’ option in terms of security and for data subjects,”</w:t>
      </w:r>
      <w:r w:rsidDel="00000000" w:rsidR="00000000" w:rsidRPr="00000000">
        <w:rPr>
          <w:vertAlign w:val="superscript"/>
        </w:rPr>
        <w:footnoteReference w:customMarkFollows="0" w:id="2"/>
      </w:r>
      <w:r w:rsidDel="00000000" w:rsidR="00000000" w:rsidRPr="00000000">
        <w:rPr>
          <w:rtl w:val="0"/>
        </w:rPr>
        <w:t xml:space="preserve"> and legal advice from Bird &amp; Bird touted that it, “offers the least risk of liability to CPs.”</w:t>
      </w:r>
      <w:r w:rsidDel="00000000" w:rsidR="00000000" w:rsidRPr="00000000">
        <w:rPr>
          <w:vertAlign w:val="superscript"/>
        </w:rPr>
        <w:footnoteReference w:customMarkFollows="0" w:id="3"/>
      </w:r>
      <w:r w:rsidDel="00000000" w:rsidR="00000000" w:rsidRPr="00000000">
        <w:rPr>
          <w:rtl w:val="0"/>
        </w:rPr>
        <w:t xml:space="preserve"> The IPC remains committed to collaborative policy development through ICANN’s multistakeholder model, and looks forward to contributing to this work. </w:t>
      </w:r>
    </w:p>
    <w:p w:rsidR="00000000" w:rsidDel="00000000" w:rsidP="00000000" w:rsidRDefault="00000000" w:rsidRPr="00000000" w14:paraId="0000000A">
      <w:pPr>
        <w:rPr/>
      </w:pPr>
      <w:r w:rsidDel="00000000" w:rsidR="00000000" w:rsidRPr="00000000">
        <w:rPr>
          <w:rtl w:val="0"/>
        </w:rPr>
      </w:r>
    </w:p>
    <w:sectPr>
      <w:headerReference r:id="rId7"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otnote w:id="0">
    <w:p w:rsidR="00000000" w:rsidDel="00000000" w:rsidP="00000000" w:rsidRDefault="00000000" w:rsidRPr="00000000" w14:paraId="0000000B">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See </w:t>
      </w:r>
      <w:hyperlink r:id="rId1">
        <w:r w:rsidDel="00000000" w:rsidR="00000000" w:rsidRPr="00000000">
          <w:rPr>
            <w:color w:val="1155cc"/>
            <w:sz w:val="20"/>
            <w:szCs w:val="20"/>
            <w:u w:val="single"/>
            <w:rtl w:val="0"/>
          </w:rPr>
          <w:t xml:space="preserve">https://gnso.icann.org/sites/default/files/file/field-file-attach/epdp-phase-2-temp-spec-gtld-registration-data-2-31jul20-en.pdf</w:t>
        </w:r>
      </w:hyperlink>
      <w:r w:rsidDel="00000000" w:rsidR="00000000" w:rsidRPr="00000000">
        <w:rPr>
          <w:sz w:val="20"/>
          <w:szCs w:val="20"/>
          <w:rtl w:val="0"/>
        </w:rPr>
        <w:t xml:space="preserve"> page 114</w:t>
      </w:r>
    </w:p>
  </w:footnote>
  <w:footnote w:id="1">
    <w:p w:rsidR="00000000" w:rsidDel="00000000" w:rsidP="00000000" w:rsidRDefault="00000000" w:rsidRPr="00000000" w14:paraId="0000000C">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See </w:t>
      </w:r>
      <w:hyperlink r:id="rId2">
        <w:r w:rsidDel="00000000" w:rsidR="00000000" w:rsidRPr="00000000">
          <w:rPr>
            <w:color w:val="1155cc"/>
            <w:sz w:val="20"/>
            <w:szCs w:val="20"/>
            <w:u w:val="single"/>
            <w:rtl w:val="0"/>
          </w:rPr>
          <w:t xml:space="preserve">https://www.icann.org/en/system/files/correspondence/forrest-to-botterman-09mar21-en.pdf</w:t>
        </w:r>
      </w:hyperlink>
      <w:r w:rsidDel="00000000" w:rsidR="00000000" w:rsidRPr="00000000">
        <w:rPr>
          <w:sz w:val="20"/>
          <w:szCs w:val="20"/>
          <w:rtl w:val="0"/>
        </w:rPr>
        <w:t xml:space="preserve"> </w:t>
      </w:r>
    </w:p>
  </w:footnote>
  <w:footnote w:id="2">
    <w:p w:rsidR="00000000" w:rsidDel="00000000" w:rsidP="00000000" w:rsidRDefault="00000000" w:rsidRPr="00000000" w14:paraId="0000000D">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See </w:t>
      </w:r>
      <w:hyperlink r:id="rId3">
        <w:r w:rsidDel="00000000" w:rsidR="00000000" w:rsidRPr="00000000">
          <w:rPr>
            <w:color w:val="1155cc"/>
            <w:sz w:val="20"/>
            <w:szCs w:val="20"/>
            <w:u w:val="single"/>
            <w:rtl w:val="0"/>
          </w:rPr>
          <w:t xml:space="preserve">https://www.icann.org/en/blogs/details/icann-meets-with-belgian-data-protection-authority-19-2-2020-en</w:t>
        </w:r>
      </w:hyperlink>
      <w:r w:rsidDel="00000000" w:rsidR="00000000" w:rsidRPr="00000000">
        <w:rPr>
          <w:sz w:val="20"/>
          <w:szCs w:val="20"/>
          <w:rtl w:val="0"/>
        </w:rPr>
        <w:t xml:space="preserve"> </w:t>
      </w:r>
    </w:p>
  </w:footnote>
  <w:footnote w:id="3">
    <w:p w:rsidR="00000000" w:rsidDel="00000000" w:rsidP="00000000" w:rsidRDefault="00000000" w:rsidRPr="00000000" w14:paraId="0000000E">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See </w:t>
      </w:r>
      <w:hyperlink r:id="rId4">
        <w:r w:rsidDel="00000000" w:rsidR="00000000" w:rsidRPr="00000000">
          <w:rPr>
            <w:color w:val="1155cc"/>
            <w:sz w:val="20"/>
            <w:szCs w:val="20"/>
            <w:u w:val="single"/>
            <w:rtl w:val="0"/>
          </w:rPr>
          <w:t xml:space="preserve">https://community.icann.org/download/attachments/111388744/ICANN_Automation%20memo%2023%20April%202020%5B1%5D.pdf?version=1&amp;modificationDate=1588031170000&amp;api=v2</w:t>
        </w:r>
      </w:hyperlink>
      <w:r w:rsidDel="00000000" w:rsidR="00000000" w:rsidRPr="00000000">
        <w:rPr>
          <w:sz w:val="20"/>
          <w:szCs w:val="20"/>
          <w:rtl w:val="0"/>
        </w:rPr>
        <w:t xml:space="preserve"> </w:t>
      </w:r>
    </w:p>
  </w:footnote>
</w:footnote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0F">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s://gnso.icann.org/sites/default/files/file/field-file-attach/epdp-phase-2-temp-spec-gtld-registration-data-2-31jul20-en.pdf" TargetMode="External"/><Relationship Id="rId2" Type="http://schemas.openxmlformats.org/officeDocument/2006/relationships/hyperlink" Target="https://www.icann.org/en/system/files/correspondence/forrest-to-botterman-09mar21-en.pdf" TargetMode="External"/><Relationship Id="rId3" Type="http://schemas.openxmlformats.org/officeDocument/2006/relationships/hyperlink" Target="https://www.icann.org/en/blogs/details/icann-meets-with-belgian-data-protection-authority-19-2-2020-en" TargetMode="External"/><Relationship Id="rId4" Type="http://schemas.openxmlformats.org/officeDocument/2006/relationships/hyperlink" Target="https://community.icann.org/download/attachments/111388744/ICANN_Automation%20memo%2023%20April%202020%5B1%5D.pdf?version=1&amp;modificationDate=1588031170000&amp;api=v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