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BBFDA8" w14:textId="77777777" w:rsidR="006F35DA" w:rsidRDefault="00256860">
      <w:pPr>
        <w:rPr>
          <w:b/>
        </w:rPr>
      </w:pPr>
      <w:r>
        <w:rPr>
          <w:b/>
        </w:rPr>
        <w:t>ICANN Draft FY19 Operating Plan and Budget and Five Year Operating Plan Update</w:t>
      </w:r>
    </w:p>
    <w:p w14:paraId="6DFA2789" w14:textId="77777777" w:rsidR="006F35DA" w:rsidRDefault="006F35DA">
      <w:pPr>
        <w:rPr>
          <w:b/>
        </w:rPr>
      </w:pPr>
    </w:p>
    <w:p w14:paraId="32C1FDCE" w14:textId="283B39DB" w:rsidR="004E1CFA" w:rsidRPr="006F35DA" w:rsidRDefault="006F35DA">
      <w:pPr>
        <w:rPr>
          <w:b/>
        </w:rPr>
      </w:pPr>
      <w:r>
        <w:rPr>
          <w:b/>
        </w:rPr>
        <w:t>Public Comment from Registries Stakeholder Group</w:t>
      </w:r>
      <w:r w:rsidR="00256860">
        <w:rPr>
          <w:b/>
        </w:rPr>
        <w:t xml:space="preserve"> </w:t>
      </w:r>
    </w:p>
    <w:p w14:paraId="7A53CA49" w14:textId="77777777" w:rsidR="004E1CFA" w:rsidRDefault="004E1CFA">
      <w:pPr>
        <w:rPr>
          <w:i/>
        </w:rPr>
      </w:pPr>
    </w:p>
    <w:p w14:paraId="7B8445FB" w14:textId="77777777" w:rsidR="004E1CFA" w:rsidRDefault="00256860">
      <w:pPr>
        <w:rPr>
          <w:b/>
        </w:rPr>
      </w:pPr>
      <w:r>
        <w:rPr>
          <w:b/>
        </w:rPr>
        <w:t>1. Introduction</w:t>
      </w:r>
    </w:p>
    <w:p w14:paraId="1C7DAAF1" w14:textId="77777777" w:rsidR="004E1CFA" w:rsidRDefault="004E1CFA"/>
    <w:p w14:paraId="387A6881" w14:textId="67265029" w:rsidR="004E1CFA" w:rsidRDefault="00256860">
      <w:r>
        <w:t xml:space="preserve">The Registries Stakeholder Group (RySG) welcomes the opportunity to comment on the ICANN Draft FY19 Operating Plan and Budget and Five Year Operating Plan Update. </w:t>
      </w:r>
      <w:r w:rsidR="006F35DA">
        <w:t xml:space="preserve">We recognise that the income </w:t>
      </w:r>
      <w:r>
        <w:t xml:space="preserve">expectations for the FY19 </w:t>
      </w:r>
      <w:r w:rsidR="006F35DA">
        <w:t>require</w:t>
      </w:r>
      <w:r>
        <w:t xml:space="preserve"> ICANN, in sharp contrast to previous years, to undertake</w:t>
      </w:r>
      <w:r>
        <w:t xml:space="preserve"> some belt tightening.</w:t>
      </w:r>
      <w:r w:rsidR="006F35DA">
        <w:t xml:space="preserve"> The Registries Stakeholder Group is strongly supportive of this.</w:t>
      </w:r>
    </w:p>
    <w:p w14:paraId="4B07FC19" w14:textId="77777777" w:rsidR="004E1CFA" w:rsidRDefault="004E1CFA">
      <w:pPr>
        <w:rPr>
          <w:b/>
        </w:rPr>
      </w:pPr>
    </w:p>
    <w:p w14:paraId="0C5F1FC1" w14:textId="6134338C" w:rsidR="004E1CFA" w:rsidRDefault="00256860">
      <w:pPr>
        <w:rPr>
          <w:b/>
        </w:rPr>
      </w:pPr>
      <w:r>
        <w:rPr>
          <w:b/>
        </w:rPr>
        <w:t xml:space="preserve">2. Overarching </w:t>
      </w:r>
      <w:r w:rsidR="00BB19BD">
        <w:rPr>
          <w:b/>
        </w:rPr>
        <w:t>points</w:t>
      </w:r>
      <w:r>
        <w:rPr>
          <w:b/>
        </w:rPr>
        <w:t xml:space="preserve"> </w:t>
      </w:r>
    </w:p>
    <w:p w14:paraId="3851EC55" w14:textId="77777777" w:rsidR="004E1CFA" w:rsidRDefault="004E1CFA"/>
    <w:p w14:paraId="39E43BB7" w14:textId="77777777" w:rsidR="004E1CFA" w:rsidRDefault="00256860">
      <w:pPr>
        <w:rPr>
          <w:i/>
        </w:rPr>
      </w:pPr>
      <w:r>
        <w:rPr>
          <w:i/>
        </w:rPr>
        <w:t xml:space="preserve">2.1. Towards a more cost-conscious ICANN org </w:t>
      </w:r>
    </w:p>
    <w:p w14:paraId="03D3B639" w14:textId="77777777" w:rsidR="004E1CFA" w:rsidRDefault="004E1CFA"/>
    <w:p w14:paraId="6C025AE8" w14:textId="1B4AAAA6" w:rsidR="004E1CFA" w:rsidRDefault="00256860">
      <w:r>
        <w:t xml:space="preserve">The RySG is pleased to see that the proposed expenses do not exceed the projected revenue for FY19, and </w:t>
      </w:r>
      <w:r w:rsidR="001F573F">
        <w:t xml:space="preserve">firmly </w:t>
      </w:r>
      <w:r>
        <w:t xml:space="preserve">appreciates the </w:t>
      </w:r>
      <w:r w:rsidR="001F573F">
        <w:t xml:space="preserve">organisations </w:t>
      </w:r>
      <w:r>
        <w:t>focus on cost control and savings thro</w:t>
      </w:r>
      <w:r>
        <w:t>ugh optimizing internal processes and procedures. We would like to see this mark the beginning of a change in culture, characterised by a more cost-conscious ICANN that works well within the fiscal constraints imposed by limited funds.</w:t>
      </w:r>
    </w:p>
    <w:p w14:paraId="31666AF2" w14:textId="77777777" w:rsidR="004E1CFA" w:rsidRDefault="004E1CFA"/>
    <w:p w14:paraId="412198B6" w14:textId="77777777" w:rsidR="004E1CFA" w:rsidRDefault="00256860">
      <w:pPr>
        <w:rPr>
          <w:i/>
        </w:rPr>
      </w:pPr>
      <w:r>
        <w:rPr>
          <w:i/>
        </w:rPr>
        <w:t>2.2. Forecasted ICA</w:t>
      </w:r>
      <w:r>
        <w:rPr>
          <w:i/>
        </w:rPr>
        <w:t>NN revenue</w:t>
      </w:r>
    </w:p>
    <w:p w14:paraId="40EC4CF1" w14:textId="77777777" w:rsidR="004E1CFA" w:rsidRDefault="004E1CFA"/>
    <w:p w14:paraId="445096B0" w14:textId="03BC6E4A" w:rsidR="004E1CFA" w:rsidRDefault="00256860">
      <w:r>
        <w:t>Reliable forecasts, characterised by their scrutiny and realism, are fundamental to put together a realistic budget and to avoid unpleasant surprises, such as the shortage ICANN is experiencing in the current fiscal year. The RySG advises ICANN</w:t>
      </w:r>
      <w:r>
        <w:t xml:space="preserve"> to </w:t>
      </w:r>
      <w:r>
        <w:t xml:space="preserve">continue to </w:t>
      </w:r>
      <w:r w:rsidR="001F573F">
        <w:t>conduct checks</w:t>
      </w:r>
      <w:r>
        <w:t xml:space="preserve"> on its forecasts</w:t>
      </w:r>
      <w:r>
        <w:t xml:space="preserve"> and </w:t>
      </w:r>
      <w:r w:rsidR="00BB19BD">
        <w:t>to re-evaluate</w:t>
      </w:r>
      <w:r>
        <w:t xml:space="preserve"> the methodology used to predict its income</w:t>
      </w:r>
      <w:r>
        <w:t xml:space="preserve"> in order to prevent another funding shortfall </w:t>
      </w:r>
      <w:r w:rsidR="00BB19BD">
        <w:t>such as that which</w:t>
      </w:r>
      <w:r>
        <w:t xml:space="preserve"> the organization experienced in FY18.</w:t>
      </w:r>
    </w:p>
    <w:p w14:paraId="62B1AF4F" w14:textId="77777777" w:rsidR="004E1CFA" w:rsidRDefault="004E1CFA"/>
    <w:p w14:paraId="559F4D94" w14:textId="77777777" w:rsidR="004E1CFA" w:rsidRDefault="00256860">
      <w:pPr>
        <w:rPr>
          <w:i/>
        </w:rPr>
      </w:pPr>
      <w:r>
        <w:rPr>
          <w:i/>
        </w:rPr>
        <w:t>2.3. Replenishing the ICANN Reserve Fund</w:t>
      </w:r>
    </w:p>
    <w:p w14:paraId="5B700579" w14:textId="77777777" w:rsidR="004E1CFA" w:rsidRDefault="004E1CFA"/>
    <w:p w14:paraId="738EE392" w14:textId="4A45E03F" w:rsidR="004E1CFA" w:rsidRDefault="00256860">
      <w:r>
        <w:t xml:space="preserve">ICANN’s current Investment Policy determines that it should target a Reserve Fund equal to minimum 12 month’s operating expenses. It is a matter of </w:t>
      </w:r>
      <w:r>
        <w:t xml:space="preserve">current discussion as to how the Reserve Fund should be replenished, and </w:t>
      </w:r>
      <w:r w:rsidR="002D2A91">
        <w:t xml:space="preserve">indeed </w:t>
      </w:r>
      <w:r>
        <w:t>whether that 12</w:t>
      </w:r>
      <w:r>
        <w:t>-</w:t>
      </w:r>
      <w:r>
        <w:t>month lev</w:t>
      </w:r>
      <w:r>
        <w:t xml:space="preserve">el should be amended. The RySG reiterates its </w:t>
      </w:r>
      <w:r w:rsidR="00BB19BD">
        <w:t>view</w:t>
      </w:r>
      <w:r>
        <w:t xml:space="preserve"> that the Reserve Fund is intended to allow ICANN to continue providing its core function, and that the fund’s target level should be based on a detailed estimate of the resources required to continue op</w:t>
      </w:r>
      <w:r>
        <w:t xml:space="preserve">eration in survival mode rather than on </w:t>
      </w:r>
      <w:r w:rsidR="007B6525">
        <w:t>a</w:t>
      </w:r>
      <w:r>
        <w:t xml:space="preserve"> full</w:t>
      </w:r>
      <w:r w:rsidR="00BB19BD">
        <w:t>y expensed</w:t>
      </w:r>
      <w:r>
        <w:t xml:space="preserve"> one-year budget</w:t>
      </w:r>
      <w:r w:rsidR="007B6525">
        <w:t xml:space="preserve"> basis</w:t>
      </w:r>
      <w:r>
        <w:t xml:space="preserve">. Moreover, the RySG view is that regardless of the determination as to how the ICANN Reserve Fund is replenished, diligent cost control of ICANN’s expenditure is a </w:t>
      </w:r>
      <w:r w:rsidR="00BB19BD">
        <w:t>vital</w:t>
      </w:r>
      <w:r>
        <w:t xml:space="preserve"> </w:t>
      </w:r>
      <w:r w:rsidR="007B6525">
        <w:t xml:space="preserve">ongoing </w:t>
      </w:r>
      <w:r>
        <w:t>component. The budget p</w:t>
      </w:r>
      <w:r>
        <w:t xml:space="preserve">rocess </w:t>
      </w:r>
      <w:r w:rsidR="00BB19BD">
        <w:t xml:space="preserve">for FY 19 and beyond </w:t>
      </w:r>
      <w:r>
        <w:t>must anticipate an annual contribution to the Reserve Fund from ICANN’s income.</w:t>
      </w:r>
    </w:p>
    <w:p w14:paraId="4BBD5877" w14:textId="77777777" w:rsidR="004E1CFA" w:rsidRDefault="004E1CFA"/>
    <w:p w14:paraId="39F7B3F5" w14:textId="77777777" w:rsidR="004E1CFA" w:rsidRDefault="00256860">
      <w:pPr>
        <w:rPr>
          <w:i/>
        </w:rPr>
      </w:pPr>
      <w:r>
        <w:rPr>
          <w:i/>
        </w:rPr>
        <w:t>2.4. Policy Development and Policy Implementation</w:t>
      </w:r>
    </w:p>
    <w:p w14:paraId="6EBF98F7" w14:textId="77777777" w:rsidR="004E1CFA" w:rsidRDefault="004E1CFA">
      <w:pPr>
        <w:rPr>
          <w:i/>
        </w:rPr>
      </w:pPr>
    </w:p>
    <w:p w14:paraId="2E43DA10" w14:textId="57855982" w:rsidR="00BB19BD" w:rsidRDefault="00256860" w:rsidP="00BB19BD">
      <w:r>
        <w:t xml:space="preserve">A budget </w:t>
      </w:r>
      <w:r w:rsidR="00BB19BD">
        <w:t>necessarily</w:t>
      </w:r>
      <w:r>
        <w:t xml:space="preserve"> balances competing demands and projects </w:t>
      </w:r>
      <w:r w:rsidR="00BB19BD">
        <w:t xml:space="preserve">around an </w:t>
      </w:r>
      <w:r>
        <w:t xml:space="preserve">organization’s mission and </w:t>
      </w:r>
      <w:r w:rsidR="00BB19BD">
        <w:t>objectives</w:t>
      </w:r>
      <w:r>
        <w:t>. For ICANN, funding the policy development process and</w:t>
      </w:r>
      <w:r w:rsidR="002D2A91">
        <w:t xml:space="preserve"> associated </w:t>
      </w:r>
      <w:r>
        <w:lastRenderedPageBreak/>
        <w:t xml:space="preserve">policy implementation </w:t>
      </w:r>
      <w:r w:rsidR="002D2A91">
        <w:t xml:space="preserve">work </w:t>
      </w:r>
      <w:r>
        <w:t>is a core obligation</w:t>
      </w:r>
      <w:r w:rsidR="00BB19BD">
        <w:t xml:space="preserve"> t</w:t>
      </w:r>
      <w:r>
        <w:t xml:space="preserve">hat should take priority over other projects </w:t>
      </w:r>
      <w:r w:rsidR="00BB19BD">
        <w:t>at times when trade-offs</w:t>
      </w:r>
      <w:r>
        <w:t xml:space="preserve"> are </w:t>
      </w:r>
      <w:r w:rsidR="00BB19BD">
        <w:t>required</w:t>
      </w:r>
      <w:r>
        <w:t>.</w:t>
      </w:r>
    </w:p>
    <w:p w14:paraId="43590FD1" w14:textId="77777777" w:rsidR="00BB19BD" w:rsidRDefault="00BB19BD" w:rsidP="00BB19BD"/>
    <w:p w14:paraId="198A3678" w14:textId="7C116B94" w:rsidR="004E1CFA" w:rsidRDefault="00256860" w:rsidP="00BB19BD">
      <w:pPr>
        <w:rPr>
          <w:i/>
        </w:rPr>
      </w:pPr>
      <w:r>
        <w:rPr>
          <w:i/>
        </w:rPr>
        <w:t xml:space="preserve">2.5. </w:t>
      </w:r>
      <w:r>
        <w:rPr>
          <w:i/>
        </w:rPr>
        <w:t>New gTLD Program Fund Being Used for Regular Operations</w:t>
      </w:r>
    </w:p>
    <w:p w14:paraId="665863C5" w14:textId="77777777" w:rsidR="004E1CFA" w:rsidRPr="00E433F8" w:rsidRDefault="004E1CFA">
      <w:pPr>
        <w:rPr>
          <w:b/>
        </w:rPr>
      </w:pPr>
    </w:p>
    <w:p w14:paraId="67F87606" w14:textId="497F8E64" w:rsidR="004E1CFA" w:rsidRPr="00E433F8" w:rsidRDefault="00256860">
      <w:r w:rsidRPr="00E433F8">
        <w:t>We are con</w:t>
      </w:r>
      <w:r w:rsidRPr="00E433F8">
        <w:t xml:space="preserve">cerned that resources from the New gTLD fund are being used to fund general operations. The estimated expenses for the full program </w:t>
      </w:r>
      <w:r w:rsidR="0000027B">
        <w:t xml:space="preserve">have increased </w:t>
      </w:r>
      <w:r w:rsidRPr="00E433F8">
        <w:t xml:space="preserve">by $14M with little to </w:t>
      </w:r>
      <w:r w:rsidR="0000027B">
        <w:t>no</w:t>
      </w:r>
      <w:r w:rsidRPr="00E433F8">
        <w:t xml:space="preserve"> transparency </w:t>
      </w:r>
      <w:r w:rsidR="00ED3C72">
        <w:t>as to the reason for</w:t>
      </w:r>
      <w:r w:rsidRPr="00E433F8">
        <w:t xml:space="preserve"> the change</w:t>
      </w:r>
      <w:r w:rsidRPr="00E433F8">
        <w:t xml:space="preserve">. Without sufficient transparency, the </w:t>
      </w:r>
      <w:r w:rsidR="00512F7C">
        <w:t xml:space="preserve">concerning </w:t>
      </w:r>
      <w:r w:rsidRPr="00E433F8">
        <w:t>conclusion</w:t>
      </w:r>
      <w:r w:rsidRPr="00E433F8">
        <w:t xml:space="preserve"> we </w:t>
      </w:r>
      <w:r w:rsidR="0000027B">
        <w:t>can</w:t>
      </w:r>
      <w:r w:rsidRPr="00E433F8">
        <w:t xml:space="preserve"> draw is that New gTLD funds </w:t>
      </w:r>
      <w:r w:rsidRPr="00E433F8">
        <w:t xml:space="preserve">are being used </w:t>
      </w:r>
      <w:r w:rsidR="0000027B">
        <w:t xml:space="preserve">(inappropriately) in order to fund </w:t>
      </w:r>
      <w:r w:rsidRPr="00E433F8">
        <w:t>regular ICANN operations.</w:t>
      </w:r>
    </w:p>
    <w:p w14:paraId="41D4AEE1" w14:textId="77777777" w:rsidR="004E1CFA" w:rsidRDefault="004E1CFA">
      <w:pPr>
        <w:rPr>
          <w:b/>
        </w:rPr>
      </w:pPr>
    </w:p>
    <w:p w14:paraId="690C6132" w14:textId="77777777" w:rsidR="004E1CFA" w:rsidRDefault="00256860">
      <w:pPr>
        <w:rPr>
          <w:b/>
        </w:rPr>
      </w:pPr>
      <w:r>
        <w:rPr>
          <w:b/>
        </w:rPr>
        <w:t>3. Comments on the draft FY19 Operating Plan and Budget</w:t>
      </w:r>
    </w:p>
    <w:p w14:paraId="1AF9B753" w14:textId="77777777" w:rsidR="004E1CFA" w:rsidRDefault="004E1CFA">
      <w:pPr>
        <w:rPr>
          <w:b/>
        </w:rPr>
      </w:pPr>
    </w:p>
    <w:p w14:paraId="78FA9DCD" w14:textId="77777777" w:rsidR="004E1CFA" w:rsidRDefault="00256860">
      <w:pPr>
        <w:rPr>
          <w:b/>
          <w:u w:val="single"/>
        </w:rPr>
      </w:pPr>
      <w:r>
        <w:rPr>
          <w:b/>
        </w:rPr>
        <w:t>Policy Development</w:t>
      </w:r>
    </w:p>
    <w:p w14:paraId="4184B995" w14:textId="77777777" w:rsidR="004E1CFA" w:rsidRDefault="004E1CFA">
      <w:pPr>
        <w:rPr>
          <w:u w:val="single"/>
        </w:rPr>
      </w:pPr>
    </w:p>
    <w:p w14:paraId="1BD06990" w14:textId="77777777" w:rsidR="004E1CFA" w:rsidRDefault="00256860">
      <w:pPr>
        <w:spacing w:after="200"/>
        <w:rPr>
          <w:i/>
        </w:rPr>
      </w:pPr>
      <w:r>
        <w:rPr>
          <w:i/>
        </w:rPr>
        <w:t>3.1. Implementation of Subsequent Procedures for New gTLDs</w:t>
      </w:r>
    </w:p>
    <w:p w14:paraId="256E8A63" w14:textId="1DEA5165" w:rsidR="004E1CFA" w:rsidRDefault="00256860">
      <w:pPr>
        <w:spacing w:after="200"/>
      </w:pPr>
      <w:r>
        <w:t>The RySG understand</w:t>
      </w:r>
      <w:r>
        <w:t>s the FY19 draft budget does not account for development or resources towards the next round(s) of new gTLDs</w:t>
      </w:r>
      <w:r>
        <w:rPr>
          <w:vertAlign w:val="superscript"/>
        </w:rPr>
        <w:footnoteReference w:id="1"/>
      </w:r>
      <w:r>
        <w:t xml:space="preserve">. It is anticipated that the Subsequent Procedures PDP will complete its work by December 2018 with an expectation that </w:t>
      </w:r>
      <w:r w:rsidR="00512F7C">
        <w:t xml:space="preserve">the </w:t>
      </w:r>
      <w:r>
        <w:t>consensus recommendations w</w:t>
      </w:r>
      <w:r>
        <w:t>ill be adopted by the Board prior to the conclusion of FY19.</w:t>
      </w:r>
    </w:p>
    <w:p w14:paraId="1CBFBFF9" w14:textId="50C9E347" w:rsidR="004E1CFA" w:rsidRPr="00E433F8" w:rsidRDefault="00256860">
      <w:pPr>
        <w:spacing w:after="200"/>
      </w:pPr>
      <w:r>
        <w:t xml:space="preserve">It is important to recall that the current GNSO Policy on </w:t>
      </w:r>
      <w:r>
        <w:t xml:space="preserve">the </w:t>
      </w:r>
      <w:r>
        <w:t>Introduction of New Generic Top-Level Domains</w:t>
      </w:r>
      <w:r>
        <w:rPr>
          <w:vertAlign w:val="superscript"/>
        </w:rPr>
        <w:footnoteReference w:id="2"/>
      </w:r>
      <w:r>
        <w:t xml:space="preserve"> includes, as its very first principle</w:t>
      </w:r>
      <w:r>
        <w:t>,</w:t>
      </w:r>
      <w:r>
        <w:t xml:space="preserve"> the statement that “</w:t>
      </w:r>
      <w:r>
        <w:rPr>
          <w:i/>
        </w:rPr>
        <w:t>New generic top-level domains (gTLDs) must be introduced in an orderly, timely and predictable way</w:t>
      </w:r>
      <w:r>
        <w:rPr>
          <w:i/>
        </w:rPr>
        <w:t>.</w:t>
      </w:r>
      <w:r>
        <w:t xml:space="preserve"> </w:t>
      </w:r>
      <w:r>
        <w:t xml:space="preserve">This principle was implemented in the 2012 round Applicant Guidebook </w:t>
      </w:r>
      <w:r>
        <w:t xml:space="preserve">(which stated, </w:t>
      </w:r>
      <w:r>
        <w:t>“</w:t>
      </w:r>
      <w:r>
        <w:rPr>
          <w:i/>
        </w:rPr>
        <w:t>ICANN’s goal is to launch subsequent gTLD application rounds as quickly as possible</w:t>
      </w:r>
      <w:r>
        <w:rPr>
          <w:i/>
        </w:rPr>
        <w:t>”</w:t>
      </w:r>
      <w:r>
        <w:rPr>
          <w:i/>
          <w:vertAlign w:val="superscript"/>
        </w:rPr>
        <w:footnoteReference w:id="3"/>
      </w:r>
      <w:r>
        <w:rPr>
          <w:i/>
        </w:rPr>
        <w:t>)</w:t>
      </w:r>
      <w:r>
        <w:rPr>
          <w:i/>
        </w:rPr>
        <w:t xml:space="preserve"> </w:t>
      </w:r>
      <w:r w:rsidRPr="00E433F8">
        <w:t>and reiterated by the ICANN Board in Resolution 2012.</w:t>
      </w:r>
      <w:r w:rsidRPr="00E433F8">
        <w:t>02.07.054: “</w:t>
      </w:r>
      <w:r>
        <w:rPr>
          <w:i/>
        </w:rPr>
        <w:t>ICANN is committed to opening a second application window for the New gTLD Program as expeditiously as possible.</w:t>
      </w:r>
      <w:r w:rsidRPr="00E433F8">
        <w:t>”</w:t>
      </w:r>
      <w:r>
        <w:rPr>
          <w:i/>
          <w:vertAlign w:val="superscript"/>
        </w:rPr>
        <w:footnoteReference w:id="4"/>
      </w:r>
    </w:p>
    <w:p w14:paraId="45ACB45E" w14:textId="5C0B028F" w:rsidR="004E1CFA" w:rsidRDefault="00256860">
      <w:pPr>
        <w:spacing w:after="200"/>
      </w:pPr>
      <w:r>
        <w:t>Knowing how long it takes</w:t>
      </w:r>
      <w:r>
        <w:t xml:space="preserve"> to implement this type of complex </w:t>
      </w:r>
      <w:r>
        <w:t>program, the RySG asked ICANN to begin the implementation work nine months ago.</w:t>
      </w:r>
      <w:r>
        <w:rPr>
          <w:vertAlign w:val="superscript"/>
        </w:rPr>
        <w:footnoteReference w:id="5"/>
      </w:r>
      <w:r>
        <w:t xml:space="preserve">  Despite not wanting to set a definitive timeline for the implementation of the next round(s) of new gTLDs, in response to the RySG r</w:t>
      </w:r>
      <w:r>
        <w:t xml:space="preserve">equest, the then-ICANN Board </w:t>
      </w:r>
      <w:r>
        <w:t>C</w:t>
      </w:r>
      <w:r>
        <w:t>hair acknowledged that “Some amount of preparatory work could be done in parallel to the PDP Working Group’s discussions.”</w:t>
      </w:r>
      <w:r>
        <w:rPr>
          <w:vertAlign w:val="superscript"/>
        </w:rPr>
        <w:footnoteReference w:id="6"/>
      </w:r>
    </w:p>
    <w:p w14:paraId="0D905710" w14:textId="033B341A" w:rsidR="004E1CFA" w:rsidRDefault="00256860">
      <w:pPr>
        <w:spacing w:after="200"/>
      </w:pPr>
      <w:r>
        <w:t xml:space="preserve">However, the proposed </w:t>
      </w:r>
      <w:r w:rsidR="00512F7C">
        <w:t xml:space="preserve">FY19 </w:t>
      </w:r>
      <w:r>
        <w:t xml:space="preserve">budget and operational plan not only does not include specific allocations for </w:t>
      </w:r>
      <w:r>
        <w:t>such preparatory work, but it states affirmatively that “</w:t>
      </w:r>
      <w:r>
        <w:rPr>
          <w:i/>
        </w:rPr>
        <w:t>No resources are in the FY19 budget for this implementation work</w:t>
      </w:r>
      <w:r>
        <w:t>.”</w:t>
      </w:r>
      <w:r>
        <w:rPr>
          <w:vertAlign w:val="superscript"/>
        </w:rPr>
        <w:footnoteReference w:id="7"/>
      </w:r>
      <w:r>
        <w:t xml:space="preserve"> </w:t>
      </w:r>
    </w:p>
    <w:p w14:paraId="67D09011" w14:textId="2D6E1DAA" w:rsidR="00512F7C" w:rsidRDefault="00256860" w:rsidP="00E433F8">
      <w:pPr>
        <w:spacing w:after="200"/>
        <w:ind w:right="720"/>
        <w:jc w:val="both"/>
      </w:pPr>
      <w:r>
        <w:lastRenderedPageBreak/>
        <w:t xml:space="preserve">In its FY08 Plan and Budget, </w:t>
      </w:r>
      <w:r>
        <w:t>before the GNSO had formally adopted the new gTLD Policy, ICANN recognized that developing the N</w:t>
      </w:r>
      <w:r>
        <w:t>ew gTLD Program would require significant start-up investment.</w:t>
      </w:r>
    </w:p>
    <w:p w14:paraId="521994EC" w14:textId="48124C48" w:rsidR="004E1CFA" w:rsidRDefault="00256860">
      <w:pPr>
        <w:rPr>
          <w:rFonts w:ascii="Calibri" w:eastAsia="Calibri" w:hAnsi="Calibri" w:cs="Calibri"/>
        </w:rPr>
      </w:pPr>
      <w:r>
        <w:t>As such, i</w:t>
      </w:r>
      <w:r>
        <w:t xml:space="preserve">n July 2009, </w:t>
      </w:r>
      <w:r>
        <w:t>two</w:t>
      </w:r>
      <w:r>
        <w:t xml:space="preserve"> years prior to the launch of the new gTLD round, ICANN budgeted over $7.5 million towards the implementation of the gTLD round</w:t>
      </w:r>
      <w:r>
        <w:t>, specifically</w:t>
      </w:r>
      <w:r>
        <w:t xml:space="preserve"> </w:t>
      </w:r>
      <w:r>
        <w:t>towards “</w:t>
      </w:r>
      <w:r>
        <w:rPr>
          <w:i/>
        </w:rPr>
        <w:t>the staff, profes</w:t>
      </w:r>
      <w:r>
        <w:rPr>
          <w:i/>
        </w:rPr>
        <w:t>sional services, and technical costs required to complete the development of the implementation of the New gTLD policy recommendations as well as those costs necessary to prepare for New gTLD application processing (e.g. advanced staffing of the applicatio</w:t>
      </w:r>
      <w:r>
        <w:rPr>
          <w:i/>
        </w:rPr>
        <w:t>n processing function).</w:t>
      </w:r>
      <w:r>
        <w:t>”</w:t>
      </w:r>
      <w:r>
        <w:rPr>
          <w:vertAlign w:val="superscript"/>
        </w:rPr>
        <w:footnoteReference w:id="8"/>
      </w:r>
    </w:p>
    <w:p w14:paraId="25FF4C57" w14:textId="77777777" w:rsidR="00512F7C" w:rsidRDefault="00512F7C">
      <w:pPr>
        <w:rPr>
          <w:rFonts w:ascii="Calibri" w:eastAsia="Calibri" w:hAnsi="Calibri" w:cs="Calibri"/>
        </w:rPr>
      </w:pPr>
    </w:p>
    <w:p w14:paraId="27281564" w14:textId="3E8DF5CD" w:rsidR="00512F7C" w:rsidRDefault="00512F7C" w:rsidP="00387CBE">
      <w:pPr>
        <w:spacing w:after="200"/>
        <w:ind w:right="720"/>
        <w:jc w:val="both"/>
      </w:pPr>
      <w:r>
        <w:t xml:space="preserve">Although the new gTLD process was, and likely will be in subsequent procedures, </w:t>
      </w:r>
      <w:r w:rsidR="00387CBE">
        <w:t xml:space="preserve">both </w:t>
      </w:r>
      <w:r>
        <w:t>self-funded and offset by application fees, ICANN understood that it would need to budget adequate resources to implement the new gTLD policy,  including, but not limited to:</w:t>
      </w:r>
    </w:p>
    <w:p w14:paraId="47C973B8" w14:textId="77777777" w:rsidR="00512F7C" w:rsidRDefault="00512F7C" w:rsidP="00512F7C">
      <w:pPr>
        <w:ind w:left="1440" w:hanging="360"/>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recruitment of staff for the new gTLD program office</w:t>
      </w:r>
    </w:p>
    <w:p w14:paraId="1669443F" w14:textId="77777777" w:rsidR="00512F7C" w:rsidRDefault="00512F7C" w:rsidP="00512F7C">
      <w:pPr>
        <w:ind w:left="1440" w:hanging="360"/>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professional service fees associated with the production of the Applicant Guidebook</w:t>
      </w:r>
    </w:p>
    <w:p w14:paraId="5F6BD5AA" w14:textId="77777777" w:rsidR="00512F7C" w:rsidRDefault="00512F7C" w:rsidP="00512F7C">
      <w:pPr>
        <w:ind w:left="1440" w:hanging="360"/>
      </w:pPr>
      <w: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development of systems to handle objections, dispute resolutions, and technical/business/financial reviews, and</w:t>
      </w:r>
    </w:p>
    <w:p w14:paraId="46F0BE1D" w14:textId="77777777" w:rsidR="00512F7C" w:rsidRDefault="00512F7C" w:rsidP="00512F7C">
      <w:pPr>
        <w:ind w:left="1440" w:hanging="360"/>
      </w:pPr>
      <w: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creation and implementation of a communications strategy across many different languages, to announce and promote the expansion to the global Internet community.</w:t>
      </w:r>
    </w:p>
    <w:p w14:paraId="1CBA32D5" w14:textId="77777777" w:rsidR="00512F7C" w:rsidRDefault="00512F7C" w:rsidP="00512F7C"/>
    <w:p w14:paraId="6741328C" w14:textId="5EEBC7BD" w:rsidR="004E1CFA" w:rsidRDefault="00256860">
      <w:r>
        <w:t>While</w:t>
      </w:r>
      <w:r>
        <w:t xml:space="preserve"> the GNSO </w:t>
      </w:r>
      <w:r>
        <w:t>i</w:t>
      </w:r>
      <w:r>
        <w:t xml:space="preserve">s still engaged in the policy </w:t>
      </w:r>
      <w:r>
        <w:t xml:space="preserve">development </w:t>
      </w:r>
      <w:r>
        <w:t>process for determi</w:t>
      </w:r>
      <w:r>
        <w:t>ning what changes will be required for the introduction of additional new gTLDs, it is anticipated that such policy work will be completed during FY</w:t>
      </w:r>
      <w:r>
        <w:t xml:space="preserve">19.  Many of the same costs that were </w:t>
      </w:r>
      <w:r w:rsidR="00387CBE">
        <w:t xml:space="preserve">incurred </w:t>
      </w:r>
      <w:r>
        <w:t>for the 2012 round of new gTLDs will be required for the next round</w:t>
      </w:r>
      <w:r>
        <w:t>,</w:t>
      </w:r>
      <w:r>
        <w:t xml:space="preserve"> </w:t>
      </w:r>
      <w:r w:rsidR="00512F7C">
        <w:t xml:space="preserve">which </w:t>
      </w:r>
      <w:r>
        <w:t xml:space="preserve">could </w:t>
      </w:r>
      <w:r>
        <w:t xml:space="preserve">start </w:t>
      </w:r>
      <w:r w:rsidR="00387CBE">
        <w:t>as soon as</w:t>
      </w:r>
      <w:r>
        <w:t xml:space="preserve"> FY</w:t>
      </w:r>
      <w:r>
        <w:t xml:space="preserve">20 or </w:t>
      </w:r>
      <w:r>
        <w:t>FY</w:t>
      </w:r>
      <w:r>
        <w:t>21. It is our understanding that although some of the resources from the 2012 round ca</w:t>
      </w:r>
      <w:r>
        <w:t>n be repurposes for subsequent rounds, there are a number of resources that cannot</w:t>
      </w:r>
      <w:r>
        <w:t>, such as the application system and other technical systems that</w:t>
      </w:r>
      <w:r>
        <w:t xml:space="preserve"> were designed f</w:t>
      </w:r>
      <w:r>
        <w:t xml:space="preserve">or one time use and therefore must be built up from scratch. </w:t>
      </w:r>
    </w:p>
    <w:p w14:paraId="4B3D1926" w14:textId="77777777" w:rsidR="004E1CFA" w:rsidRDefault="004E1CFA"/>
    <w:p w14:paraId="531DA4AD" w14:textId="0360C1B2" w:rsidR="004E1CFA" w:rsidRDefault="00256860">
      <w:pPr>
        <w:rPr>
          <w:b/>
        </w:rPr>
      </w:pPr>
      <w:r w:rsidRPr="00E433F8">
        <w:t>The RySG is also concerned that with ICANN org</w:t>
      </w:r>
      <w:r w:rsidR="00387CBE">
        <w:t>,</w:t>
      </w:r>
      <w:r w:rsidRPr="00E433F8">
        <w:t xml:space="preserve"> having converted new gTLD staff to Operations, </w:t>
      </w:r>
      <w:r w:rsidR="00387CBE">
        <w:t xml:space="preserve">has </w:t>
      </w:r>
      <w:r w:rsidRPr="00E433F8">
        <w:t xml:space="preserve">no personnel working on preparations </w:t>
      </w:r>
      <w:r w:rsidRPr="00E433F8">
        <w:t xml:space="preserve">for a next round, which could lead to a further delay. ICANN should, to the greatest extent possible, assign staff with knowledge and experience from the previous round to work on preparing for future application procedures, </w:t>
      </w:r>
      <w:r w:rsidR="00387CBE">
        <w:t>since</w:t>
      </w:r>
      <w:r w:rsidRPr="00E433F8">
        <w:t xml:space="preserve"> putting together a new team </w:t>
      </w:r>
      <w:r w:rsidRPr="00E433F8">
        <w:t>will cost time and money in the long run.</w:t>
      </w:r>
    </w:p>
    <w:p w14:paraId="33435416" w14:textId="77777777" w:rsidR="004E1CFA" w:rsidRDefault="004E1CFA">
      <w:pPr>
        <w:rPr>
          <w:b/>
        </w:rPr>
      </w:pPr>
    </w:p>
    <w:p w14:paraId="38FD92FB" w14:textId="49458513" w:rsidR="004E1CFA" w:rsidRPr="004A7C29" w:rsidRDefault="00256860">
      <w:r w:rsidRPr="004A7C29">
        <w:t>If ICANN does not start budgeting for start-up preparation costs, as well as for employees and professional services in FY</w:t>
      </w:r>
      <w:r w:rsidRPr="004A7C29">
        <w:t xml:space="preserve">19, there is no possibility that ICANN will be in a position to </w:t>
      </w:r>
      <w:r w:rsidRPr="004A7C29">
        <w:t>commence sub</w:t>
      </w:r>
      <w:r w:rsidRPr="004A7C29">
        <w:t>sequent procedures in FY</w:t>
      </w:r>
      <w:r w:rsidRPr="004A7C29">
        <w:t xml:space="preserve">20 or </w:t>
      </w:r>
      <w:r w:rsidR="00512F7C" w:rsidRPr="004A7C29">
        <w:t xml:space="preserve">possibly </w:t>
      </w:r>
      <w:r w:rsidRPr="004A7C29">
        <w:t>even FY</w:t>
      </w:r>
      <w:r w:rsidRPr="004A7C29">
        <w:t xml:space="preserve">21 for that matter.  ICANN cannot afford to wait until after the ICANN Board approves the GNSO recommendations to start preparatory work on implementation.  </w:t>
      </w:r>
      <w:r w:rsidRPr="004A7C29">
        <w:t xml:space="preserve">  </w:t>
      </w:r>
    </w:p>
    <w:p w14:paraId="31F38DDA" w14:textId="77777777" w:rsidR="00387CBE" w:rsidRDefault="00387CBE">
      <w:pPr>
        <w:rPr>
          <w:i/>
        </w:rPr>
      </w:pPr>
    </w:p>
    <w:p w14:paraId="67FDB133" w14:textId="77777777" w:rsidR="004E1CFA" w:rsidRDefault="00256860">
      <w:pPr>
        <w:rPr>
          <w:i/>
        </w:rPr>
      </w:pPr>
      <w:r>
        <w:rPr>
          <w:i/>
        </w:rPr>
        <w:lastRenderedPageBreak/>
        <w:t xml:space="preserve">3.2. new gTLD program fund </w:t>
      </w:r>
    </w:p>
    <w:p w14:paraId="0A83ECF0" w14:textId="77777777" w:rsidR="004E1CFA" w:rsidRDefault="004E1CFA"/>
    <w:p w14:paraId="70CEEEB1" w14:textId="77777777" w:rsidR="004E1CFA" w:rsidRDefault="00256860">
      <w:r>
        <w:t xml:space="preserve">The RySG is  concerned with several parts of the proposed budget for the New gTLD Program located in Document 2, Section 4. </w:t>
      </w:r>
    </w:p>
    <w:p w14:paraId="4DA7FF47" w14:textId="77777777" w:rsidR="004E1CFA" w:rsidRDefault="004E1CFA"/>
    <w:p w14:paraId="3106B148" w14:textId="69A70259" w:rsidR="004E1CFA" w:rsidRDefault="00256860">
      <w:r>
        <w:t xml:space="preserve">ICANN </w:t>
      </w:r>
      <w:r w:rsidR="004A7C29">
        <w:t xml:space="preserve">now estimates </w:t>
      </w:r>
      <w:r>
        <w:t xml:space="preserve">the remaining balance of excess application fees </w:t>
      </w:r>
      <w:r w:rsidR="00512F7C">
        <w:t>to be</w:t>
      </w:r>
      <w:r>
        <w:t xml:space="preserve"> $81.8M</w:t>
      </w:r>
      <w:r w:rsidR="004A7C29">
        <w:t>,</w:t>
      </w:r>
      <w:r>
        <w:t xml:space="preserve"> down from $95.8M estimated in February 2017.  To </w:t>
      </w:r>
      <w:r w:rsidR="00512F7C">
        <w:t>rationalise</w:t>
      </w:r>
      <w:r>
        <w:t xml:space="preserve"> this change, ICANN points to an additional $8M in “evaluation expenses” in FY19 and FY20.  This considerable amount </w:t>
      </w:r>
      <w:r>
        <w:t xml:space="preserve">raises a number of questions: </w:t>
      </w:r>
      <w:r w:rsidR="00512F7C">
        <w:t>Why i</w:t>
      </w:r>
      <w:r>
        <w:t xml:space="preserve">s </w:t>
      </w:r>
      <w:r w:rsidR="00512F7C">
        <w:t xml:space="preserve">there </w:t>
      </w:r>
      <w:r>
        <w:t xml:space="preserve">such an amount of </w:t>
      </w:r>
      <w:r>
        <w:t>$8M in unanticipated evaluation costs?  Was ICANN expecting that there wouldn’t be evaluations in FY19 and FY20?  If so, how many evaluations were performed in FY18 and how many are an</w:t>
      </w:r>
      <w:r>
        <w:t>ticipated in FY19 and FY20?</w:t>
      </w:r>
      <w:r w:rsidR="00512F7C">
        <w:t xml:space="preserve"> </w:t>
      </w:r>
      <w:r>
        <w:t xml:space="preserve">We note </w:t>
      </w:r>
      <w:r w:rsidR="00512F7C">
        <w:t xml:space="preserve">here </w:t>
      </w:r>
      <w:r>
        <w:t xml:space="preserve">that currently only 9 contention sets </w:t>
      </w:r>
      <w:r w:rsidR="00512F7C">
        <w:t>remain</w:t>
      </w:r>
      <w:r w:rsidR="004A7C29">
        <w:t xml:space="preserve"> to be </w:t>
      </w:r>
      <w:hyperlink r:id="rId7" w:history="1">
        <w:r w:rsidR="004A7C29" w:rsidRPr="004A7C29">
          <w:rPr>
            <w:rStyle w:val="Hyperlink"/>
          </w:rPr>
          <w:t>resolved</w:t>
        </w:r>
      </w:hyperlink>
      <w:r w:rsidR="004A7C29">
        <w:t>. A related c</w:t>
      </w:r>
      <w:r>
        <w:t>once</w:t>
      </w:r>
      <w:r>
        <w:t xml:space="preserve">rn </w:t>
      </w:r>
      <w:r w:rsidR="00512F7C">
        <w:t>is</w:t>
      </w:r>
      <w:r>
        <w:t xml:space="preserve"> the amount of money ICANN is paying per evaluation, and whether there are no better alternatives.</w:t>
      </w:r>
    </w:p>
    <w:p w14:paraId="68CBEFF2" w14:textId="77777777" w:rsidR="004E1CFA" w:rsidRDefault="00256860">
      <w:r>
        <w:t xml:space="preserve"> </w:t>
      </w:r>
    </w:p>
    <w:p w14:paraId="72C0FA1E" w14:textId="77777777" w:rsidR="004E1CFA" w:rsidRDefault="00256860">
      <w:r>
        <w:t>ICANN also estimates and additional $4.4M in “overheads” for FY19 and FY20 without providing any detail for these allocations.  Why is an additiona</w:t>
      </w:r>
      <w:r>
        <w:t>l $4.4M being allocated to the New gTLD budget?  What are these allocations to the budget and are they appropriately classified under the New gTLD budget vs. the Operating budget?  What are the current allocations to the New gTLD budget?</w:t>
      </w:r>
    </w:p>
    <w:p w14:paraId="70483D9E" w14:textId="77777777" w:rsidR="004E1CFA" w:rsidRDefault="004E1CFA"/>
    <w:p w14:paraId="1E70C5D2" w14:textId="3BC03A69" w:rsidR="004E1CFA" w:rsidRDefault="00256860">
      <w:r>
        <w:t>The RySG requeste</w:t>
      </w:r>
      <w:r>
        <w:t xml:space="preserve">d more detail on these issues a few months ago in a </w:t>
      </w:r>
      <w:hyperlink r:id="rId8" w:history="1">
        <w:r w:rsidRPr="00E433F8">
          <w:rPr>
            <w:rStyle w:val="Hyperlink"/>
          </w:rPr>
          <w:t>letter</w:t>
        </w:r>
      </w:hyperlink>
      <w:r>
        <w:t xml:space="preserve"> to ICANN: “It would be helpful and </w:t>
      </w:r>
      <w:r w:rsidR="004A7C29">
        <w:t xml:space="preserve">is </w:t>
      </w:r>
      <w:r>
        <w:t xml:space="preserve">appropriate for ICANN to provide the RySG with a detailed accounting of expenses to date. Organizational operating expenses are line items more suited to ICANN’s </w:t>
      </w:r>
      <w:r>
        <w:t xml:space="preserve">regular budget. If the ICANN organization anticipates further spending </w:t>
      </w:r>
      <w:r w:rsidR="00E433F8">
        <w:t xml:space="preserve">of </w:t>
      </w:r>
      <w:r>
        <w:t>application fees in this or other manners, we request, first, a reasonable forecast for their likely use, and second, deeper involvement in the associated budgeting process. The RyS</w:t>
      </w:r>
      <w:r>
        <w:t xml:space="preserve">G does not necessarily presume the cogency of such expenditures.” </w:t>
      </w:r>
    </w:p>
    <w:p w14:paraId="6761C0A9" w14:textId="77777777" w:rsidR="004E1CFA" w:rsidRDefault="00256860">
      <w:pPr>
        <w:rPr>
          <w:color w:val="1155CC"/>
          <w:u w:val="single"/>
        </w:rPr>
      </w:pPr>
      <w:r>
        <w:fldChar w:fldCharType="begin"/>
      </w:r>
      <w:r>
        <w:instrText xml:space="preserve"> HY</w:instrText>
      </w:r>
      <w:r>
        <w:instrText xml:space="preserve">PERLINK "https://www.icann.org/en/system/files/correspondence/diaz-to-atallah-03oct17-en.pdf" </w:instrText>
      </w:r>
      <w:r>
        <w:fldChar w:fldCharType="separate"/>
      </w:r>
    </w:p>
    <w:p w14:paraId="2C28F627" w14:textId="2EDC29B7" w:rsidR="004E1CFA" w:rsidRDefault="00256860">
      <w:pPr>
        <w:rPr>
          <w:highlight w:val="yellow"/>
        </w:rPr>
      </w:pPr>
      <w:r>
        <w:fldChar w:fldCharType="end"/>
      </w:r>
      <w:r>
        <w:t xml:space="preserve">We are very concerned about the new estimated costs; in absence of a detailed explanation we tend to believe that not all of these costs </w:t>
      </w:r>
      <w:r w:rsidR="00E433F8">
        <w:t xml:space="preserve">are </w:t>
      </w:r>
      <w:r>
        <w:t>part of the</w:t>
      </w:r>
      <w:r>
        <w:t xml:space="preserve"> 2012 program. Therefore, we request ICANN to provide much more </w:t>
      </w:r>
      <w:r w:rsidR="00E433F8">
        <w:t xml:space="preserve">transparency and </w:t>
      </w:r>
      <w:r>
        <w:t xml:space="preserve">detail before </w:t>
      </w:r>
      <w:r w:rsidR="00E433F8">
        <w:t>such</w:t>
      </w:r>
      <w:r>
        <w:t xml:space="preserve"> estimates go into the approved budget. </w:t>
      </w:r>
    </w:p>
    <w:p w14:paraId="3A77F914" w14:textId="77777777" w:rsidR="004E1CFA" w:rsidRDefault="00256860">
      <w:r>
        <w:t xml:space="preserve"> </w:t>
      </w:r>
    </w:p>
    <w:p w14:paraId="0D3E05E8" w14:textId="52AA1D9D" w:rsidR="004E1CFA" w:rsidRDefault="00256860">
      <w:pPr>
        <w:rPr>
          <w:i/>
        </w:rPr>
      </w:pPr>
      <w:r>
        <w:t xml:space="preserve"> </w:t>
      </w:r>
      <w:r>
        <w:rPr>
          <w:i/>
        </w:rPr>
        <w:t>3.3. Support for GNSO Council Planning Session</w:t>
      </w:r>
    </w:p>
    <w:p w14:paraId="1F753D98" w14:textId="77777777" w:rsidR="004E1CFA" w:rsidRDefault="004E1CFA"/>
    <w:p w14:paraId="6FC8BF6A" w14:textId="6B7928DB" w:rsidR="004E1CFA" w:rsidRDefault="00256860">
      <w:r>
        <w:t xml:space="preserve">The GNSO Council recently held a successful </w:t>
      </w:r>
      <w:r>
        <w:t>three-</w:t>
      </w:r>
      <w:r>
        <w:t xml:space="preserve">day face-to-face </w:t>
      </w:r>
      <w:r w:rsidR="00E433F8">
        <w:t xml:space="preserve">Development and </w:t>
      </w:r>
      <w:r>
        <w:t>Planning Sess</w:t>
      </w:r>
      <w:r>
        <w:t xml:space="preserve">ion to focus, away from the </w:t>
      </w:r>
      <w:r w:rsidR="00C87153">
        <w:t xml:space="preserve">heavy schedule of and ICANN meeting, on councillor development and policy management </w:t>
      </w:r>
      <w:r>
        <w:t xml:space="preserve">planning. The RySG believes that this </w:t>
      </w:r>
      <w:r>
        <w:t xml:space="preserve">productive and useful </w:t>
      </w:r>
      <w:r>
        <w:t xml:space="preserve">session </w:t>
      </w:r>
      <w:r>
        <w:t>can help to support the effectiveness of ICANN’s core policymaking function</w:t>
      </w:r>
      <w:r>
        <w:t>, and that thes</w:t>
      </w:r>
      <w:r>
        <w:t>e types of discussions are also important in light of the Council’s new responsibilities following the IANA transition and as part of the Empowered Community. Therefore, we support the Community budget request submitted by the GNSO Council</w:t>
      </w:r>
      <w:r>
        <w:rPr>
          <w:vertAlign w:val="superscript"/>
        </w:rPr>
        <w:footnoteReference w:id="9"/>
      </w:r>
      <w:r>
        <w:t xml:space="preserve"> to organise a s</w:t>
      </w:r>
      <w:r>
        <w:t xml:space="preserve">imilar workshop in FY19, and ask that future budgets </w:t>
      </w:r>
      <w:r w:rsidR="00E433F8">
        <w:t>anticipate</w:t>
      </w:r>
      <w:r>
        <w:t xml:space="preserve"> that these meetings are organised on an annual basis.  </w:t>
      </w:r>
    </w:p>
    <w:p w14:paraId="0364457D" w14:textId="77777777" w:rsidR="004E1CFA" w:rsidRDefault="004E1CFA"/>
    <w:p w14:paraId="4CFD691A" w14:textId="77777777" w:rsidR="004E1CFA" w:rsidRDefault="00256860">
      <w:pPr>
        <w:rPr>
          <w:i/>
        </w:rPr>
      </w:pPr>
      <w:r>
        <w:rPr>
          <w:i/>
        </w:rPr>
        <w:t xml:space="preserve">3.4. Document development </w:t>
      </w:r>
    </w:p>
    <w:p w14:paraId="30B5D78C" w14:textId="77777777" w:rsidR="004E1CFA" w:rsidRDefault="004E1CFA"/>
    <w:p w14:paraId="4B1AEC2D" w14:textId="61ACC42B" w:rsidR="004E1CFA" w:rsidRDefault="00256860">
      <w:r>
        <w:t>We refer to our Community budget request for on</w:t>
      </w:r>
      <w:r>
        <w:t>going support of the RySG Document Development and Drafting Pil</w:t>
      </w:r>
      <w:r>
        <w:t>ot Program</w:t>
      </w:r>
      <w:r>
        <w:rPr>
          <w:vertAlign w:val="superscript"/>
        </w:rPr>
        <w:footnoteReference w:id="10"/>
      </w:r>
      <w:r>
        <w:t>.</w:t>
      </w:r>
      <w:r w:rsidR="00E433F8">
        <w:t xml:space="preserve"> This support is necessary for ongoing effective functioning of the SG.</w:t>
      </w:r>
    </w:p>
    <w:p w14:paraId="62E35DC7" w14:textId="77777777" w:rsidR="004E1CFA" w:rsidRDefault="004E1CFA"/>
    <w:p w14:paraId="4791768E" w14:textId="77777777" w:rsidR="004E1CFA" w:rsidRDefault="00256860">
      <w:pPr>
        <w:rPr>
          <w:i/>
        </w:rPr>
      </w:pPr>
      <w:r>
        <w:rPr>
          <w:i/>
        </w:rPr>
        <w:t>3.5. Constituent Travel support</w:t>
      </w:r>
    </w:p>
    <w:p w14:paraId="222158B7" w14:textId="77777777" w:rsidR="00C87153" w:rsidRDefault="00C87153"/>
    <w:p w14:paraId="327E0891" w14:textId="77777777" w:rsidR="004E1CFA" w:rsidRDefault="00256860">
      <w:r>
        <w:t>We refer to our Community budget request relating to the RySG travel support funding relating to ICANN’s GDD Summit in FY19</w:t>
      </w:r>
      <w:r>
        <w:rPr>
          <w:vertAlign w:val="superscript"/>
        </w:rPr>
        <w:footnoteReference w:id="11"/>
      </w:r>
      <w:r>
        <w:t>.</w:t>
      </w:r>
    </w:p>
    <w:p w14:paraId="281B7A7E" w14:textId="77777777" w:rsidR="004E1CFA" w:rsidRDefault="004E1CFA"/>
    <w:p w14:paraId="4137091E" w14:textId="3BEE950A" w:rsidR="004E1CFA" w:rsidRDefault="00256860">
      <w:r>
        <w:t>The RySG takes note of the proposed reduction of the number of travel seats for the Fellows and NextGen</w:t>
      </w:r>
      <w:r>
        <w:rPr>
          <w:vertAlign w:val="superscript"/>
        </w:rPr>
        <w:footnoteReference w:id="12"/>
      </w:r>
      <w:r>
        <w:t xml:space="preserve"> programs to their 2015 levels. This reduction should go hand in hand with a further optimization of these initiatives and we </w:t>
      </w:r>
      <w:r>
        <w:t>encourage</w:t>
      </w:r>
      <w:r>
        <w:t xml:space="preserve"> ICANN to p</w:t>
      </w:r>
      <w:r>
        <w:t>roactively measure the success of these programs through</w:t>
      </w:r>
      <w:r>
        <w:t xml:space="preserve"> the use of metrics such as continued active participation by the recipients of these funds in community policy work</w:t>
      </w:r>
      <w:r>
        <w:t>.</w:t>
      </w:r>
    </w:p>
    <w:p w14:paraId="77659977" w14:textId="77777777" w:rsidR="004E1CFA" w:rsidRDefault="004E1CFA"/>
    <w:p w14:paraId="0FBD54B5" w14:textId="77777777" w:rsidR="004E1CFA" w:rsidRDefault="00256860">
      <w:r>
        <w:rPr>
          <w:i/>
        </w:rPr>
        <w:t>3.6. GDPR</w:t>
      </w:r>
      <w:r>
        <w:t xml:space="preserve"> </w:t>
      </w:r>
    </w:p>
    <w:p w14:paraId="6D675B93" w14:textId="77777777" w:rsidR="004E1CFA" w:rsidRDefault="004E1CFA"/>
    <w:p w14:paraId="3130FC9B" w14:textId="55FAAB44" w:rsidR="004E1CFA" w:rsidRDefault="00256860">
      <w:r>
        <w:t>ICANN org anticipates implementation work for GDPR to conclude in FY18 and therefore, no resources have been allocated specifically for GDPR-related implementation work in FY19. The RySG is concerned that this is a</w:t>
      </w:r>
      <w:r w:rsidR="00E433F8">
        <w:t xml:space="preserve">n overly </w:t>
      </w:r>
      <w:r>
        <w:t>optimistic assumption</w:t>
      </w:r>
      <w:r>
        <w:t xml:space="preserve"> and that a fail</w:t>
      </w:r>
      <w:r>
        <w:t>ure to budget adequately for the GDPR-related work that will take place in FY19 will have an adverse impact on ICANN’s finances</w:t>
      </w:r>
      <w:r>
        <w:t>.</w:t>
      </w:r>
    </w:p>
    <w:p w14:paraId="3F5796DB" w14:textId="77777777" w:rsidR="004E1CFA" w:rsidRDefault="004E1CFA"/>
    <w:p w14:paraId="1E433384" w14:textId="77777777" w:rsidR="004E1CFA" w:rsidRDefault="00256860">
      <w:pPr>
        <w:rPr>
          <w:i/>
        </w:rPr>
      </w:pPr>
      <w:r>
        <w:rPr>
          <w:i/>
        </w:rPr>
        <w:t xml:space="preserve">3.7. ICANN Projects </w:t>
      </w:r>
    </w:p>
    <w:p w14:paraId="131C0E45" w14:textId="77777777" w:rsidR="004E1CFA" w:rsidRDefault="004E1CFA"/>
    <w:p w14:paraId="365C3333" w14:textId="03DF5818" w:rsidR="004E1CFA" w:rsidRDefault="00256860">
      <w:r>
        <w:t>The RySG welcomes a more cost-conscious ICANN that works well within the fiscal constraints imposed by l</w:t>
      </w:r>
      <w:r>
        <w:t xml:space="preserve">imited funds, and </w:t>
      </w:r>
      <w:r>
        <w:t xml:space="preserve">is </w:t>
      </w:r>
      <w:r w:rsidR="00C87153">
        <w:t xml:space="preserve">therefore </w:t>
      </w:r>
      <w:r>
        <w:t xml:space="preserve">concerned that a number of budget expenditures and projects </w:t>
      </w:r>
      <w:r>
        <w:t xml:space="preserve">do not </w:t>
      </w:r>
      <w:r>
        <w:t xml:space="preserve">seem </w:t>
      </w:r>
      <w:r>
        <w:t xml:space="preserve">to comport </w:t>
      </w:r>
      <w:r>
        <w:t>with such a responsible and prudent appr</w:t>
      </w:r>
      <w:r w:rsidR="00983507">
        <w:t>oach. The RySG urges ICANN to du</w:t>
      </w:r>
      <w:bookmarkStart w:id="0" w:name="_GoBack"/>
      <w:bookmarkEnd w:id="0"/>
      <w:r>
        <w:t>ly reconsider each aspect of these expenditures, and, if d</w:t>
      </w:r>
      <w:r>
        <w:t>eemed necessary, better justify why the expense is needed.</w:t>
      </w:r>
      <w:r>
        <w:t xml:space="preserve"> Some examples are included below.</w:t>
      </w:r>
      <w:r>
        <w:t xml:space="preserve">   </w:t>
      </w:r>
    </w:p>
    <w:p w14:paraId="0A2505F8" w14:textId="77777777" w:rsidR="004E1CFA" w:rsidRDefault="004E1CFA"/>
    <w:p w14:paraId="4962B7C9" w14:textId="3205224E" w:rsidR="004E1CFA" w:rsidRDefault="00256860">
      <w:r>
        <w:t>The ICANN budget marks a recurring 800k USD per year for Trademark Clearinghouse Operations and Service Evolution (project ID 176954)</w:t>
      </w:r>
      <w:r>
        <w:t xml:space="preserve">. The RySG expects that </w:t>
      </w:r>
      <w:r>
        <w:t xml:space="preserve">the TMCH activity is sufficiently funded from the fees received from trademark owners. </w:t>
      </w:r>
    </w:p>
    <w:p w14:paraId="6B3178CD" w14:textId="77777777" w:rsidR="004E1CFA" w:rsidRDefault="004E1CFA"/>
    <w:p w14:paraId="63F4480E" w14:textId="1CD27BB2" w:rsidR="004E1CFA" w:rsidRDefault="00256860">
      <w:r>
        <w:t>The draft Budget foresees 200k for the development of Internet Health Indicators (project ID 32006), 800k for the Domain A</w:t>
      </w:r>
      <w:r>
        <w:t xml:space="preserve">buse Activity Reporting (DAAR) (project ID 178906), and 100k to update the metrics of the gTLD Marketplace Health Index (project ID 154218). The </w:t>
      </w:r>
      <w:r>
        <w:lastRenderedPageBreak/>
        <w:t>RySG is not convinced of the added value of these projects, which imply recurring costs, have flawed designs an</w:t>
      </w:r>
      <w:r>
        <w:t xml:space="preserve">d do not meet the needs of the community in the most appropriate way. This </w:t>
      </w:r>
      <w:r w:rsidR="00E433F8">
        <w:t xml:space="preserve">mismatch and therefore potentially wasted expenditure could have </w:t>
      </w:r>
      <w:r>
        <w:t xml:space="preserve">been avoided if effort had been done to involve the community in the project </w:t>
      </w:r>
      <w:r w:rsidR="00E433F8">
        <w:t xml:space="preserve">specification, </w:t>
      </w:r>
      <w:r>
        <w:t>design and development from an</w:t>
      </w:r>
      <w:r>
        <w:t xml:space="preserve"> early stage.</w:t>
      </w:r>
    </w:p>
    <w:p w14:paraId="2D7D3D65" w14:textId="77777777" w:rsidR="004E1CFA" w:rsidRDefault="004E1CFA"/>
    <w:p w14:paraId="38A90C48" w14:textId="77777777" w:rsidR="004E1CFA" w:rsidRDefault="00256860">
      <w:r>
        <w:t>The RySG would like to better understand the en</w:t>
      </w:r>
      <w:r>
        <w:t>visaged outcome of the Recurring Activity Complaints Office Operations (project ID 177014), and why compliance outreach needs a double effort of 400k (project ID 31665) and 100k (project ID 176295).</w:t>
      </w:r>
    </w:p>
    <w:p w14:paraId="4848EFA9" w14:textId="77777777" w:rsidR="004E1CFA" w:rsidRDefault="004E1CFA"/>
    <w:p w14:paraId="311F0781" w14:textId="77777777" w:rsidR="004E1CFA" w:rsidRDefault="00256860">
      <w:r>
        <w:t>The RySG is concerned about the 1.1 M envelope for the U</w:t>
      </w:r>
      <w:r>
        <w:t xml:space="preserve">niversal Acceptance Initiative (project ID 19104). It is worrying that a project of this size is developed and run without public consultation with the ICANN community. </w:t>
      </w:r>
    </w:p>
    <w:sectPr w:rsidR="004E1CFA">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17E39" w14:textId="77777777" w:rsidR="00256860" w:rsidRDefault="00256860">
      <w:pPr>
        <w:spacing w:line="240" w:lineRule="auto"/>
      </w:pPr>
      <w:r>
        <w:separator/>
      </w:r>
    </w:p>
  </w:endnote>
  <w:endnote w:type="continuationSeparator" w:id="0">
    <w:p w14:paraId="7438B122" w14:textId="77777777" w:rsidR="00256860" w:rsidRDefault="00256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5B52" w14:textId="77777777" w:rsidR="00256860" w:rsidRDefault="00256860">
      <w:pPr>
        <w:spacing w:line="240" w:lineRule="auto"/>
      </w:pPr>
      <w:r>
        <w:separator/>
      </w:r>
    </w:p>
  </w:footnote>
  <w:footnote w:type="continuationSeparator" w:id="0">
    <w:p w14:paraId="34D730CC" w14:textId="77777777" w:rsidR="00256860" w:rsidRDefault="00256860">
      <w:pPr>
        <w:spacing w:line="240" w:lineRule="auto"/>
      </w:pPr>
      <w:r>
        <w:continuationSeparator/>
      </w:r>
    </w:p>
  </w:footnote>
  <w:footnote w:id="1">
    <w:p w14:paraId="6C25E5F0" w14:textId="77777777" w:rsidR="004E1CFA" w:rsidRDefault="00256860">
      <w:pPr>
        <w:spacing w:line="240" w:lineRule="auto"/>
        <w:rPr>
          <w:sz w:val="18"/>
          <w:szCs w:val="18"/>
        </w:rPr>
      </w:pPr>
      <w:r>
        <w:rPr>
          <w:vertAlign w:val="superscript"/>
        </w:rPr>
        <w:footnoteRef/>
      </w:r>
      <w:r>
        <w:rPr>
          <w:sz w:val="18"/>
          <w:szCs w:val="18"/>
        </w:rPr>
        <w:t xml:space="preserve"> See Document #2, Section 2.5.1, on page 21.</w:t>
      </w:r>
    </w:p>
  </w:footnote>
  <w:footnote w:id="2">
    <w:p w14:paraId="04F319B5" w14:textId="77777777" w:rsidR="004E1CFA" w:rsidRDefault="00256860">
      <w:pPr>
        <w:spacing w:line="240" w:lineRule="auto"/>
        <w:rPr>
          <w:sz w:val="18"/>
          <w:szCs w:val="18"/>
        </w:rPr>
      </w:pPr>
      <w:r>
        <w:rPr>
          <w:vertAlign w:val="superscript"/>
        </w:rPr>
        <w:footnoteRef/>
      </w:r>
      <w:r>
        <w:rPr>
          <w:sz w:val="20"/>
          <w:szCs w:val="20"/>
        </w:rPr>
        <w:t xml:space="preserve"> </w:t>
      </w:r>
      <w:hyperlink r:id="rId1">
        <w:r>
          <w:rPr>
            <w:color w:val="1155CC"/>
            <w:sz w:val="18"/>
            <w:szCs w:val="18"/>
            <w:u w:val="single"/>
          </w:rPr>
          <w:t>https:/</w:t>
        </w:r>
        <w:r>
          <w:rPr>
            <w:color w:val="1155CC"/>
            <w:sz w:val="18"/>
            <w:szCs w:val="18"/>
            <w:u w:val="single"/>
          </w:rPr>
          <w:t>/gnso.icann.org/en/drafts/pdp-dec05-fr-a-18jun07.pdf</w:t>
        </w:r>
      </w:hyperlink>
      <w:r>
        <w:rPr>
          <w:sz w:val="18"/>
          <w:szCs w:val="18"/>
        </w:rPr>
        <w:t xml:space="preserve"> </w:t>
      </w:r>
    </w:p>
  </w:footnote>
  <w:footnote w:id="3">
    <w:p w14:paraId="48C027DA" w14:textId="77777777" w:rsidR="004E1CFA" w:rsidRPr="00E433F8" w:rsidRDefault="00256860">
      <w:pPr>
        <w:spacing w:line="240" w:lineRule="auto"/>
        <w:rPr>
          <w:sz w:val="18"/>
          <w:szCs w:val="18"/>
        </w:rPr>
      </w:pPr>
      <w:r>
        <w:rPr>
          <w:vertAlign w:val="superscript"/>
        </w:rPr>
        <w:footnoteRef/>
      </w:r>
      <w:r w:rsidRPr="00E433F8">
        <w:rPr>
          <w:sz w:val="18"/>
          <w:szCs w:val="18"/>
        </w:rPr>
        <w:t xml:space="preserve"> Section 1.1.6 at page 1-20.</w:t>
      </w:r>
    </w:p>
  </w:footnote>
  <w:footnote w:id="4">
    <w:p w14:paraId="0EC5AFF6" w14:textId="77777777" w:rsidR="004E1CFA" w:rsidRPr="00E433F8" w:rsidRDefault="00256860">
      <w:pPr>
        <w:spacing w:line="240" w:lineRule="auto"/>
        <w:ind w:right="-906"/>
        <w:rPr>
          <w:sz w:val="18"/>
          <w:szCs w:val="18"/>
        </w:rPr>
      </w:pPr>
      <w:r>
        <w:rPr>
          <w:vertAlign w:val="superscript"/>
        </w:rPr>
        <w:footnoteRef/>
      </w:r>
      <w:r w:rsidRPr="00E433F8">
        <w:rPr>
          <w:sz w:val="18"/>
          <w:szCs w:val="18"/>
        </w:rPr>
        <w:t xml:space="preserve"> ICANN Board Resolution 2012.02.07.054 </w:t>
      </w:r>
      <w:hyperlink r:id="rId2" w:history="1">
        <w:r w:rsidRPr="00E433F8">
          <w:rPr>
            <w:sz w:val="18"/>
            <w:szCs w:val="18"/>
          </w:rPr>
          <w:t>https://www.icann.org/resources/boar</w:t>
        </w:r>
        <w:r w:rsidRPr="00E433F8">
          <w:rPr>
            <w:sz w:val="18"/>
            <w:szCs w:val="18"/>
          </w:rPr>
          <w:t>d-material/resolutions-2012-02-07-en#4</w:t>
        </w:r>
      </w:hyperlink>
      <w:r w:rsidRPr="00E433F8">
        <w:rPr>
          <w:sz w:val="18"/>
          <w:szCs w:val="18"/>
        </w:rPr>
        <w:t xml:space="preserve"> </w:t>
      </w:r>
    </w:p>
  </w:footnote>
  <w:footnote w:id="5">
    <w:p w14:paraId="11AF6394" w14:textId="77777777" w:rsidR="004E1CFA" w:rsidRDefault="00256860">
      <w:pPr>
        <w:spacing w:line="240" w:lineRule="auto"/>
        <w:rPr>
          <w:sz w:val="18"/>
          <w:szCs w:val="18"/>
        </w:rPr>
      </w:pPr>
      <w:r>
        <w:rPr>
          <w:vertAlign w:val="superscript"/>
        </w:rPr>
        <w:footnoteRef/>
      </w:r>
      <w:r>
        <w:rPr>
          <w:sz w:val="18"/>
          <w:szCs w:val="18"/>
        </w:rPr>
        <w:t xml:space="preserve"> </w:t>
      </w:r>
      <w:hyperlink r:id="rId3">
        <w:r>
          <w:rPr>
            <w:color w:val="1155CC"/>
            <w:sz w:val="18"/>
            <w:szCs w:val="18"/>
            <w:u w:val="single"/>
          </w:rPr>
          <w:t>https://www.icann.org/en/system/files/correspondence/rysg-to-crocker-marby-09jun17-en.pdf</w:t>
        </w:r>
      </w:hyperlink>
    </w:p>
  </w:footnote>
  <w:footnote w:id="6">
    <w:p w14:paraId="108BCDC1" w14:textId="77777777" w:rsidR="004E1CFA" w:rsidRDefault="00256860">
      <w:pPr>
        <w:spacing w:line="240" w:lineRule="auto"/>
        <w:rPr>
          <w:sz w:val="18"/>
          <w:szCs w:val="18"/>
        </w:rPr>
      </w:pPr>
      <w:r>
        <w:rPr>
          <w:vertAlign w:val="superscript"/>
        </w:rPr>
        <w:footnoteRef/>
      </w:r>
      <w:r>
        <w:rPr>
          <w:sz w:val="18"/>
          <w:szCs w:val="18"/>
        </w:rPr>
        <w:t xml:space="preserve"> </w:t>
      </w:r>
      <w:hyperlink r:id="rId4">
        <w:r>
          <w:rPr>
            <w:color w:val="1155CC"/>
            <w:sz w:val="18"/>
            <w:szCs w:val="18"/>
            <w:u w:val="single"/>
          </w:rPr>
          <w:t>https://www.icann.org/en/system/files/correspondence</w:t>
        </w:r>
        <w:r>
          <w:rPr>
            <w:color w:val="1155CC"/>
            <w:sz w:val="18"/>
            <w:szCs w:val="18"/>
            <w:u w:val="single"/>
          </w:rPr>
          <w:t>/crocker-to-diaz-26jul17-en.pdf</w:t>
        </w:r>
      </w:hyperlink>
    </w:p>
  </w:footnote>
  <w:footnote w:id="7">
    <w:p w14:paraId="5E61264D" w14:textId="77777777" w:rsidR="004E1CFA" w:rsidRDefault="00256860">
      <w:pPr>
        <w:spacing w:line="240" w:lineRule="auto"/>
        <w:rPr>
          <w:sz w:val="18"/>
          <w:szCs w:val="18"/>
        </w:rPr>
      </w:pPr>
      <w:r>
        <w:rPr>
          <w:vertAlign w:val="superscript"/>
        </w:rPr>
        <w:footnoteRef/>
      </w:r>
      <w:r>
        <w:rPr>
          <w:sz w:val="20"/>
          <w:szCs w:val="20"/>
        </w:rPr>
        <w:t xml:space="preserve"> </w:t>
      </w:r>
      <w:hyperlink r:id="rId5">
        <w:r>
          <w:rPr>
            <w:color w:val="1155CC"/>
            <w:sz w:val="18"/>
            <w:szCs w:val="18"/>
            <w:u w:val="single"/>
          </w:rPr>
          <w:t>https://www.icann.org/en/system/files/files/proposed-total-budget-fy19-19jan18-en.pdf</w:t>
        </w:r>
      </w:hyperlink>
    </w:p>
  </w:footnote>
  <w:footnote w:id="8">
    <w:p w14:paraId="3F37086D" w14:textId="77777777" w:rsidR="004E1CFA" w:rsidRDefault="00256860">
      <w:pPr>
        <w:spacing w:line="240" w:lineRule="auto"/>
        <w:rPr>
          <w:sz w:val="18"/>
          <w:szCs w:val="18"/>
        </w:rPr>
      </w:pPr>
      <w:r>
        <w:rPr>
          <w:vertAlign w:val="superscript"/>
        </w:rPr>
        <w:footnoteRef/>
      </w:r>
      <w:r>
        <w:rPr>
          <w:sz w:val="18"/>
          <w:szCs w:val="18"/>
        </w:rPr>
        <w:t xml:space="preserve"> </w:t>
      </w:r>
      <w:hyperlink r:id="rId6">
        <w:r>
          <w:rPr>
            <w:color w:val="1155CC"/>
            <w:sz w:val="18"/>
            <w:szCs w:val="18"/>
            <w:u w:val="single"/>
          </w:rPr>
          <w:t>https://www.icann.org/en/system/files/files/adopted-opplan-budget-fy10-07jul09-en.pdf</w:t>
        </w:r>
      </w:hyperlink>
      <w:r>
        <w:rPr>
          <w:sz w:val="18"/>
          <w:szCs w:val="18"/>
        </w:rPr>
        <w:t xml:space="preserve"> </w:t>
      </w:r>
    </w:p>
  </w:footnote>
  <w:footnote w:id="9">
    <w:p w14:paraId="01D81781" w14:textId="77777777" w:rsidR="004E1CFA" w:rsidRDefault="00256860">
      <w:pPr>
        <w:spacing w:line="240" w:lineRule="auto"/>
        <w:ind w:right="-339"/>
        <w:rPr>
          <w:sz w:val="20"/>
          <w:szCs w:val="20"/>
        </w:rPr>
      </w:pPr>
      <w:r>
        <w:rPr>
          <w:vertAlign w:val="superscript"/>
        </w:rPr>
        <w:footnoteRef/>
      </w:r>
      <w:hyperlink r:id="rId7">
        <w:r>
          <w:rPr>
            <w:color w:val="1155CC"/>
            <w:sz w:val="20"/>
            <w:szCs w:val="20"/>
            <w:u w:val="single"/>
          </w:rPr>
          <w:t>https://community.icann.org/download/attachments/79433704/FY19%20Community%20Requests%20GNSO%20Council%20Strategic%20Planning%20Session%20-%2031%20January%202018.pdf?api=v2</w:t>
        </w:r>
      </w:hyperlink>
    </w:p>
  </w:footnote>
  <w:footnote w:id="10">
    <w:p w14:paraId="5A0A70AD" w14:textId="77777777" w:rsidR="004E1CFA" w:rsidRDefault="00256860">
      <w:pPr>
        <w:spacing w:line="240" w:lineRule="auto"/>
        <w:rPr>
          <w:sz w:val="20"/>
          <w:szCs w:val="20"/>
        </w:rPr>
      </w:pPr>
      <w:r>
        <w:rPr>
          <w:vertAlign w:val="superscript"/>
        </w:rPr>
        <w:footnoteRef/>
      </w:r>
      <w:hyperlink r:id="rId8">
        <w:r>
          <w:rPr>
            <w:color w:val="1155CC"/>
            <w:sz w:val="20"/>
            <w:szCs w:val="20"/>
            <w:u w:val="single"/>
          </w:rPr>
          <w:t>https://community.icann.org/download/attachments/79433704/RySG%20FY19%20Community%20Request_Priority%202_Final.pdf?api=v2</w:t>
        </w:r>
      </w:hyperlink>
    </w:p>
  </w:footnote>
  <w:footnote w:id="11">
    <w:p w14:paraId="5D917B42" w14:textId="77777777" w:rsidR="004E1CFA" w:rsidRDefault="00256860">
      <w:pPr>
        <w:spacing w:line="240" w:lineRule="auto"/>
        <w:rPr>
          <w:sz w:val="20"/>
          <w:szCs w:val="20"/>
        </w:rPr>
      </w:pPr>
      <w:r>
        <w:rPr>
          <w:vertAlign w:val="superscript"/>
        </w:rPr>
        <w:footnoteRef/>
      </w:r>
      <w:hyperlink r:id="rId9">
        <w:r>
          <w:rPr>
            <w:color w:val="1155CC"/>
            <w:sz w:val="20"/>
            <w:szCs w:val="20"/>
            <w:u w:val="single"/>
          </w:rPr>
          <w:t>https://community.icann.org/download/attachments/79433704/RySG%20FY19%20Community%20Request_Priority%202_Final.pdf?api=v2</w:t>
        </w:r>
      </w:hyperlink>
    </w:p>
  </w:footnote>
  <w:footnote w:id="12">
    <w:p w14:paraId="31327EBA" w14:textId="77777777" w:rsidR="004E1CFA" w:rsidRDefault="00256860">
      <w:pPr>
        <w:spacing w:line="240" w:lineRule="auto"/>
        <w:rPr>
          <w:sz w:val="20"/>
          <w:szCs w:val="20"/>
        </w:rPr>
      </w:pPr>
      <w:r>
        <w:rPr>
          <w:vertAlign w:val="superscript"/>
        </w:rPr>
        <w:footnoteRef/>
      </w:r>
      <w:r>
        <w:rPr>
          <w:sz w:val="20"/>
          <w:szCs w:val="20"/>
        </w:rPr>
        <w:t xml:space="preserve"> The Ry</w:t>
      </w:r>
      <w:r>
        <w:rPr>
          <w:sz w:val="20"/>
          <w:szCs w:val="20"/>
        </w:rPr>
        <w:t>SG assumes that the number of 15 funded travel seats as mentioned in the text on page 22 (doc #2) and on page 20 (doc #4) is correct and the figure in the accompanying tables is erroneous.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89F"/>
    <w:multiLevelType w:val="multilevel"/>
    <w:tmpl w:val="C93C8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E23307"/>
    <w:multiLevelType w:val="multilevel"/>
    <w:tmpl w:val="AB30C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F7E06"/>
    <w:multiLevelType w:val="multilevel"/>
    <w:tmpl w:val="DAFED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EB35B6"/>
    <w:multiLevelType w:val="multilevel"/>
    <w:tmpl w:val="A7AAC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762AD9"/>
    <w:multiLevelType w:val="multilevel"/>
    <w:tmpl w:val="106E9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7F024D"/>
    <w:multiLevelType w:val="multilevel"/>
    <w:tmpl w:val="DAC67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BE31BF"/>
    <w:multiLevelType w:val="multilevel"/>
    <w:tmpl w:val="7374A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6430E5"/>
    <w:multiLevelType w:val="multilevel"/>
    <w:tmpl w:val="0CEE6F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3089D"/>
    <w:multiLevelType w:val="multilevel"/>
    <w:tmpl w:val="27BCA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985199"/>
    <w:multiLevelType w:val="multilevel"/>
    <w:tmpl w:val="67CA1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CA1332"/>
    <w:multiLevelType w:val="multilevel"/>
    <w:tmpl w:val="187A5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C247C7"/>
    <w:multiLevelType w:val="multilevel"/>
    <w:tmpl w:val="9FB42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0B0FF9"/>
    <w:multiLevelType w:val="multilevel"/>
    <w:tmpl w:val="F3B05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B4478A"/>
    <w:multiLevelType w:val="multilevel"/>
    <w:tmpl w:val="7E88A6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9B21004"/>
    <w:multiLevelType w:val="multilevel"/>
    <w:tmpl w:val="4D30A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EA61A38"/>
    <w:multiLevelType w:val="multilevel"/>
    <w:tmpl w:val="F2FA2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5D1EB8"/>
    <w:multiLevelType w:val="multilevel"/>
    <w:tmpl w:val="58563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1978B1"/>
    <w:multiLevelType w:val="multilevel"/>
    <w:tmpl w:val="E75C3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86056E2"/>
    <w:multiLevelType w:val="multilevel"/>
    <w:tmpl w:val="C690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B3468"/>
    <w:multiLevelType w:val="multilevel"/>
    <w:tmpl w:val="89F60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255533"/>
    <w:multiLevelType w:val="multilevel"/>
    <w:tmpl w:val="BA68D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FC96D7A"/>
    <w:multiLevelType w:val="multilevel"/>
    <w:tmpl w:val="3C784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7390DB1"/>
    <w:multiLevelType w:val="multilevel"/>
    <w:tmpl w:val="E03CF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21"/>
  </w:num>
  <w:num w:numId="3">
    <w:abstractNumId w:val="22"/>
  </w:num>
  <w:num w:numId="4">
    <w:abstractNumId w:val="19"/>
  </w:num>
  <w:num w:numId="5">
    <w:abstractNumId w:val="6"/>
  </w:num>
  <w:num w:numId="6">
    <w:abstractNumId w:val="3"/>
  </w:num>
  <w:num w:numId="7">
    <w:abstractNumId w:val="2"/>
  </w:num>
  <w:num w:numId="8">
    <w:abstractNumId w:val="4"/>
  </w:num>
  <w:num w:numId="9">
    <w:abstractNumId w:val="11"/>
  </w:num>
  <w:num w:numId="10">
    <w:abstractNumId w:val="8"/>
  </w:num>
  <w:num w:numId="11">
    <w:abstractNumId w:val="14"/>
  </w:num>
  <w:num w:numId="12">
    <w:abstractNumId w:val="10"/>
  </w:num>
  <w:num w:numId="13">
    <w:abstractNumId w:val="1"/>
  </w:num>
  <w:num w:numId="14">
    <w:abstractNumId w:val="18"/>
  </w:num>
  <w:num w:numId="15">
    <w:abstractNumId w:val="16"/>
  </w:num>
  <w:num w:numId="16">
    <w:abstractNumId w:val="5"/>
  </w:num>
  <w:num w:numId="17">
    <w:abstractNumId w:val="7"/>
  </w:num>
  <w:num w:numId="18">
    <w:abstractNumId w:val="12"/>
  </w:num>
  <w:num w:numId="19">
    <w:abstractNumId w:val="9"/>
  </w:num>
  <w:num w:numId="20">
    <w:abstractNumId w:val="17"/>
  </w:num>
  <w:num w:numId="21">
    <w:abstractNumId w:val="13"/>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1CFA"/>
    <w:rsid w:val="0000027B"/>
    <w:rsid w:val="001F573F"/>
    <w:rsid w:val="00256860"/>
    <w:rsid w:val="002D2A91"/>
    <w:rsid w:val="0035043A"/>
    <w:rsid w:val="00387CBE"/>
    <w:rsid w:val="004A7C29"/>
    <w:rsid w:val="004E1CFA"/>
    <w:rsid w:val="00512F7C"/>
    <w:rsid w:val="006F35DA"/>
    <w:rsid w:val="007B6525"/>
    <w:rsid w:val="00983507"/>
    <w:rsid w:val="00BB19BD"/>
    <w:rsid w:val="00C87153"/>
    <w:rsid w:val="00E433F8"/>
    <w:rsid w:val="00ED3C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159F"/>
  <w15:docId w15:val="{625B689F-7DD1-4D1F-BCD8-EB8B0219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IE" w:eastAsia="en-I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43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cann.org/en/system/files/correspondence/diaz-to-atallah-03oct17-en.pdf" TargetMode="External"/><Relationship Id="rId3" Type="http://schemas.openxmlformats.org/officeDocument/2006/relationships/settings" Target="settings.xml"/><Relationship Id="rId7" Type="http://schemas.openxmlformats.org/officeDocument/2006/relationships/hyperlink" Target="https://newgtlds.icann.org/en/program-status/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79433704/RySG%20FY19%20Community%20Request_Priority%202_Final.pdf?api=v2" TargetMode="External"/><Relationship Id="rId3" Type="http://schemas.openxmlformats.org/officeDocument/2006/relationships/hyperlink" Target="https://www.icann.org/en/system/files/correspondence/rysg-to-crocker-marby-09jun17-en.pdf" TargetMode="External"/><Relationship Id="rId7" Type="http://schemas.openxmlformats.org/officeDocument/2006/relationships/hyperlink" Target="https://community.icann.org/download/attachments/79433704/FY19%20Community%20Requests%20GNSO%20Council%20Strategic%20Planning%20Session%20-%2031%20January%202018.pdf?api=v2" TargetMode="External"/><Relationship Id="rId2" Type="http://schemas.openxmlformats.org/officeDocument/2006/relationships/hyperlink" Target="https://www.icann.org/resources/board-material/resolutions-2012-02-07-en#4" TargetMode="External"/><Relationship Id="rId1" Type="http://schemas.openxmlformats.org/officeDocument/2006/relationships/hyperlink" Target="https://gnso.icann.org/en/drafts/pdp-dec05-fr-a-18jun07.pdf" TargetMode="External"/><Relationship Id="rId6" Type="http://schemas.openxmlformats.org/officeDocument/2006/relationships/hyperlink" Target="https://www.icann.org/en/system/files/files/adopted-opplan-budget-fy10-07jul09-en.pdf" TargetMode="External"/><Relationship Id="rId5" Type="http://schemas.openxmlformats.org/officeDocument/2006/relationships/hyperlink" Target="https://www.icann.org/en/system/files/files/proposed-total-budget-fy19-19jan18-en.pdf" TargetMode="External"/><Relationship Id="rId4" Type="http://schemas.openxmlformats.org/officeDocument/2006/relationships/hyperlink" Target="https://www.icann.org/en/system/files/correspondence/crocker-to-diaz-26jul17-en.pdf" TargetMode="External"/><Relationship Id="rId9" Type="http://schemas.openxmlformats.org/officeDocument/2006/relationships/hyperlink" Target="https://community.icann.org/download/attachments/79433704/RySG%20FY19%20Community%20Request_Priority%202_Final.pdf?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2117</Words>
  <Characters>12069</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2018-03-07T20:40:00Z</dcterms:created>
  <dcterms:modified xsi:type="dcterms:W3CDTF">2018-03-07T21:19:00Z</dcterms:modified>
</cp:coreProperties>
</file>