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Report: </w:t>
      </w:r>
      <w:hyperlink r:id="rId6">
        <w:r w:rsidDel="00000000" w:rsidR="00000000" w:rsidRPr="00000000">
          <w:rPr>
            <w:color w:val="1155cc"/>
            <w:u w:val="single"/>
            <w:rtl w:val="0"/>
          </w:rPr>
          <w:t xml:space="preserve">https://www.icann.org/public-comments/ifr-initial-report-2020-10-08-en</w:t>
        </w:r>
      </w:hyperlink>
      <w:r w:rsidDel="00000000" w:rsidR="00000000" w:rsidRPr="00000000">
        <w:rPr>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Statement of the Non-Commercial Stakeholders Group on the IANA Naming Function Review Team Initial Report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360" w:lineRule="auto"/>
        <w:ind w:left="0" w:firstLine="0"/>
        <w:jc w:val="both"/>
        <w:rPr>
          <w:b w:val="1"/>
        </w:rPr>
      </w:pPr>
      <w:r w:rsidDel="00000000" w:rsidR="00000000" w:rsidRPr="00000000">
        <w:rPr>
          <w:rtl w:val="0"/>
        </w:rPr>
      </w:r>
    </w:p>
    <w:p w:rsidR="00000000" w:rsidDel="00000000" w:rsidP="00000000" w:rsidRDefault="00000000" w:rsidRPr="00000000" w14:paraId="00000008">
      <w:pPr>
        <w:spacing w:after="200" w:line="360" w:lineRule="auto"/>
        <w:jc w:val="both"/>
        <w:rPr>
          <w:b w:val="1"/>
        </w:rPr>
      </w:pPr>
      <w:r w:rsidDel="00000000" w:rsidR="00000000" w:rsidRPr="00000000">
        <w:rPr>
          <w:b w:val="1"/>
          <w:rtl w:val="0"/>
        </w:rPr>
        <w:t xml:space="preserve">Background and first remarks</w:t>
      </w:r>
    </w:p>
    <w:p w:rsidR="00000000" w:rsidDel="00000000" w:rsidP="00000000" w:rsidRDefault="00000000" w:rsidRPr="00000000" w14:paraId="00000009">
      <w:pPr>
        <w:numPr>
          <w:ilvl w:val="0"/>
          <w:numId w:val="1"/>
        </w:numPr>
        <w:spacing w:after="200" w:line="360" w:lineRule="auto"/>
        <w:ind w:left="720" w:hanging="360"/>
        <w:jc w:val="both"/>
        <w:rPr>
          <w:u w:val="none"/>
        </w:rPr>
      </w:pPr>
      <w:r w:rsidDel="00000000" w:rsidR="00000000" w:rsidRPr="00000000">
        <w:rPr>
          <w:rtl w:val="0"/>
        </w:rPr>
        <w:t xml:space="preserve">The </w:t>
      </w:r>
      <w:hyperlink r:id="rId7">
        <w:r w:rsidDel="00000000" w:rsidR="00000000" w:rsidRPr="00000000">
          <w:rPr>
            <w:color w:val="1155cc"/>
            <w:u w:val="single"/>
            <w:rtl w:val="0"/>
          </w:rPr>
          <w:t xml:space="preserve">Non-Commercial Stakeholders Group (NCSG)</w:t>
        </w:r>
      </w:hyperlink>
      <w:r w:rsidDel="00000000" w:rsidR="00000000" w:rsidRPr="00000000">
        <w:rPr>
          <w:rtl w:val="0"/>
        </w:rPr>
        <w:t xml:space="preserve"> welcomes the opportunity to provide input on the IANA Naming Function Review Team Initial Report (IFRT).</w:t>
      </w:r>
    </w:p>
    <w:p w:rsidR="00000000" w:rsidDel="00000000" w:rsidP="00000000" w:rsidRDefault="00000000" w:rsidRPr="00000000" w14:paraId="0000000A">
      <w:pPr>
        <w:numPr>
          <w:ilvl w:val="0"/>
          <w:numId w:val="1"/>
        </w:numPr>
        <w:spacing w:after="200" w:before="0" w:line="360" w:lineRule="auto"/>
        <w:ind w:left="720" w:hanging="360"/>
        <w:jc w:val="both"/>
        <w:rPr>
          <w:u w:val="none"/>
        </w:rPr>
      </w:pPr>
      <w:r w:rsidDel="00000000" w:rsidR="00000000" w:rsidRPr="00000000">
        <w:rPr>
          <w:rtl w:val="0"/>
        </w:rPr>
        <w:t xml:space="preserve">The NCSG represents the interests of non-commercial domain name registrants and end-users in the formulation of Domain Name System policy within the Generic Names Supporting Organisation. We are proud to have individual and organizational members in over 160 countries, and as a network of academics, Internet end-users, and civil society actors, we represent a broad cross-section of the global Internet community. Since our predecessor - the Non-Commercial Domain Name Holders Constituency (NCDNHC) - inception in 1999, we have facilitated global academic and civil society engagement in support of ICANN’s mission, stimulating an informed citizenry and building their understanding of relevant DNS policy issues.</w:t>
      </w:r>
    </w:p>
    <w:p w:rsidR="00000000" w:rsidDel="00000000" w:rsidP="00000000" w:rsidRDefault="00000000" w:rsidRPr="00000000" w14:paraId="0000000B">
      <w:pPr>
        <w:numPr>
          <w:ilvl w:val="0"/>
          <w:numId w:val="1"/>
        </w:numPr>
        <w:spacing w:after="200" w:line="360" w:lineRule="auto"/>
        <w:ind w:left="720" w:hanging="360"/>
        <w:jc w:val="both"/>
      </w:pPr>
      <w:r w:rsidDel="00000000" w:rsidR="00000000" w:rsidRPr="00000000">
        <w:rPr>
          <w:rtl w:val="0"/>
        </w:rPr>
        <w:t xml:space="preserve">Following </w:t>
      </w:r>
      <w:hyperlink r:id="rId8">
        <w:r w:rsidDel="00000000" w:rsidR="00000000" w:rsidRPr="00000000">
          <w:rPr>
            <w:color w:val="1155cc"/>
            <w:u w:val="single"/>
            <w:rtl w:val="0"/>
          </w:rPr>
          <w:t xml:space="preserve">Article 18 of the ICANN bylaws</w:t>
        </w:r>
      </w:hyperlink>
      <w:r w:rsidDel="00000000" w:rsidR="00000000" w:rsidRPr="00000000">
        <w:rPr>
          <w:rtl w:val="0"/>
        </w:rPr>
        <w:t xml:space="preserve"> for providing accountability mechanisms to the IANA stewardship, on 16 September 2018, the first IFR was convened by the ICANN Board. </w:t>
      </w:r>
      <w:hyperlink r:id="rId9">
        <w:r w:rsidDel="00000000" w:rsidR="00000000" w:rsidRPr="00000000">
          <w:rPr>
            <w:color w:val="1155cc"/>
            <w:u w:val="single"/>
            <w:rtl w:val="0"/>
          </w:rPr>
          <w:t xml:space="preserve">The team was assembled on 26 September 2019</w:t>
        </w:r>
      </w:hyperlink>
      <w:r w:rsidDel="00000000" w:rsidR="00000000" w:rsidRPr="00000000">
        <w:rPr>
          <w:rtl w:val="0"/>
        </w:rPr>
        <w:t xml:space="preserve">, having appointed as co-chairs Frederico Neves (by the ccNSO) and Tomslin Samme-Nlar (by the GNSO). </w:t>
      </w:r>
    </w:p>
    <w:p w:rsidR="00000000" w:rsidDel="00000000" w:rsidP="00000000" w:rsidRDefault="00000000" w:rsidRPr="00000000" w14:paraId="0000000C">
      <w:pPr>
        <w:numPr>
          <w:ilvl w:val="0"/>
          <w:numId w:val="1"/>
        </w:numPr>
        <w:spacing w:after="200" w:line="360" w:lineRule="auto"/>
        <w:ind w:left="720" w:hanging="360"/>
        <w:jc w:val="both"/>
      </w:pPr>
      <w:r w:rsidDel="00000000" w:rsidR="00000000" w:rsidRPr="00000000">
        <w:rPr>
          <w:rtl w:val="0"/>
        </w:rPr>
        <w:t xml:space="preserve">After defining the </w:t>
      </w:r>
      <w:hyperlink r:id="rId10">
        <w:r w:rsidDel="00000000" w:rsidR="00000000" w:rsidRPr="00000000">
          <w:rPr>
            <w:color w:val="1155cc"/>
            <w:u w:val="single"/>
            <w:rtl w:val="0"/>
          </w:rPr>
          <w:t xml:space="preserve">Rules of Engagement</w:t>
        </w:r>
      </w:hyperlink>
      <w:r w:rsidDel="00000000" w:rsidR="00000000" w:rsidRPr="00000000">
        <w:rPr>
          <w:rtl w:val="0"/>
        </w:rPr>
        <w:t xml:space="preserve"> on 13 January 2020, The </w:t>
      </w:r>
      <w:hyperlink r:id="rId11">
        <w:r w:rsidDel="00000000" w:rsidR="00000000" w:rsidRPr="00000000">
          <w:rPr>
            <w:color w:val="1155cc"/>
            <w:u w:val="single"/>
            <w:rtl w:val="0"/>
          </w:rPr>
          <w:t xml:space="preserve">Scope of Work</w:t>
        </w:r>
      </w:hyperlink>
      <w:r w:rsidDel="00000000" w:rsidR="00000000" w:rsidRPr="00000000">
        <w:rPr>
          <w:rtl w:val="0"/>
        </w:rPr>
        <w:t xml:space="preserve"> was published and detailed on 04 February 2020, while the </w:t>
      </w:r>
      <w:hyperlink r:id="rId12">
        <w:r w:rsidDel="00000000" w:rsidR="00000000" w:rsidRPr="00000000">
          <w:rPr>
            <w:color w:val="1155cc"/>
            <w:u w:val="single"/>
            <w:rtl w:val="0"/>
          </w:rPr>
          <w:t xml:space="preserve">Work Plan</w:t>
        </w:r>
      </w:hyperlink>
      <w:r w:rsidDel="00000000" w:rsidR="00000000" w:rsidRPr="00000000">
        <w:rPr>
          <w:rtl w:val="0"/>
        </w:rPr>
        <w:t xml:space="preserve"> was published on 18 February 2020, while relevant news and information were being published in the </w:t>
      </w:r>
      <w:hyperlink r:id="rId13">
        <w:r w:rsidDel="00000000" w:rsidR="00000000" w:rsidRPr="00000000">
          <w:rPr>
            <w:color w:val="1155cc"/>
            <w:u w:val="single"/>
            <w:rtl w:val="0"/>
          </w:rPr>
          <w:t xml:space="preserve">IFR Wiki</w:t>
        </w:r>
      </w:hyperlink>
      <w:r w:rsidDel="00000000" w:rsidR="00000000" w:rsidRPr="00000000">
        <w:rPr>
          <w:rtl w:val="0"/>
        </w:rPr>
        <w:t xml:space="preserve">. The announcement of the completion of these documents was made on 31 March 2020, and a Webinar presenting the recommendations before their publication was developed on 29 September 2020.</w:t>
      </w:r>
    </w:p>
    <w:p w:rsidR="00000000" w:rsidDel="00000000" w:rsidP="00000000" w:rsidRDefault="00000000" w:rsidRPr="00000000" w14:paraId="0000000D">
      <w:pPr>
        <w:numPr>
          <w:ilvl w:val="0"/>
          <w:numId w:val="1"/>
        </w:numPr>
        <w:spacing w:after="200" w:line="360" w:lineRule="auto"/>
        <w:ind w:left="720" w:hanging="360"/>
        <w:jc w:val="both"/>
        <w:rPr>
          <w:u w:val="none"/>
        </w:rPr>
      </w:pPr>
      <w:r w:rsidDel="00000000" w:rsidR="00000000" w:rsidRPr="00000000">
        <w:rPr>
          <w:rtl w:val="0"/>
        </w:rPr>
        <w:t xml:space="preserve">The </w:t>
      </w:r>
      <w:hyperlink r:id="rId14">
        <w:r w:rsidDel="00000000" w:rsidR="00000000" w:rsidRPr="00000000">
          <w:rPr>
            <w:color w:val="1155cc"/>
            <w:u w:val="single"/>
            <w:rtl w:val="0"/>
          </w:rPr>
          <w:t xml:space="preserve">Initial Report</w:t>
        </w:r>
      </w:hyperlink>
      <w:r w:rsidDel="00000000" w:rsidR="00000000" w:rsidRPr="00000000">
        <w:rPr>
          <w:rtl w:val="0"/>
        </w:rPr>
        <w:t xml:space="preserve"> was then published on 2 October 2020, with initial findings, analysis, issues, and recommendations. The Public Comment period opened from 8 October 2020 to 2 December. An ICANN69 Webinar (</w:t>
      </w:r>
      <w:hyperlink r:id="rId15">
        <w:r w:rsidDel="00000000" w:rsidR="00000000" w:rsidRPr="00000000">
          <w:rPr>
            <w:color w:val="1155cc"/>
            <w:u w:val="single"/>
            <w:rtl w:val="0"/>
          </w:rPr>
          <w:t xml:space="preserve">Engagement Session with the IANA Naming Function Review Team</w:t>
        </w:r>
      </w:hyperlink>
      <w:r w:rsidDel="00000000" w:rsidR="00000000" w:rsidRPr="00000000">
        <w:rPr>
          <w:rtl w:val="0"/>
        </w:rPr>
        <w:t xml:space="preserve">) presenting the most important points was transmitted on 22 October 2020, gathering some first impressions about the report.</w:t>
      </w:r>
    </w:p>
    <w:p w:rsidR="00000000" w:rsidDel="00000000" w:rsidP="00000000" w:rsidRDefault="00000000" w:rsidRPr="00000000" w14:paraId="0000000E">
      <w:pPr>
        <w:numPr>
          <w:ilvl w:val="0"/>
          <w:numId w:val="1"/>
        </w:numPr>
        <w:spacing w:after="200" w:line="360" w:lineRule="auto"/>
        <w:ind w:left="720" w:hanging="360"/>
        <w:jc w:val="both"/>
        <w:rPr>
          <w:u w:val="none"/>
        </w:rPr>
      </w:pPr>
      <w:r w:rsidDel="00000000" w:rsidR="00000000" w:rsidRPr="00000000">
        <w:rPr>
          <w:rtl w:val="0"/>
        </w:rPr>
        <w:t xml:space="preserve">Four main recommendations were made by the IFRT: </w:t>
      </w:r>
    </w:p>
    <w:p w:rsidR="00000000" w:rsidDel="00000000" w:rsidP="00000000" w:rsidRDefault="00000000" w:rsidRPr="00000000" w14:paraId="0000000F">
      <w:pPr>
        <w:numPr>
          <w:ilvl w:val="1"/>
          <w:numId w:val="1"/>
        </w:numPr>
        <w:spacing w:after="200" w:line="360" w:lineRule="auto"/>
        <w:ind w:left="1440" w:hanging="360"/>
        <w:jc w:val="both"/>
        <w:rPr>
          <w:u w:val="none"/>
        </w:rPr>
      </w:pPr>
      <w:r w:rsidDel="00000000" w:rsidR="00000000" w:rsidRPr="00000000">
        <w:rPr>
          <w:rtl w:val="0"/>
        </w:rPr>
        <w:t xml:space="preserve">as the highest priority, that PTI publishes the IANA functions transition plan as required by the IANA Naming Function Contract;</w:t>
      </w:r>
    </w:p>
    <w:p w:rsidR="00000000" w:rsidDel="00000000" w:rsidP="00000000" w:rsidRDefault="00000000" w:rsidRPr="00000000" w14:paraId="00000010">
      <w:pPr>
        <w:numPr>
          <w:ilvl w:val="1"/>
          <w:numId w:val="1"/>
        </w:numPr>
        <w:spacing w:after="200" w:line="360" w:lineRule="auto"/>
        <w:ind w:left="1440" w:hanging="360"/>
        <w:jc w:val="both"/>
        <w:rPr>
          <w:u w:val="none"/>
        </w:rPr>
      </w:pPr>
      <w:r w:rsidDel="00000000" w:rsidR="00000000" w:rsidRPr="00000000">
        <w:rPr>
          <w:rtl w:val="0"/>
        </w:rPr>
        <w:t xml:space="preserve">that the Annual Attestation of the PTI President that PTI has complied with the requirements of Section 6.1 of the IANA Naming Function Contract be posted on iana.org annually; </w:t>
      </w:r>
    </w:p>
    <w:p w:rsidR="00000000" w:rsidDel="00000000" w:rsidP="00000000" w:rsidRDefault="00000000" w:rsidRPr="00000000" w14:paraId="00000011">
      <w:pPr>
        <w:numPr>
          <w:ilvl w:val="1"/>
          <w:numId w:val="1"/>
        </w:numPr>
        <w:spacing w:after="200" w:line="360" w:lineRule="auto"/>
        <w:ind w:left="1440" w:hanging="360"/>
        <w:jc w:val="both"/>
        <w:rPr>
          <w:u w:val="none"/>
        </w:rPr>
      </w:pPr>
      <w:r w:rsidDel="00000000" w:rsidR="00000000" w:rsidRPr="00000000">
        <w:rPr>
          <w:rtl w:val="0"/>
        </w:rPr>
        <w:t xml:space="preserve">in conjunction with the CSC, it was identified duplication in Section 18.12.a (ii) of the ICANN bylaws, so it’s removal should be considered by the ICANN board; </w:t>
      </w:r>
    </w:p>
    <w:p w:rsidR="00000000" w:rsidDel="00000000" w:rsidP="00000000" w:rsidRDefault="00000000" w:rsidRPr="00000000" w14:paraId="00000012">
      <w:pPr>
        <w:numPr>
          <w:ilvl w:val="1"/>
          <w:numId w:val="1"/>
        </w:numPr>
        <w:spacing w:after="200" w:line="360" w:lineRule="auto"/>
        <w:ind w:left="1440" w:hanging="360"/>
        <w:jc w:val="both"/>
        <w:rPr>
          <w:u w:val="none"/>
        </w:rPr>
      </w:pPr>
      <w:r w:rsidDel="00000000" w:rsidR="00000000" w:rsidRPr="00000000">
        <w:rPr>
          <w:rtl w:val="0"/>
        </w:rPr>
        <w:t xml:space="preserve">as the lowest priority, that the statement “the relevant policies under which the changes are made shall be noted within each monthly report" in Article VII, Section 7.1 (a) of the </w:t>
      </w:r>
      <w:hyperlink r:id="rId16">
        <w:r w:rsidDel="00000000" w:rsidR="00000000" w:rsidRPr="00000000">
          <w:rPr>
            <w:color w:val="1155cc"/>
            <w:u w:val="single"/>
            <w:rtl w:val="0"/>
          </w:rPr>
          <w:t xml:space="preserve">IANA Naming Function Contract</w:t>
        </w:r>
      </w:hyperlink>
      <w:r w:rsidDel="00000000" w:rsidR="00000000" w:rsidRPr="00000000">
        <w:rPr>
          <w:rtl w:val="0"/>
        </w:rPr>
        <w:t xml:space="preserve"> should be removed from the contracts since it is no longer required and considered operationally impracticable.</w:t>
      </w:r>
    </w:p>
    <w:p w:rsidR="00000000" w:rsidDel="00000000" w:rsidP="00000000" w:rsidRDefault="00000000" w:rsidRPr="00000000" w14:paraId="00000013">
      <w:pPr>
        <w:numPr>
          <w:ilvl w:val="0"/>
          <w:numId w:val="1"/>
        </w:numPr>
        <w:spacing w:after="200" w:line="360" w:lineRule="auto"/>
        <w:ind w:left="720" w:hanging="360"/>
        <w:jc w:val="both"/>
        <w:rPr>
          <w:u w:val="none"/>
        </w:rPr>
      </w:pPr>
      <w:r w:rsidDel="00000000" w:rsidR="00000000" w:rsidRPr="00000000">
        <w:rPr>
          <w:rtl w:val="0"/>
        </w:rPr>
        <w:t xml:space="preserve">This document will analyze these recommendations and review findings on the Bylaws, focusing on the first recommendation (marked as high priority) and the section of the report related to Section 18.3.(c) of the Bylaws.</w:t>
      </w:r>
    </w:p>
    <w:p w:rsidR="00000000" w:rsidDel="00000000" w:rsidP="00000000" w:rsidRDefault="00000000" w:rsidRPr="00000000" w14:paraId="00000014">
      <w:pPr>
        <w:numPr>
          <w:ilvl w:val="1"/>
          <w:numId w:val="1"/>
        </w:numPr>
        <w:spacing w:after="200" w:line="360" w:lineRule="auto"/>
        <w:ind w:left="1440" w:hanging="360"/>
        <w:jc w:val="both"/>
        <w:rPr>
          <w:u w:val="none"/>
        </w:rPr>
      </w:pPr>
      <w:r w:rsidDel="00000000" w:rsidR="00000000" w:rsidRPr="00000000">
        <w:rPr>
          <w:rtl w:val="0"/>
        </w:rPr>
        <w:t xml:space="preserve">Although the Report seems to refer to the above-mentioned Section as “5.4” (see pp. 13, 14 and 52), the contract clauses are analyzed </w:t>
      </w:r>
      <w:r w:rsidDel="00000000" w:rsidR="00000000" w:rsidRPr="00000000">
        <w:rPr>
          <w:rtl w:val="0"/>
        </w:rPr>
        <w:t xml:space="preserve">in Section</w:t>
      </w:r>
      <w:r w:rsidDel="00000000" w:rsidR="00000000" w:rsidRPr="00000000">
        <w:rPr>
          <w:rtl w:val="0"/>
        </w:rPr>
        <w:t xml:space="preserve"> 5.3 (p. 15-51) of the document. It’s also worth mentioning that Section 5.5 is skipped right after.</w:t>
      </w:r>
    </w:p>
    <w:p w:rsidR="00000000" w:rsidDel="00000000" w:rsidP="00000000" w:rsidRDefault="00000000" w:rsidRPr="00000000" w14:paraId="00000015">
      <w:pPr>
        <w:spacing w:after="200" w:line="360" w:lineRule="auto"/>
        <w:ind w:left="1440" w:firstLine="0"/>
        <w:jc w:val="both"/>
        <w:rPr/>
      </w:pPr>
      <w:r w:rsidDel="00000000" w:rsidR="00000000" w:rsidRPr="00000000">
        <w:rPr>
          <w:rtl w:val="0"/>
        </w:rPr>
      </w:r>
    </w:p>
    <w:p w:rsidR="00000000" w:rsidDel="00000000" w:rsidP="00000000" w:rsidRDefault="00000000" w:rsidRPr="00000000" w14:paraId="00000016">
      <w:pPr>
        <w:spacing w:after="200" w:line="360" w:lineRule="auto"/>
        <w:jc w:val="both"/>
        <w:rPr>
          <w:b w:val="1"/>
        </w:rPr>
      </w:pPr>
      <w:r w:rsidDel="00000000" w:rsidR="00000000" w:rsidRPr="00000000">
        <w:rPr>
          <w:b w:val="1"/>
          <w:rtl w:val="0"/>
        </w:rPr>
        <w:t xml:space="preserve">Recommendations and related contract or bylaws sections</w:t>
      </w:r>
    </w:p>
    <w:p w:rsidR="00000000" w:rsidDel="00000000" w:rsidP="00000000" w:rsidRDefault="00000000" w:rsidRPr="00000000" w14:paraId="00000017">
      <w:pPr>
        <w:numPr>
          <w:ilvl w:val="0"/>
          <w:numId w:val="1"/>
        </w:numPr>
        <w:spacing w:after="200" w:line="360" w:lineRule="auto"/>
        <w:ind w:left="720" w:hanging="360"/>
        <w:jc w:val="both"/>
        <w:rPr>
          <w:u w:val="none"/>
        </w:rPr>
      </w:pPr>
      <w:r w:rsidDel="00000000" w:rsidR="00000000" w:rsidRPr="00000000">
        <w:rPr>
          <w:rtl w:val="0"/>
        </w:rPr>
        <w:t xml:space="preserve">Related to Article IX, Section 9.3 (p. 32 of the report) of the IANA Naming Function Contract, the text explicitly mentions that “The transition plan shall be submitted to ICANN and posted to the IANA Website within 18 months after the Effective Date”. Taking that into consideration, IFRT-2020-Rec1 is not just a desirable action that would benefit those interested in accompanying and reviewing IANA related issues, but also a relevant contractual obligation that is currently not complied with.</w:t>
      </w:r>
    </w:p>
    <w:p w:rsidR="00000000" w:rsidDel="00000000" w:rsidP="00000000" w:rsidRDefault="00000000" w:rsidRPr="00000000" w14:paraId="00000018">
      <w:pPr>
        <w:numPr>
          <w:ilvl w:val="1"/>
          <w:numId w:val="1"/>
        </w:numPr>
        <w:spacing w:after="200" w:line="360" w:lineRule="auto"/>
        <w:ind w:left="1440" w:hanging="360"/>
        <w:jc w:val="both"/>
        <w:rPr>
          <w:u w:val="none"/>
        </w:rPr>
      </w:pPr>
      <w:r w:rsidDel="00000000" w:rsidR="00000000" w:rsidRPr="00000000">
        <w:rPr>
          <w:rtl w:val="0"/>
        </w:rPr>
        <w:t xml:space="preserve">This recommendation is also aligned with the NCSG's commitment to high levels of transparency and accountability within ICANN. Its high priority is correctly emphasized. </w:t>
      </w:r>
    </w:p>
    <w:p w:rsidR="00000000" w:rsidDel="00000000" w:rsidP="00000000" w:rsidRDefault="00000000" w:rsidRPr="00000000" w14:paraId="00000019">
      <w:pPr>
        <w:numPr>
          <w:ilvl w:val="1"/>
          <w:numId w:val="1"/>
        </w:numPr>
        <w:spacing w:after="200" w:line="360" w:lineRule="auto"/>
        <w:ind w:left="1440" w:hanging="360"/>
        <w:jc w:val="both"/>
        <w:rPr>
          <w:u w:val="none"/>
        </w:rPr>
      </w:pPr>
      <w:hyperlink r:id="rId17">
        <w:r w:rsidDel="00000000" w:rsidR="00000000" w:rsidRPr="00000000">
          <w:rPr>
            <w:color w:val="1155cc"/>
            <w:u w:val="single"/>
            <w:rtl w:val="0"/>
          </w:rPr>
          <w:t xml:space="preserve">ICANN is in the process already of working with PTI to publish the IANA services  transition  plan</w:t>
        </w:r>
      </w:hyperlink>
      <w:r w:rsidDel="00000000" w:rsidR="00000000" w:rsidRPr="00000000">
        <w:rPr>
          <w:rtl w:val="0"/>
        </w:rPr>
        <w:t xml:space="preserve">;</w:t>
      </w:r>
    </w:p>
    <w:p w:rsidR="00000000" w:rsidDel="00000000" w:rsidP="00000000" w:rsidRDefault="00000000" w:rsidRPr="00000000" w14:paraId="0000001A">
      <w:pPr>
        <w:numPr>
          <w:ilvl w:val="0"/>
          <w:numId w:val="1"/>
        </w:numPr>
        <w:spacing w:after="200" w:line="360" w:lineRule="auto"/>
        <w:ind w:left="720" w:hanging="360"/>
        <w:jc w:val="both"/>
        <w:rPr>
          <w:u w:val="none"/>
        </w:rPr>
      </w:pPr>
      <w:r w:rsidDel="00000000" w:rsidR="00000000" w:rsidRPr="00000000">
        <w:rPr>
          <w:rtl w:val="0"/>
        </w:rPr>
        <w:t xml:space="preserve">Related to Article VI, Section 6.1 (d) (p. 23 of the report) of the IANA Naming Function Contract, the IFRT recommended (IFRT-2020-Rec2) the publication of the Annual Attestation that the “Contractor has complied with the requirements of this Section 6.1”, signed by the PTI President and the GM of the contractor.</w:t>
      </w:r>
    </w:p>
    <w:p w:rsidR="00000000" w:rsidDel="00000000" w:rsidP="00000000" w:rsidRDefault="00000000" w:rsidRPr="00000000" w14:paraId="0000001B">
      <w:pPr>
        <w:numPr>
          <w:ilvl w:val="1"/>
          <w:numId w:val="1"/>
        </w:numPr>
        <w:spacing w:after="200" w:line="360" w:lineRule="auto"/>
        <w:ind w:left="1440" w:hanging="360"/>
        <w:jc w:val="both"/>
        <w:rPr>
          <w:u w:val="none"/>
        </w:rPr>
      </w:pPr>
      <w:r w:rsidDel="00000000" w:rsidR="00000000" w:rsidRPr="00000000">
        <w:rPr>
          <w:rtl w:val="0"/>
        </w:rPr>
        <w:t xml:space="preserve">As before, this recommendation is also aligned with the NCSG's commitment to high levels of transparency and accountability within ICANN;</w:t>
      </w:r>
    </w:p>
    <w:p w:rsidR="00000000" w:rsidDel="00000000" w:rsidP="00000000" w:rsidRDefault="00000000" w:rsidRPr="00000000" w14:paraId="0000001C">
      <w:pPr>
        <w:numPr>
          <w:ilvl w:val="1"/>
          <w:numId w:val="1"/>
        </w:numPr>
        <w:spacing w:after="200" w:line="360" w:lineRule="auto"/>
        <w:ind w:left="1440" w:hanging="360"/>
        <w:jc w:val="both"/>
        <w:rPr>
          <w:u w:val="none"/>
        </w:rPr>
      </w:pPr>
      <w:r w:rsidDel="00000000" w:rsidR="00000000" w:rsidRPr="00000000">
        <w:rPr>
          <w:rtl w:val="0"/>
        </w:rPr>
        <w:t xml:space="preserve">The public access of these document, that is already being signed annually, isn’t accompanied by relevant risks (such as confidentiality needs) or significant extra burdens to the involved parties;</w:t>
      </w:r>
    </w:p>
    <w:p w:rsidR="00000000" w:rsidDel="00000000" w:rsidP="00000000" w:rsidRDefault="00000000" w:rsidRPr="00000000" w14:paraId="0000001D">
      <w:pPr>
        <w:numPr>
          <w:ilvl w:val="1"/>
          <w:numId w:val="1"/>
        </w:numPr>
        <w:spacing w:after="200" w:line="360" w:lineRule="auto"/>
        <w:ind w:left="1440" w:hanging="360"/>
        <w:jc w:val="both"/>
        <w:rPr>
          <w:u w:val="none"/>
        </w:rPr>
      </w:pPr>
      <w:r w:rsidDel="00000000" w:rsidR="00000000" w:rsidRPr="00000000">
        <w:rPr>
          <w:rtl w:val="0"/>
        </w:rPr>
        <w:t xml:space="preserve">This publication would also be aligned with the teleology of the other parts of Article VI, Section 6.1, which focus on enhancing “consistency, predictability, and integrity in Contractor’s decision-making related to the IANA Naming Function”.</w:t>
      </w:r>
    </w:p>
    <w:p w:rsidR="00000000" w:rsidDel="00000000" w:rsidP="00000000" w:rsidRDefault="00000000" w:rsidRPr="00000000" w14:paraId="0000001E">
      <w:pPr>
        <w:numPr>
          <w:ilvl w:val="1"/>
          <w:numId w:val="1"/>
        </w:numPr>
        <w:spacing w:after="200" w:line="360" w:lineRule="auto"/>
        <w:ind w:left="1440" w:hanging="360"/>
        <w:jc w:val="both"/>
        <w:rPr>
          <w:u w:val="none"/>
        </w:rPr>
      </w:pPr>
      <w:hyperlink r:id="rId18">
        <w:r w:rsidDel="00000000" w:rsidR="00000000" w:rsidRPr="00000000">
          <w:rPr>
            <w:color w:val="1155cc"/>
            <w:u w:val="single"/>
            <w:rtl w:val="0"/>
          </w:rPr>
          <w:t xml:space="preserve">ICANN has already started publishing these attestations;</w:t>
        </w:r>
      </w:hyperlink>
      <w:r w:rsidDel="00000000" w:rsidR="00000000" w:rsidRPr="00000000">
        <w:rPr>
          <w:rtl w:val="0"/>
        </w:rPr>
      </w:r>
    </w:p>
    <w:p w:rsidR="00000000" w:rsidDel="00000000" w:rsidP="00000000" w:rsidRDefault="00000000" w:rsidRPr="00000000" w14:paraId="0000001F">
      <w:pPr>
        <w:numPr>
          <w:ilvl w:val="0"/>
          <w:numId w:val="1"/>
        </w:numPr>
        <w:spacing w:after="200" w:line="360" w:lineRule="auto"/>
        <w:ind w:left="720" w:hanging="360"/>
        <w:jc w:val="both"/>
        <w:rPr>
          <w:u w:val="none"/>
        </w:rPr>
      </w:pPr>
      <w:r w:rsidDel="00000000" w:rsidR="00000000" w:rsidRPr="00000000">
        <w:rPr>
          <w:rtl w:val="0"/>
        </w:rPr>
        <w:t xml:space="preserve">Related to Article VIII, Section 8.2 (p. 30 of the report), and especially to Sections 18.3.(j) (p. 58 of the report) and 18.12.(a).(i and ii) of the ICANN Bylaws, the IFRT noticed that the conditions established there were redundant since the RAP and the IANA problem resolution process were combined into a single set of procedures (the RAPs) by the CSC. Because of that, the recommendation (IFRT-2020-Rec3) was that Section 18.12.(a).(ii) should be suppressed.</w:t>
      </w:r>
    </w:p>
    <w:p w:rsidR="00000000" w:rsidDel="00000000" w:rsidP="00000000" w:rsidRDefault="00000000" w:rsidRPr="00000000" w14:paraId="00000020">
      <w:pPr>
        <w:numPr>
          <w:ilvl w:val="1"/>
          <w:numId w:val="1"/>
        </w:numPr>
        <w:spacing w:after="200" w:line="360" w:lineRule="auto"/>
        <w:ind w:left="1440" w:hanging="360"/>
        <w:jc w:val="both"/>
        <w:rPr>
          <w:u w:val="none"/>
        </w:rPr>
      </w:pPr>
      <w:r w:rsidDel="00000000" w:rsidR="00000000" w:rsidRPr="00000000">
        <w:rPr>
          <w:rtl w:val="0"/>
        </w:rPr>
        <w:t xml:space="preserve">The NCSG concur with the Recommendation, highlighting only that, if any part of Section 18.12.(a).(ii) should be considered to remain relevant, Section 18.12.(a).(i) could be modified to address the relevant issue.</w:t>
      </w:r>
    </w:p>
    <w:p w:rsidR="00000000" w:rsidDel="00000000" w:rsidP="00000000" w:rsidRDefault="00000000" w:rsidRPr="00000000" w14:paraId="00000021">
      <w:pPr>
        <w:numPr>
          <w:ilvl w:val="0"/>
          <w:numId w:val="1"/>
        </w:numPr>
        <w:spacing w:after="200" w:line="360" w:lineRule="auto"/>
        <w:ind w:left="720" w:hanging="360"/>
        <w:jc w:val="both"/>
        <w:rPr>
          <w:u w:val="none"/>
        </w:rPr>
      </w:pPr>
      <w:r w:rsidDel="00000000" w:rsidR="00000000" w:rsidRPr="00000000">
        <w:rPr>
          <w:rtl w:val="0"/>
        </w:rPr>
        <w:t xml:space="preserve">Related to Article VII, Section 7.1 (p. 24 of the report), the IFRT noted that the text “The relevant policies under which the changes are made shall be noted within each monthly report” is currently a merely formal requirement that does not add value to the monthly reports made, recommending (IFRT-2020-Rec4) its </w:t>
      </w:r>
      <w:r w:rsidDel="00000000" w:rsidR="00000000" w:rsidRPr="00000000">
        <w:rPr>
          <w:rtl w:val="0"/>
        </w:rPr>
        <w:t xml:space="preserve">suppression</w:t>
      </w:r>
      <w:r w:rsidDel="00000000" w:rsidR="00000000" w:rsidRPr="00000000">
        <w:rPr>
          <w:rtl w:val="0"/>
        </w:rPr>
        <w:t xml:space="preserve">.</w:t>
      </w:r>
    </w:p>
    <w:p w:rsidR="00000000" w:rsidDel="00000000" w:rsidP="00000000" w:rsidRDefault="00000000" w:rsidRPr="00000000" w14:paraId="00000022">
      <w:pPr>
        <w:numPr>
          <w:ilvl w:val="1"/>
          <w:numId w:val="1"/>
        </w:numPr>
        <w:spacing w:after="200" w:line="360" w:lineRule="auto"/>
        <w:ind w:left="1440" w:hanging="360"/>
        <w:jc w:val="both"/>
        <w:rPr>
          <w:u w:val="none"/>
        </w:rPr>
      </w:pPr>
      <w:r w:rsidDel="00000000" w:rsidR="00000000" w:rsidRPr="00000000">
        <w:rPr>
          <w:rtl w:val="0"/>
        </w:rPr>
        <w:t xml:space="preserve">The NCSG agrees that, if this requirement is widely seen as impracticable and substantially has little-to-no positive impacts on accountability, there’s no need to maintain it.</w:t>
      </w:r>
    </w:p>
    <w:p w:rsidR="00000000" w:rsidDel="00000000" w:rsidP="00000000" w:rsidRDefault="00000000" w:rsidRPr="00000000" w14:paraId="00000023">
      <w:pPr>
        <w:spacing w:after="200" w:line="360" w:lineRule="auto"/>
        <w:ind w:left="0" w:firstLine="0"/>
        <w:jc w:val="both"/>
        <w:rPr/>
      </w:pPr>
      <w:r w:rsidDel="00000000" w:rsidR="00000000" w:rsidRPr="00000000">
        <w:rPr>
          <w:rtl w:val="0"/>
        </w:rPr>
      </w:r>
    </w:p>
    <w:p w:rsidR="00000000" w:rsidDel="00000000" w:rsidP="00000000" w:rsidRDefault="00000000" w:rsidRPr="00000000" w14:paraId="00000024">
      <w:pPr>
        <w:spacing w:after="200" w:line="360" w:lineRule="auto"/>
        <w:jc w:val="both"/>
        <w:rPr/>
      </w:pPr>
      <w:r w:rsidDel="00000000" w:rsidR="00000000" w:rsidRPr="00000000">
        <w:rPr>
          <w:b w:val="1"/>
          <w:rtl w:val="0"/>
        </w:rPr>
        <w:t xml:space="preserve">Other observations</w:t>
      </w:r>
      <w:r w:rsidDel="00000000" w:rsidR="00000000" w:rsidRPr="00000000">
        <w:rPr>
          <w:rtl w:val="0"/>
        </w:rPr>
      </w:r>
    </w:p>
    <w:p w:rsidR="00000000" w:rsidDel="00000000" w:rsidP="00000000" w:rsidRDefault="00000000" w:rsidRPr="00000000" w14:paraId="00000025">
      <w:pPr>
        <w:numPr>
          <w:ilvl w:val="0"/>
          <w:numId w:val="1"/>
        </w:numPr>
        <w:spacing w:after="200" w:line="360" w:lineRule="auto"/>
        <w:ind w:left="720" w:hanging="360"/>
        <w:jc w:val="both"/>
        <w:rPr>
          <w:u w:val="none"/>
        </w:rPr>
      </w:pPr>
      <w:r w:rsidDel="00000000" w:rsidR="00000000" w:rsidRPr="00000000">
        <w:rPr>
          <w:rtl w:val="0"/>
        </w:rPr>
        <w:t xml:space="preserve">The NCSG highlights, when the moment comes, the need of establishing spaces for policy discussion related to the .INT TLD (p. 15).</w:t>
      </w:r>
      <w:r w:rsidDel="00000000" w:rsidR="00000000" w:rsidRPr="00000000">
        <w:rPr>
          <w:rtl w:val="0"/>
        </w:rPr>
      </w:r>
    </w:p>
    <w:p w:rsidR="00000000" w:rsidDel="00000000" w:rsidP="00000000" w:rsidRDefault="00000000" w:rsidRPr="00000000" w14:paraId="00000026">
      <w:pPr>
        <w:spacing w:after="200" w:line="360" w:lineRule="auto"/>
        <w:ind w:left="0" w:firstLine="0"/>
        <w:jc w:val="both"/>
        <w:rPr>
          <w:b w:val="1"/>
        </w:rPr>
      </w:pPr>
      <w:r w:rsidDel="00000000" w:rsidR="00000000" w:rsidRPr="00000000">
        <w:rPr>
          <w:rtl w:val="0"/>
        </w:rPr>
      </w:r>
    </w:p>
    <w:p w:rsidR="00000000" w:rsidDel="00000000" w:rsidP="00000000" w:rsidRDefault="00000000" w:rsidRPr="00000000" w14:paraId="00000027">
      <w:pPr>
        <w:spacing w:after="200" w:line="360" w:lineRule="auto"/>
        <w:jc w:val="both"/>
        <w:rPr>
          <w:b w:val="1"/>
        </w:rPr>
      </w:pPr>
      <w:r w:rsidDel="00000000" w:rsidR="00000000" w:rsidRPr="00000000">
        <w:rPr>
          <w:b w:val="1"/>
          <w:rtl w:val="0"/>
        </w:rPr>
        <w:t xml:space="preserve">Conclusion</w:t>
      </w:r>
    </w:p>
    <w:p w:rsidR="00000000" w:rsidDel="00000000" w:rsidP="00000000" w:rsidRDefault="00000000" w:rsidRPr="00000000" w14:paraId="00000028">
      <w:pPr>
        <w:numPr>
          <w:ilvl w:val="0"/>
          <w:numId w:val="1"/>
        </w:numPr>
        <w:spacing w:after="200" w:line="360" w:lineRule="auto"/>
        <w:ind w:left="720" w:hanging="360"/>
        <w:jc w:val="both"/>
        <w:rPr/>
      </w:pPr>
      <w:r w:rsidDel="00000000" w:rsidR="00000000" w:rsidRPr="00000000">
        <w:rPr>
          <w:rtl w:val="0"/>
        </w:rPr>
        <w:t xml:space="preserve">As a result of what was presented before, the NCSG concludes, in summary, that</w:t>
      </w:r>
    </w:p>
    <w:p w:rsidR="00000000" w:rsidDel="00000000" w:rsidP="00000000" w:rsidRDefault="00000000" w:rsidRPr="00000000" w14:paraId="00000029">
      <w:pPr>
        <w:numPr>
          <w:ilvl w:val="1"/>
          <w:numId w:val="1"/>
        </w:numPr>
        <w:spacing w:after="200" w:line="360" w:lineRule="auto"/>
        <w:ind w:left="1440" w:hanging="360"/>
        <w:jc w:val="both"/>
        <w:rPr>
          <w:u w:val="none"/>
        </w:rPr>
      </w:pPr>
      <w:r w:rsidDel="00000000" w:rsidR="00000000" w:rsidRPr="00000000">
        <w:rPr>
          <w:rtl w:val="0"/>
        </w:rPr>
        <w:t xml:space="preserve">All four recommendations elaborated by the IFRT are adequate and should be adopted, with priority  on the first two (IFRT-2020-Rec1 and Rec2) that have a more potentially positive impact. At this moment, the first one is in the process of being implemented, while the second one already has;</w:t>
      </w:r>
    </w:p>
    <w:p w:rsidR="00000000" w:rsidDel="00000000" w:rsidP="00000000" w:rsidRDefault="00000000" w:rsidRPr="00000000" w14:paraId="0000002A">
      <w:pPr>
        <w:numPr>
          <w:ilvl w:val="1"/>
          <w:numId w:val="1"/>
        </w:numPr>
        <w:spacing w:after="200" w:line="360" w:lineRule="auto"/>
        <w:ind w:left="1440" w:hanging="360"/>
        <w:jc w:val="both"/>
        <w:rPr>
          <w:u w:val="none"/>
        </w:rPr>
      </w:pPr>
      <w:r w:rsidDel="00000000" w:rsidR="00000000" w:rsidRPr="00000000">
        <w:rPr>
          <w:rtl w:val="0"/>
        </w:rPr>
        <w:t xml:space="preserve">The initial report seems to have found that the functioning of the PTI is generally adequate and commendable, with few proposals of changes;</w:t>
      </w:r>
    </w:p>
    <w:p w:rsidR="00000000" w:rsidDel="00000000" w:rsidP="00000000" w:rsidRDefault="00000000" w:rsidRPr="00000000" w14:paraId="0000002B">
      <w:pPr>
        <w:numPr>
          <w:ilvl w:val="0"/>
          <w:numId w:val="1"/>
        </w:numPr>
        <w:spacing w:after="200" w:line="360" w:lineRule="auto"/>
        <w:ind w:left="720" w:hanging="360"/>
        <w:jc w:val="both"/>
        <w:rPr>
          <w:u w:val="none"/>
        </w:rPr>
      </w:pPr>
      <w:r w:rsidDel="00000000" w:rsidR="00000000" w:rsidRPr="00000000">
        <w:rPr>
          <w:rtl w:val="0"/>
        </w:rPr>
        <w:t xml:space="preserve">We are thankful for opening the conversation with the community, and for the opportunity to share our views, trusting that our opinions would be useful to corroborate the adopted positions. Finally, the NCSG would be happy to participate in any further discussions related to the subject of this present contribution to answer any clarifying questions that you may have regarding the contents of this document.</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ommunity.icann.org/display/ifr/Scope+of+Work" TargetMode="External"/><Relationship Id="rId10" Type="http://schemas.openxmlformats.org/officeDocument/2006/relationships/hyperlink" Target="https://community.icann.org/display/ifr/Rules+of+Engagement" TargetMode="External"/><Relationship Id="rId13" Type="http://schemas.openxmlformats.org/officeDocument/2006/relationships/hyperlink" Target="https://community.icann.org/display/ifr" TargetMode="External"/><Relationship Id="rId12" Type="http://schemas.openxmlformats.org/officeDocument/2006/relationships/hyperlink" Target="https://community.icann.org/display/ifr/Work+Pla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cann.org/news/announcement-2019-09-26-en" TargetMode="External"/><Relationship Id="rId15" Type="http://schemas.openxmlformats.org/officeDocument/2006/relationships/hyperlink" Target="https://69.schedule.icann.org/meetings/La9ZEHapEepdARBy9#/?limit=10&amp;sortByFields%5B0%5D=isPinned&amp;sortByFields%5B1%5D=lastActivityAt&amp;sortByOrders%5B0%5D=-1&amp;sortByOrders%5B1%5D=-1&amp;uid=a6ijir8iemBHYWRru" TargetMode="External"/><Relationship Id="rId14" Type="http://schemas.openxmlformats.org/officeDocument/2006/relationships/hyperlink" Target="https://www.icann.org/public-comments/ifr-initial-report-2020-10-08-en" TargetMode="External"/><Relationship Id="rId17" Type="http://schemas.openxmlformats.org/officeDocument/2006/relationships/hyperlink" Target="https://icann69.pathable.co/meetings/La9ZEHapEepdARBy9#/?limit=10&amp;sortByFields%5B0%5D=isPinned&amp;sortByFields%5B1%5D=lastActivityAt&amp;sortByOrders%5B0%5D=-1&amp;sortByOrders%5B1%5D=-1&amp;uid=a6ijir8iemBHYWRru" TargetMode="External"/><Relationship Id="rId16" Type="http://schemas.openxmlformats.org/officeDocument/2006/relationships/hyperlink" Target="https://pti.icann.org/agreements" TargetMode="External"/><Relationship Id="rId5" Type="http://schemas.openxmlformats.org/officeDocument/2006/relationships/styles" Target="styles.xml"/><Relationship Id="rId6" Type="http://schemas.openxmlformats.org/officeDocument/2006/relationships/hyperlink" Target="https://www.icann.org/public-comments/ifr-initial-report-2020-10-08-en" TargetMode="External"/><Relationship Id="rId18" Type="http://schemas.openxmlformats.org/officeDocument/2006/relationships/hyperlink" Target="https://pti.icann.org/agreements" TargetMode="External"/><Relationship Id="rId7" Type="http://schemas.openxmlformats.org/officeDocument/2006/relationships/hyperlink" Target="https://gnso.icann.org/en/about/stakeholders-constituencies/ncsg" TargetMode="External"/><Relationship Id="rId8" Type="http://schemas.openxmlformats.org/officeDocument/2006/relationships/hyperlink" Target="https://www.icann.org/resources/pages/governance/bylaws-en/#article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