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F69AB" w:rsidRPr="008515AF" w:rsidRDefault="008515AF" w:rsidP="008515AF">
      <w:pPr>
        <w:jc w:val="center"/>
        <w:rPr>
          <w:b/>
          <w:sz w:val="28"/>
          <w:szCs w:val="28"/>
          <w:lang w:val="en-AU"/>
        </w:rPr>
      </w:pPr>
      <w:r w:rsidRPr="008515AF">
        <w:rPr>
          <w:b/>
          <w:sz w:val="28"/>
          <w:szCs w:val="28"/>
          <w:lang w:val="en-AU"/>
        </w:rPr>
        <w:t>Priority 2 Policy Recommendations for ICANN Board Consideration from EPDP Phase 2 - NCSG Comment</w:t>
      </w:r>
    </w:p>
    <w:bookmarkStart w:id="0" w:name="_GoBack"/>
    <w:p w14:paraId="00000003" w14:textId="77777777" w:rsidR="00CF69AB" w:rsidRDefault="008515AF" w:rsidP="008515AF">
      <w:pPr>
        <w:jc w:val="center"/>
        <w:rPr>
          <w:color w:val="1155CC"/>
          <w:u w:val="single"/>
        </w:rPr>
      </w:pPr>
      <w:r>
        <w:rPr>
          <w:color w:val="1155CC"/>
          <w:u w:val="single"/>
        </w:rPr>
        <w:fldChar w:fldCharType="begin"/>
      </w:r>
      <w:r>
        <w:rPr>
          <w:color w:val="1155CC"/>
          <w:u w:val="single"/>
        </w:rPr>
        <w:instrText xml:space="preserve"> HYPERLINK "https://www.icann.org/public-comments/policy-recommendations-epdp-phase-2-2020-12-03-en" \h </w:instrText>
      </w:r>
      <w:r>
        <w:rPr>
          <w:color w:val="1155CC"/>
          <w:u w:val="single"/>
        </w:rPr>
        <w:fldChar w:fldCharType="separate"/>
      </w:r>
      <w:r>
        <w:rPr>
          <w:color w:val="1155CC"/>
          <w:u w:val="single"/>
        </w:rPr>
        <w:t>https://www.icann.org/public-comments/policy-recommendations-epdp-phase-2-2020-12-03-en</w:t>
      </w:r>
      <w:r>
        <w:rPr>
          <w:color w:val="1155CC"/>
          <w:u w:val="single"/>
        </w:rPr>
        <w:fldChar w:fldCharType="end"/>
      </w:r>
      <w:bookmarkEnd w:id="0"/>
    </w:p>
    <w:p w14:paraId="6AF50D57" w14:textId="77777777" w:rsidR="008515AF" w:rsidRDefault="008515AF">
      <w:pPr>
        <w:rPr>
          <w:color w:val="1155CC"/>
          <w:u w:val="single"/>
        </w:rPr>
      </w:pPr>
    </w:p>
    <w:p w14:paraId="66456FFB" w14:textId="77777777" w:rsidR="008515AF" w:rsidRPr="00C24043" w:rsidRDefault="008515AF" w:rsidP="008515AF">
      <w:pPr>
        <w:spacing w:before="240"/>
        <w:jc w:val="both"/>
        <w:rPr>
          <w:b/>
          <w:sz w:val="24"/>
          <w:szCs w:val="24"/>
          <w:lang w:val="en-AU"/>
        </w:rPr>
      </w:pPr>
      <w:r w:rsidRPr="00C24043">
        <w:rPr>
          <w:b/>
          <w:sz w:val="24"/>
          <w:szCs w:val="24"/>
          <w:lang w:val="en-AU"/>
        </w:rPr>
        <w:t>About NCSG</w:t>
      </w:r>
    </w:p>
    <w:p w14:paraId="10E5EE84" w14:textId="77777777" w:rsidR="008515AF" w:rsidRDefault="008515AF" w:rsidP="008515AF">
      <w:pPr>
        <w:spacing w:before="240"/>
        <w:jc w:val="both"/>
        <w:rPr>
          <w:lang w:val="en-AU"/>
        </w:rPr>
      </w:pPr>
      <w:r w:rsidRPr="00C24043">
        <w:rPr>
          <w:lang w:val="en-AU"/>
        </w:rPr>
        <w:t>NCSG represents the interests of non-commercial domain name registrants and end-users in the formulation of Domain Name System policy within the Generic Names Supporting Organisation (GNSO). We are proud to have individual and organizational members in over 160 countries, and as a network of academics, Internet end-users, and civil society actors, we represent a broad cross-section of the global Internet community. Since our predecessor’s inception in 1999 we have facilitated global academic and civil society engagement in support of ICANN’s mission, stimulating an informed citizenry and building their understanding of relevant DNS policy issues.</w:t>
      </w:r>
    </w:p>
    <w:p w14:paraId="560DB0D3" w14:textId="77777777" w:rsidR="008515AF" w:rsidRDefault="008515AF">
      <w:pPr>
        <w:rPr>
          <w:lang w:val="en-AU"/>
        </w:rPr>
      </w:pPr>
    </w:p>
    <w:p w14:paraId="419D7077" w14:textId="4FF05C4C" w:rsidR="008515AF" w:rsidRPr="00C24043" w:rsidRDefault="008515AF" w:rsidP="008515AF">
      <w:pPr>
        <w:spacing w:before="240" w:after="200"/>
        <w:rPr>
          <w:b/>
          <w:sz w:val="24"/>
          <w:szCs w:val="24"/>
          <w:lang w:val="en-AU"/>
        </w:rPr>
      </w:pPr>
      <w:r w:rsidRPr="00C24043">
        <w:rPr>
          <w:b/>
          <w:sz w:val="24"/>
          <w:szCs w:val="24"/>
          <w:lang w:val="en-AU"/>
        </w:rPr>
        <w:t>Comment</w:t>
      </w:r>
      <w:r>
        <w:rPr>
          <w:b/>
          <w:sz w:val="24"/>
          <w:szCs w:val="24"/>
          <w:lang w:val="en-AU"/>
        </w:rPr>
        <w:t>s</w:t>
      </w:r>
      <w:r w:rsidRPr="00C24043">
        <w:rPr>
          <w:b/>
          <w:sz w:val="24"/>
          <w:szCs w:val="24"/>
          <w:lang w:val="en-AU"/>
        </w:rPr>
        <w:t xml:space="preserve"> on the Proposed Recommendations</w:t>
      </w:r>
    </w:p>
    <w:p w14:paraId="00000004" w14:textId="77777777" w:rsidR="00CF69AB" w:rsidRDefault="00CF69AB"/>
    <w:p w14:paraId="00000005" w14:textId="77777777" w:rsidR="00CF69AB" w:rsidRDefault="008515AF">
      <w:pPr>
        <w:ind w:left="720"/>
      </w:pPr>
      <w:r>
        <w:rPr>
          <w:b/>
        </w:rPr>
        <w:t>Recommendation #19</w:t>
      </w:r>
      <w:r>
        <w:t>: In the case of a domain name registration where an affiliated and/or accredited privacy/proxy service is used, e.g., where data associated with a n</w:t>
      </w:r>
      <w:r>
        <w:t xml:space="preserve">atural person is masked, Registrar (and Registry, where applicable) MUST include the full RDDS data of the applicable privacy/proxy service in response to an RDDS query. The full privacy/proxy RDDS data may also include a </w:t>
      </w:r>
      <w:proofErr w:type="spellStart"/>
      <w:r>
        <w:t>pseudonymized</w:t>
      </w:r>
      <w:proofErr w:type="spellEnd"/>
      <w:r>
        <w:t xml:space="preserve"> email. *Note: this r</w:t>
      </w:r>
      <w:r>
        <w:t>ecommendation is updated to include affiliated AND accredited privacy/proxy services, while EPDP Phase 1 Recommendation #14 only applied to affiliated providers.</w:t>
      </w:r>
    </w:p>
    <w:p w14:paraId="00000006" w14:textId="77777777" w:rsidR="00CF69AB" w:rsidRDefault="00CF69AB"/>
    <w:p w14:paraId="00000007" w14:textId="77777777" w:rsidR="00CF69AB" w:rsidRDefault="008515AF">
      <w:r>
        <w:rPr>
          <w:b/>
        </w:rPr>
        <w:t xml:space="preserve">NCSG comment on Recommendation 19: </w:t>
      </w:r>
      <w:r>
        <w:t xml:space="preserve">NCSG does not support the use of a </w:t>
      </w:r>
      <w:proofErr w:type="spellStart"/>
      <w:r>
        <w:t>pseudonymized</w:t>
      </w:r>
      <w:proofErr w:type="spellEnd"/>
      <w:r>
        <w:t xml:space="preserve"> email, if</w:t>
      </w:r>
      <w:r>
        <w:t xml:space="preserve"> “</w:t>
      </w:r>
      <w:proofErr w:type="spellStart"/>
      <w:r>
        <w:t>pseudonymized</w:t>
      </w:r>
      <w:proofErr w:type="spellEnd"/>
      <w:r>
        <w:t xml:space="preserve"> email” is defined to mean “the same unique string is used for multiple registrations by the data subject,”</w:t>
      </w:r>
      <w:r>
        <w:rPr>
          <w:rFonts w:ascii="Calibri" w:eastAsia="Calibri" w:hAnsi="Calibri" w:cs="Calibri"/>
          <w:sz w:val="24"/>
          <w:szCs w:val="24"/>
        </w:rPr>
        <w:t xml:space="preserve"> </w:t>
      </w:r>
      <w:r>
        <w:t>which is the</w:t>
      </w:r>
      <w:r>
        <w:rPr>
          <w:rFonts w:ascii="Calibri" w:eastAsia="Calibri" w:hAnsi="Calibri" w:cs="Calibri"/>
          <w:sz w:val="24"/>
          <w:szCs w:val="24"/>
        </w:rPr>
        <w:t xml:space="preserve"> </w:t>
      </w:r>
      <w:r>
        <w:t>definition being used by the EPDP.</w:t>
      </w:r>
      <w:r>
        <w:rPr>
          <w:rFonts w:ascii="Calibri" w:eastAsia="Calibri" w:hAnsi="Calibri" w:cs="Calibri"/>
          <w:sz w:val="24"/>
          <w:szCs w:val="24"/>
        </w:rPr>
        <w:t xml:space="preserve"> </w:t>
      </w:r>
      <w:r>
        <w:t>NCSG believes that a unique identifier for a data subject constitutes personally iden</w:t>
      </w:r>
      <w:r>
        <w:t xml:space="preserve">tifiable information, and should not be published for indiscriminate access unless the registrant agrees. At any rate this recommendation should not be implemented until Phase 2a of the EPDP proceeding comes to an agreement on the issue. </w:t>
      </w:r>
    </w:p>
    <w:p w14:paraId="00000008" w14:textId="77777777" w:rsidR="00CF69AB" w:rsidRDefault="00CF69AB"/>
    <w:p w14:paraId="00000009" w14:textId="77777777" w:rsidR="00CF69AB" w:rsidRDefault="008515AF">
      <w:pPr>
        <w:ind w:left="720"/>
      </w:pPr>
      <w:r>
        <w:rPr>
          <w:b/>
        </w:rPr>
        <w:t>Recommendation #</w:t>
      </w:r>
      <w:r>
        <w:rPr>
          <w:b/>
        </w:rPr>
        <w:t>20</w:t>
      </w:r>
      <w:r>
        <w:t>: The EPDP Team recommends that the EPDP Phase 1 recommendation #11 is updated to state that redaction MAY be applied to the city field in reference to the registrant's contact information, instead of MUST.</w:t>
      </w:r>
    </w:p>
    <w:p w14:paraId="0000000A" w14:textId="77777777" w:rsidR="00CF69AB" w:rsidRDefault="00CF69AB"/>
    <w:p w14:paraId="0000000B" w14:textId="77777777" w:rsidR="00CF69AB" w:rsidRDefault="008515AF">
      <w:r>
        <w:rPr>
          <w:b/>
        </w:rPr>
        <w:t>NCSG comment on Recommendation 20:</w:t>
      </w:r>
      <w:r>
        <w:t xml:space="preserve"> NCSG oppose</w:t>
      </w:r>
      <w:r>
        <w:t>s this change. Legal guidance during phase 1 made it clear that for a natural person, the city of residence is personally identifiable information. For many individual internet users, this would strip away the intended privacy protection of the GDPR by mak</w:t>
      </w:r>
      <w:r>
        <w:t>ing it relatively easy to combine the city field with other published information, such as registrant name, for anyone to be able to identify and locate the registrant, regardless of whether they had a legitimate interest or legal basis. When it is justifi</w:t>
      </w:r>
      <w:r>
        <w:t xml:space="preserve">ed for third parties to know the city field, the existence of the Standardized System of Access/Disclosure (SSAD) makes it possible for that information to be revealed. There is, </w:t>
      </w:r>
      <w:proofErr w:type="gramStart"/>
      <w:r>
        <w:t>therefore</w:t>
      </w:r>
      <w:proofErr w:type="gramEnd"/>
      <w:r>
        <w:t>, no justification to publish the city field indiscriminately. The c</w:t>
      </w:r>
      <w:r>
        <w:t>ity field MUST be redacted.</w:t>
      </w:r>
    </w:p>
    <w:p w14:paraId="0000000C" w14:textId="77777777" w:rsidR="00CF69AB" w:rsidRDefault="00CF69AB"/>
    <w:p w14:paraId="0000000D" w14:textId="77777777" w:rsidR="00CF69AB" w:rsidRDefault="008515AF">
      <w:pPr>
        <w:ind w:left="720"/>
      </w:pPr>
      <w:r>
        <w:rPr>
          <w:b/>
        </w:rPr>
        <w:t>Recommendation #21</w:t>
      </w:r>
      <w:r>
        <w:t>: The EPDP Team confirms its recommendation from phase 1 that registrars MUST retain only those data elements deemed necessary for the purposes of the TDRP, for a period of fifteen months following the life of</w:t>
      </w:r>
      <w:r>
        <w:t xml:space="preserve"> the registration plus three months to implement the deletion, i.e., 18 months. This retention is grounded on the stated policy stipulation within the TDRP that claims under the policy may only be raised for a period of 12 months after the alleged breach (</w:t>
      </w:r>
      <w:r>
        <w:t>FN: see TDRP section 2.2) of the Transfer Policy (FN: see Section 1.15 of TDRP). For clarity, this does not prevent Requestors, including ICANN Compliance, from requesting disclosure of these retained data elements for purposes other than TDRP, but disclos</w:t>
      </w:r>
      <w:r>
        <w:t>ure of those will be subject to relevant data protection laws, e.g., does a lawful basis for disclosure exist. For the avoidance of doubt, this retention period does not restrict the ability of registries and registrars to retain data elements for longer p</w:t>
      </w:r>
      <w:r>
        <w:t>eriods.</w:t>
      </w:r>
    </w:p>
    <w:p w14:paraId="0000000E" w14:textId="77777777" w:rsidR="00CF69AB" w:rsidRDefault="00CF69AB"/>
    <w:p w14:paraId="0000000F" w14:textId="77777777" w:rsidR="00CF69AB" w:rsidRDefault="008515AF">
      <w:r>
        <w:rPr>
          <w:b/>
        </w:rPr>
        <w:t>NCSG Comment on Recommendation 21:</w:t>
      </w:r>
      <w:r>
        <w:t xml:space="preserve"> NCSG believes that data retention policy should limit the period data is retained. We cannot support a recommendation that allows contracted parties to retain data elements for long periods than is necessary. </w:t>
      </w:r>
    </w:p>
    <w:p w14:paraId="00000010" w14:textId="77777777" w:rsidR="00CF69AB" w:rsidRDefault="00CF69AB"/>
    <w:p w14:paraId="00000011" w14:textId="77777777" w:rsidR="00CF69AB" w:rsidRDefault="008515AF">
      <w:pPr>
        <w:ind w:left="720"/>
      </w:pPr>
      <w:r>
        <w:rPr>
          <w:b/>
        </w:rPr>
        <w:t>R</w:t>
      </w:r>
      <w:r>
        <w:rPr>
          <w:b/>
        </w:rPr>
        <w:t>ecommendation #22</w:t>
      </w:r>
      <w:r>
        <w:t>: The EPDP Team recommends the following purpose be added to the EPDP Team Phase 1 purposes, which form the basis of the new ICANN policy:</w:t>
      </w:r>
    </w:p>
    <w:p w14:paraId="00000012" w14:textId="77777777" w:rsidR="00CF69AB" w:rsidRDefault="00CF69AB"/>
    <w:p w14:paraId="00000013" w14:textId="77777777" w:rsidR="00CF69AB" w:rsidRDefault="008515AF">
      <w:pPr>
        <w:ind w:left="720"/>
      </w:pPr>
      <w:r>
        <w:t xml:space="preserve">    Contribute to the maintenance of the security, stability, and resiliency of the Domain Name Sys</w:t>
      </w:r>
      <w:r>
        <w:t>tem in accordance with ICANN's mission. *Note this is updated from Purpose 2 in EPDP Phase 1, Recommendation 1, which provided, "Contributing to the maintenance of the security, stability, and resiliency of the Domain Name System in accordance with ICANN's</w:t>
      </w:r>
      <w:r>
        <w:t xml:space="preserve"> mission through enabling responses to lawful data disclosure requests."</w:t>
      </w:r>
    </w:p>
    <w:p w14:paraId="00000014" w14:textId="77777777" w:rsidR="00CF69AB" w:rsidRDefault="00CF69AB"/>
    <w:p w14:paraId="00000015" w14:textId="77777777" w:rsidR="00CF69AB" w:rsidRDefault="008515AF">
      <w:r>
        <w:rPr>
          <w:b/>
        </w:rPr>
        <w:t xml:space="preserve">NCSG Comment on Recommendation 22: </w:t>
      </w:r>
      <w:r>
        <w:t>This revision is an improvement upon the Phase 1 definition, which falsely implied that third party disclosure is one of the purposes of ICANN’s co</w:t>
      </w:r>
      <w:r>
        <w:t>llection of registration data, rather than a byproduct of it.</w:t>
      </w:r>
    </w:p>
    <w:p w14:paraId="00000016" w14:textId="77777777" w:rsidR="00CF69AB" w:rsidRDefault="008515AF">
      <w:r>
        <w:t xml:space="preserve"> </w:t>
      </w:r>
    </w:p>
    <w:sectPr w:rsidR="00CF69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AB"/>
    <w:rsid w:val="008515AF"/>
    <w:rsid w:val="00CF6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687D9-6423-4084-AA3E-EC01C35A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2021-01-24T20:03:00Z</dcterms:created>
  <dcterms:modified xsi:type="dcterms:W3CDTF">2021-01-24T20:06:00Z</dcterms:modified>
</cp:coreProperties>
</file>