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386A1" w14:textId="77777777" w:rsidR="001A7ECD" w:rsidRDefault="001A7ECD">
      <w:pPr>
        <w:pStyle w:val="BodyText"/>
        <w:ind w:left="0"/>
        <w:rPr>
          <w:sz w:val="20"/>
          <w:u w:val="none"/>
        </w:rPr>
      </w:pPr>
      <w:bookmarkStart w:id="0" w:name="_GoBack"/>
      <w:bookmarkEnd w:id="0"/>
    </w:p>
    <w:p w14:paraId="7900C014" w14:textId="77777777" w:rsidR="001A7ECD" w:rsidRDefault="001A7ECD">
      <w:pPr>
        <w:pStyle w:val="BodyText"/>
        <w:ind w:left="0"/>
        <w:rPr>
          <w:sz w:val="20"/>
          <w:u w:val="none"/>
        </w:rPr>
      </w:pPr>
    </w:p>
    <w:p w14:paraId="2CD5A731" w14:textId="77777777" w:rsidR="001A7ECD" w:rsidRDefault="00237A41">
      <w:pPr>
        <w:pStyle w:val="BodyText"/>
        <w:spacing w:before="8"/>
        <w:ind w:left="0"/>
        <w:rPr>
          <w:sz w:val="10"/>
          <w:u w:val="none"/>
        </w:rPr>
      </w:pPr>
      <w:r>
        <w:rPr>
          <w:noProof/>
          <w:lang w:bidi="ar-SA"/>
        </w:rPr>
        <w:drawing>
          <wp:anchor distT="0" distB="0" distL="0" distR="0" simplePos="0" relativeHeight="251658240" behindDoc="0" locked="0" layoutInCell="1" allowOverlap="1" wp14:anchorId="10E9D267" wp14:editId="753963C0">
            <wp:simplePos x="0" y="0"/>
            <wp:positionH relativeFrom="page">
              <wp:posOffset>2781299</wp:posOffset>
            </wp:positionH>
            <wp:positionV relativeFrom="paragraph">
              <wp:posOffset>107830</wp:posOffset>
            </wp:positionV>
            <wp:extent cx="2207532" cy="50749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07532" cy="507492"/>
                    </a:xfrm>
                    <a:prstGeom prst="rect">
                      <a:avLst/>
                    </a:prstGeom>
                  </pic:spPr>
                </pic:pic>
              </a:graphicData>
            </a:graphic>
          </wp:anchor>
        </w:drawing>
      </w:r>
    </w:p>
    <w:p w14:paraId="1B7BDA3F" w14:textId="77777777" w:rsidR="001A7ECD" w:rsidRDefault="001A7ECD">
      <w:pPr>
        <w:pStyle w:val="BodyText"/>
        <w:ind w:left="0"/>
        <w:rPr>
          <w:sz w:val="20"/>
          <w:u w:val="none"/>
        </w:rPr>
      </w:pPr>
    </w:p>
    <w:p w14:paraId="79705563" w14:textId="4D7AA6E5" w:rsidR="001A7ECD" w:rsidRPr="00E6056B" w:rsidRDefault="001A7ECD" w:rsidP="00340D99">
      <w:pPr>
        <w:pStyle w:val="BodyText"/>
        <w:spacing w:before="9"/>
        <w:ind w:left="0"/>
        <w:jc w:val="center"/>
        <w:rPr>
          <w:sz w:val="28"/>
          <w:u w:val="none"/>
        </w:rPr>
      </w:pPr>
    </w:p>
    <w:p w14:paraId="18433FEB" w14:textId="77777777" w:rsidR="0050534C" w:rsidRDefault="009C6EBF" w:rsidP="0050534C">
      <w:pPr>
        <w:pStyle w:val="Heading1"/>
        <w:ind w:left="0"/>
        <w:jc w:val="center"/>
      </w:pPr>
      <w:r>
        <w:t xml:space="preserve">IPC COMMENTS ON </w:t>
      </w:r>
      <w:r w:rsidR="0050534C">
        <w:t xml:space="preserve">PRIORITY 2 POLICY RECOMMENDATIONS </w:t>
      </w:r>
    </w:p>
    <w:p w14:paraId="6588A123" w14:textId="172C4441" w:rsidR="001A7ECD" w:rsidRDefault="0050534C" w:rsidP="0050534C">
      <w:pPr>
        <w:pStyle w:val="Heading1"/>
        <w:ind w:left="0"/>
        <w:jc w:val="center"/>
      </w:pPr>
      <w:r>
        <w:t>FOR ICANN BOARD CONSIDERATION FROM EPDP PHASE 2</w:t>
      </w:r>
    </w:p>
    <w:p w14:paraId="459AA464" w14:textId="77777777" w:rsidR="00E6470E" w:rsidRDefault="00E6470E">
      <w:pPr>
        <w:pStyle w:val="BodyText"/>
        <w:rPr>
          <w:b/>
          <w:sz w:val="16"/>
          <w:u w:val="none"/>
        </w:rPr>
      </w:pPr>
    </w:p>
    <w:p w14:paraId="4205B5B8" w14:textId="36980F15" w:rsidR="001A7ECD" w:rsidRPr="00A4685B" w:rsidRDefault="00237A41" w:rsidP="00A4685B">
      <w:pPr>
        <w:pStyle w:val="BodyText"/>
        <w:rPr>
          <w:u w:val="none"/>
        </w:rPr>
      </w:pPr>
      <w:r>
        <w:rPr>
          <w:u w:val="none"/>
        </w:rPr>
        <w:t>The Intellectual Property Constituency (IPC) appreciates the opportunity to comment on</w:t>
      </w:r>
      <w:r w:rsidR="002D1F2B">
        <w:rPr>
          <w:u w:val="none"/>
        </w:rPr>
        <w:t xml:space="preserve"> the </w:t>
      </w:r>
      <w:r w:rsidR="00623961">
        <w:rPr>
          <w:u w:val="none"/>
        </w:rPr>
        <w:t>final policy recommendations of the Generic Names Supporting Organization (GNSO) Expedited Policy Development Process on the Temporary Specification for gTLD Regist</w:t>
      </w:r>
      <w:r w:rsidR="00A04780">
        <w:rPr>
          <w:u w:val="none"/>
        </w:rPr>
        <w:t>r</w:t>
      </w:r>
      <w:r w:rsidR="00623961">
        <w:rPr>
          <w:u w:val="none"/>
        </w:rPr>
        <w:t xml:space="preserve">ation Data (EPDP) – Phase 2.  </w:t>
      </w:r>
    </w:p>
    <w:p w14:paraId="44AE2FBA" w14:textId="77777777" w:rsidR="00A4685B" w:rsidRDefault="00A4685B" w:rsidP="004F0390">
      <w:pPr>
        <w:pStyle w:val="Heading1"/>
      </w:pPr>
    </w:p>
    <w:p w14:paraId="14F233FE" w14:textId="193D98F3" w:rsidR="00DE1E40" w:rsidRPr="00DE1E40" w:rsidRDefault="00DE1E40" w:rsidP="004F0390">
      <w:pPr>
        <w:pStyle w:val="Heading1"/>
      </w:pPr>
      <w:r w:rsidRPr="00DE1E40">
        <w:t>EXECUTIVE SUMMARY</w:t>
      </w:r>
    </w:p>
    <w:p w14:paraId="7796CA3C" w14:textId="6D265B8A" w:rsidR="00D92258" w:rsidRDefault="000A40E3" w:rsidP="004F0390">
      <w:pPr>
        <w:pStyle w:val="Heading1"/>
        <w:rPr>
          <w:b w:val="0"/>
        </w:rPr>
      </w:pPr>
      <w:r>
        <w:rPr>
          <w:b w:val="0"/>
        </w:rPr>
        <w:t xml:space="preserve">As a preliminary point, the IPC </w:t>
      </w:r>
      <w:r w:rsidR="00D92258">
        <w:rPr>
          <w:b w:val="0"/>
        </w:rPr>
        <w:t xml:space="preserve">recognizes that the EPDP efforts and reports have been based on </w:t>
      </w:r>
      <w:r w:rsidR="000521B5">
        <w:rPr>
          <w:b w:val="0"/>
        </w:rPr>
        <w:t>early</w:t>
      </w:r>
      <w:r w:rsidR="00D92258">
        <w:rPr>
          <w:b w:val="0"/>
        </w:rPr>
        <w:t xml:space="preserve"> interpretations of the GDPR and </w:t>
      </w:r>
      <w:r w:rsidR="000E27A5">
        <w:rPr>
          <w:b w:val="0"/>
        </w:rPr>
        <w:t xml:space="preserve">its impact on accessibility to WHOIS data.  We now know that the European Commission has proposed a new </w:t>
      </w:r>
      <w:hyperlink r:id="rId9" w:history="1">
        <w:r w:rsidR="000E27A5" w:rsidRPr="005B3392">
          <w:rPr>
            <w:rStyle w:val="Hyperlink"/>
            <w:b w:val="0"/>
          </w:rPr>
          <w:t>Directive</w:t>
        </w:r>
      </w:hyperlink>
      <w:r w:rsidR="000E27A5">
        <w:rPr>
          <w:b w:val="0"/>
        </w:rPr>
        <w:t xml:space="preserve"> </w:t>
      </w:r>
      <w:r w:rsidR="0017387E">
        <w:rPr>
          <w:b w:val="0"/>
        </w:rPr>
        <w:t>–</w:t>
      </w:r>
      <w:r w:rsidR="00873F4D">
        <w:rPr>
          <w:b w:val="0"/>
        </w:rPr>
        <w:t xml:space="preserve"> the Directive on Security of Network and Information Systems (NIS2) – </w:t>
      </w:r>
      <w:r w:rsidR="00F07957">
        <w:rPr>
          <w:b w:val="0"/>
        </w:rPr>
        <w:t>aimed</w:t>
      </w:r>
      <w:r w:rsidR="00873F4D">
        <w:rPr>
          <w:b w:val="0"/>
        </w:rPr>
        <w:t xml:space="preserve"> </w:t>
      </w:r>
      <w:r w:rsidR="00F07957">
        <w:rPr>
          <w:b w:val="0"/>
        </w:rPr>
        <w:t>at clarifying GDPR compliant obligations of domain name registries and entities providing do</w:t>
      </w:r>
      <w:r w:rsidR="00873F4D">
        <w:rPr>
          <w:b w:val="0"/>
        </w:rPr>
        <w:t>main name registration services.</w:t>
      </w:r>
      <w:r w:rsidR="00F07957">
        <w:rPr>
          <w:b w:val="0"/>
        </w:rPr>
        <w:t xml:space="preserve"> </w:t>
      </w:r>
      <w:proofErr w:type="gramStart"/>
      <w:r w:rsidR="00873F4D">
        <w:rPr>
          <w:b w:val="0"/>
        </w:rPr>
        <w:t xml:space="preserve">It is clear that </w:t>
      </w:r>
      <w:r w:rsidR="00F07957">
        <w:rPr>
          <w:b w:val="0"/>
        </w:rPr>
        <w:t>these</w:t>
      </w:r>
      <w:proofErr w:type="gramEnd"/>
      <w:r w:rsidR="00F07957">
        <w:rPr>
          <w:b w:val="0"/>
        </w:rPr>
        <w:t xml:space="preserve"> obligations will render moot </w:t>
      </w:r>
      <w:r w:rsidR="002F08F9">
        <w:rPr>
          <w:b w:val="0"/>
        </w:rPr>
        <w:t xml:space="preserve">or require changes to </w:t>
      </w:r>
      <w:r w:rsidR="00F07957">
        <w:rPr>
          <w:b w:val="0"/>
        </w:rPr>
        <w:t xml:space="preserve">aspects of the EPDP Phase </w:t>
      </w:r>
      <w:r w:rsidR="002F08F9">
        <w:rPr>
          <w:b w:val="0"/>
        </w:rPr>
        <w:t xml:space="preserve">1 and </w:t>
      </w:r>
      <w:r w:rsidR="00F07957">
        <w:rPr>
          <w:b w:val="0"/>
        </w:rPr>
        <w:t xml:space="preserve">2 </w:t>
      </w:r>
      <w:r w:rsidR="002F08F9">
        <w:rPr>
          <w:b w:val="0"/>
        </w:rPr>
        <w:t>recommendations</w:t>
      </w:r>
      <w:r w:rsidR="00873F4D">
        <w:rPr>
          <w:b w:val="0"/>
        </w:rPr>
        <w:t>, if impl</w:t>
      </w:r>
      <w:r w:rsidR="00B519FB">
        <w:rPr>
          <w:b w:val="0"/>
        </w:rPr>
        <w:t>eme</w:t>
      </w:r>
      <w:r w:rsidR="00873F4D">
        <w:rPr>
          <w:b w:val="0"/>
        </w:rPr>
        <w:t>nted</w:t>
      </w:r>
      <w:r w:rsidR="002F08F9">
        <w:rPr>
          <w:b w:val="0"/>
        </w:rPr>
        <w:t xml:space="preserve">. Accordingly, the </w:t>
      </w:r>
      <w:r w:rsidR="00873F4D">
        <w:rPr>
          <w:b w:val="0"/>
        </w:rPr>
        <w:t>IPC encourages the Board to halt any proposed policies or implementations</w:t>
      </w:r>
      <w:r w:rsidR="000521B5">
        <w:rPr>
          <w:b w:val="0"/>
        </w:rPr>
        <w:t xml:space="preserve"> (including Recommendations 1-18)</w:t>
      </w:r>
      <w:r w:rsidR="00873F4D">
        <w:rPr>
          <w:b w:val="0"/>
        </w:rPr>
        <w:t xml:space="preserve"> that </w:t>
      </w:r>
      <w:r w:rsidR="0074407D">
        <w:rPr>
          <w:b w:val="0"/>
        </w:rPr>
        <w:t xml:space="preserve">are </w:t>
      </w:r>
      <w:r w:rsidR="003936F9">
        <w:rPr>
          <w:b w:val="0"/>
        </w:rPr>
        <w:t>not consistent with the European Commission positions as set forth in NIS2.</w:t>
      </w:r>
      <w:r w:rsidR="0074407D">
        <w:rPr>
          <w:b w:val="0"/>
        </w:rPr>
        <w:t xml:space="preserve"> </w:t>
      </w:r>
      <w:r w:rsidR="000521B5">
        <w:rPr>
          <w:b w:val="0"/>
        </w:rPr>
        <w:br/>
      </w:r>
      <w:r w:rsidR="000521B5">
        <w:rPr>
          <w:b w:val="0"/>
        </w:rPr>
        <w:br/>
        <w:t>Notwithstanding the above, the IPC supports the adoption and implementation of Recommendations 19-22.</w:t>
      </w:r>
    </w:p>
    <w:p w14:paraId="648AD57B" w14:textId="77777777" w:rsidR="00DE1E40" w:rsidRDefault="00DE1E40" w:rsidP="004F0390">
      <w:pPr>
        <w:pStyle w:val="Heading1"/>
        <w:rPr>
          <w:b w:val="0"/>
        </w:rPr>
      </w:pPr>
    </w:p>
    <w:p w14:paraId="63C41F7E" w14:textId="0EBBF985" w:rsidR="009E5EF6" w:rsidRPr="006A2758" w:rsidRDefault="0074407D" w:rsidP="009E5EF6">
      <w:pPr>
        <w:pStyle w:val="Heading1"/>
      </w:pPr>
      <w:r w:rsidRPr="0074407D">
        <w:t>IPC COMMENTS TO RECOMMENDATIONS 19-22</w:t>
      </w:r>
    </w:p>
    <w:tbl>
      <w:tblPr>
        <w:tblW w:w="5031" w:type="pct"/>
        <w:tblCellMar>
          <w:left w:w="0" w:type="dxa"/>
          <w:right w:w="0" w:type="dxa"/>
        </w:tblCellMar>
        <w:tblLook w:val="0000" w:firstRow="0" w:lastRow="0" w:firstColumn="0" w:lastColumn="0" w:noHBand="0" w:noVBand="0"/>
      </w:tblPr>
      <w:tblGrid>
        <w:gridCol w:w="448"/>
        <w:gridCol w:w="5087"/>
        <w:gridCol w:w="4084"/>
      </w:tblGrid>
      <w:tr w:rsidR="005E1EE0" w:rsidRPr="005E1EE0" w14:paraId="65D9D7DE" w14:textId="77777777" w:rsidTr="00CB5FEF">
        <w:trPr>
          <w:trHeight w:hRule="exact" w:val="690"/>
        </w:trPr>
        <w:tc>
          <w:tcPr>
            <w:tcW w:w="233" w:type="pct"/>
            <w:tcBorders>
              <w:top w:val="single" w:sz="8" w:space="0" w:color="000000"/>
              <w:left w:val="single" w:sz="8" w:space="0" w:color="000000"/>
              <w:bottom w:val="single" w:sz="8" w:space="0" w:color="000000"/>
              <w:right w:val="single" w:sz="8" w:space="0" w:color="000000"/>
            </w:tcBorders>
            <w:shd w:val="clear" w:color="auto" w:fill="CFE1F3"/>
          </w:tcPr>
          <w:p w14:paraId="73D46511" w14:textId="77777777" w:rsidR="005E1EE0" w:rsidRPr="005E1EE0" w:rsidRDefault="005E1EE0" w:rsidP="00CB5FEF">
            <w:pPr>
              <w:pStyle w:val="BodyText"/>
              <w:spacing w:before="161" w:line="276" w:lineRule="auto"/>
              <w:ind w:right="104"/>
              <w:rPr>
                <w:b/>
                <w:bCs/>
                <w:u w:val="none"/>
              </w:rPr>
            </w:pPr>
            <w:r w:rsidRPr="005E1EE0">
              <w:rPr>
                <w:b/>
                <w:bCs/>
                <w:u w:val="none"/>
              </w:rPr>
              <w:t>#</w:t>
            </w:r>
          </w:p>
        </w:tc>
        <w:tc>
          <w:tcPr>
            <w:tcW w:w="2644" w:type="pct"/>
            <w:tcBorders>
              <w:top w:val="single" w:sz="8" w:space="0" w:color="000000"/>
              <w:left w:val="single" w:sz="8" w:space="0" w:color="000000"/>
              <w:bottom w:val="single" w:sz="8" w:space="0" w:color="000000"/>
              <w:right w:val="single" w:sz="8" w:space="0" w:color="000000"/>
            </w:tcBorders>
            <w:shd w:val="clear" w:color="auto" w:fill="CFE1F3"/>
          </w:tcPr>
          <w:p w14:paraId="36363450" w14:textId="77777777" w:rsidR="005E1EE0" w:rsidRPr="005E1EE0" w:rsidRDefault="005E1EE0" w:rsidP="00CB5FEF">
            <w:pPr>
              <w:pStyle w:val="BodyText"/>
              <w:spacing w:before="161" w:line="276" w:lineRule="auto"/>
              <w:ind w:right="104"/>
              <w:rPr>
                <w:b/>
                <w:bCs/>
                <w:u w:val="none"/>
              </w:rPr>
            </w:pPr>
            <w:r w:rsidRPr="005E1EE0">
              <w:rPr>
                <w:b/>
                <w:bCs/>
                <w:u w:val="none"/>
              </w:rPr>
              <w:t>Recommendation</w:t>
            </w:r>
          </w:p>
          <w:p w14:paraId="5881B3B5" w14:textId="77777777" w:rsidR="005E1EE0" w:rsidRPr="005E1EE0" w:rsidRDefault="005E1EE0" w:rsidP="00CB5FEF">
            <w:pPr>
              <w:pStyle w:val="BodyText"/>
              <w:spacing w:before="161" w:line="276" w:lineRule="auto"/>
              <w:ind w:right="104"/>
              <w:rPr>
                <w:u w:val="none"/>
              </w:rPr>
            </w:pPr>
          </w:p>
          <w:p w14:paraId="02D80E02" w14:textId="77777777" w:rsidR="005E1EE0" w:rsidRPr="005E1EE0" w:rsidRDefault="005E1EE0" w:rsidP="00CB5FEF">
            <w:pPr>
              <w:pStyle w:val="BodyText"/>
              <w:spacing w:before="161" w:line="276" w:lineRule="auto"/>
              <w:ind w:right="104"/>
              <w:rPr>
                <w:u w:val="none"/>
              </w:rPr>
            </w:pPr>
          </w:p>
          <w:p w14:paraId="359E21BE" w14:textId="77777777" w:rsidR="005E1EE0" w:rsidRPr="005E1EE0" w:rsidRDefault="005E1EE0" w:rsidP="00CB5FEF">
            <w:pPr>
              <w:pStyle w:val="BodyText"/>
              <w:spacing w:before="161" w:line="276" w:lineRule="auto"/>
              <w:ind w:right="104"/>
              <w:rPr>
                <w:u w:val="none"/>
              </w:rPr>
            </w:pPr>
          </w:p>
          <w:p w14:paraId="0E8146A7" w14:textId="77777777" w:rsidR="005E1EE0" w:rsidRPr="005E1EE0" w:rsidRDefault="005E1EE0" w:rsidP="00CB5FEF">
            <w:pPr>
              <w:pStyle w:val="BodyText"/>
              <w:spacing w:before="161" w:line="276" w:lineRule="auto"/>
              <w:ind w:right="104"/>
              <w:rPr>
                <w:u w:val="none"/>
              </w:rPr>
            </w:pPr>
          </w:p>
          <w:p w14:paraId="108029DF" w14:textId="77777777" w:rsidR="005E1EE0" w:rsidRPr="005E1EE0" w:rsidRDefault="005E1EE0" w:rsidP="00CB5FEF">
            <w:pPr>
              <w:pStyle w:val="BodyText"/>
              <w:spacing w:before="161" w:line="276" w:lineRule="auto"/>
              <w:ind w:right="104"/>
              <w:rPr>
                <w:u w:val="none"/>
              </w:rPr>
            </w:pPr>
          </w:p>
          <w:p w14:paraId="1FD30224" w14:textId="77777777" w:rsidR="005E1EE0" w:rsidRPr="005E1EE0" w:rsidRDefault="005E1EE0" w:rsidP="00CB5FEF">
            <w:pPr>
              <w:pStyle w:val="BodyText"/>
              <w:spacing w:before="161" w:line="276" w:lineRule="auto"/>
              <w:ind w:right="104"/>
              <w:rPr>
                <w:u w:val="none"/>
              </w:rPr>
            </w:pPr>
          </w:p>
          <w:p w14:paraId="7D05E668" w14:textId="77777777" w:rsidR="005E1EE0" w:rsidRPr="005E1EE0" w:rsidRDefault="005E1EE0" w:rsidP="00CB5FEF">
            <w:pPr>
              <w:pStyle w:val="BodyText"/>
              <w:spacing w:before="161" w:line="276" w:lineRule="auto"/>
              <w:ind w:right="104"/>
              <w:rPr>
                <w:u w:val="none"/>
              </w:rPr>
            </w:pPr>
          </w:p>
          <w:p w14:paraId="666520FC" w14:textId="77777777" w:rsidR="005E1EE0" w:rsidRPr="005E1EE0" w:rsidRDefault="005E1EE0" w:rsidP="00CB5FEF">
            <w:pPr>
              <w:pStyle w:val="BodyText"/>
              <w:spacing w:before="161" w:line="276" w:lineRule="auto"/>
              <w:ind w:right="104"/>
              <w:rPr>
                <w:u w:val="none"/>
              </w:rPr>
            </w:pPr>
          </w:p>
          <w:p w14:paraId="50AF5177" w14:textId="77777777" w:rsidR="005E1EE0" w:rsidRPr="005E1EE0" w:rsidRDefault="005E1EE0" w:rsidP="00CB5FEF">
            <w:pPr>
              <w:pStyle w:val="BodyText"/>
              <w:spacing w:before="161" w:line="276" w:lineRule="auto"/>
              <w:ind w:right="104"/>
              <w:rPr>
                <w:u w:val="none"/>
              </w:rPr>
            </w:pPr>
          </w:p>
          <w:p w14:paraId="70D52DFA" w14:textId="77777777" w:rsidR="005E1EE0" w:rsidRPr="005E1EE0" w:rsidRDefault="005E1EE0" w:rsidP="00CB5FEF">
            <w:pPr>
              <w:pStyle w:val="BodyText"/>
              <w:spacing w:before="161" w:line="276" w:lineRule="auto"/>
              <w:ind w:right="104"/>
              <w:rPr>
                <w:u w:val="none"/>
              </w:rPr>
            </w:pPr>
          </w:p>
          <w:p w14:paraId="3D51B14D" w14:textId="77777777" w:rsidR="005E1EE0" w:rsidRPr="005E1EE0" w:rsidRDefault="005E1EE0" w:rsidP="00CB5FEF">
            <w:pPr>
              <w:pStyle w:val="BodyText"/>
              <w:spacing w:before="161" w:line="276" w:lineRule="auto"/>
              <w:ind w:right="104"/>
              <w:rPr>
                <w:u w:val="none"/>
              </w:rPr>
            </w:pPr>
          </w:p>
          <w:p w14:paraId="020BBCF4" w14:textId="77777777" w:rsidR="005E1EE0" w:rsidRPr="005E1EE0" w:rsidRDefault="005E1EE0" w:rsidP="00CB5FEF">
            <w:pPr>
              <w:pStyle w:val="BodyText"/>
              <w:spacing w:before="161" w:line="276" w:lineRule="auto"/>
              <w:ind w:right="104"/>
              <w:rPr>
                <w:u w:val="none"/>
              </w:rPr>
            </w:pPr>
          </w:p>
          <w:p w14:paraId="175C9849" w14:textId="77777777" w:rsidR="005E1EE0" w:rsidRPr="005E1EE0" w:rsidRDefault="005E1EE0" w:rsidP="00CB5FEF">
            <w:pPr>
              <w:pStyle w:val="BodyText"/>
              <w:spacing w:before="161" w:line="276" w:lineRule="auto"/>
              <w:ind w:right="104"/>
              <w:rPr>
                <w:u w:val="none"/>
              </w:rPr>
            </w:pPr>
          </w:p>
          <w:p w14:paraId="564AF27A" w14:textId="77777777" w:rsidR="005E1EE0" w:rsidRPr="005E1EE0" w:rsidRDefault="005E1EE0" w:rsidP="00CB5FEF">
            <w:pPr>
              <w:pStyle w:val="BodyText"/>
              <w:spacing w:before="161" w:line="276" w:lineRule="auto"/>
              <w:ind w:right="104"/>
              <w:rPr>
                <w:u w:val="none"/>
              </w:rPr>
            </w:pPr>
          </w:p>
          <w:p w14:paraId="14450784" w14:textId="77777777" w:rsidR="005E1EE0" w:rsidRPr="005E1EE0" w:rsidRDefault="005E1EE0" w:rsidP="00CB5FEF">
            <w:pPr>
              <w:pStyle w:val="BodyText"/>
              <w:spacing w:before="161" w:line="276" w:lineRule="auto"/>
              <w:ind w:right="104"/>
              <w:rPr>
                <w:u w:val="none"/>
              </w:rPr>
            </w:pPr>
          </w:p>
          <w:p w14:paraId="373E1A96" w14:textId="77777777" w:rsidR="005E1EE0" w:rsidRPr="005E1EE0" w:rsidRDefault="005E1EE0" w:rsidP="00CB5FEF">
            <w:pPr>
              <w:pStyle w:val="BodyText"/>
              <w:spacing w:before="161" w:line="276" w:lineRule="auto"/>
              <w:ind w:right="104"/>
              <w:rPr>
                <w:u w:val="none"/>
              </w:rPr>
            </w:pPr>
          </w:p>
          <w:p w14:paraId="648EB8D8" w14:textId="77777777" w:rsidR="005E1EE0" w:rsidRPr="005E1EE0" w:rsidRDefault="005E1EE0" w:rsidP="00CB5FEF">
            <w:pPr>
              <w:pStyle w:val="BodyText"/>
              <w:spacing w:before="161" w:line="276" w:lineRule="auto"/>
              <w:ind w:right="104"/>
              <w:rPr>
                <w:u w:val="none"/>
              </w:rPr>
            </w:pPr>
          </w:p>
          <w:p w14:paraId="525613D4" w14:textId="77777777" w:rsidR="005E1EE0" w:rsidRPr="005E1EE0" w:rsidRDefault="005E1EE0" w:rsidP="00CB5FEF">
            <w:pPr>
              <w:pStyle w:val="BodyText"/>
              <w:spacing w:before="161" w:line="276" w:lineRule="auto"/>
              <w:ind w:right="104"/>
              <w:rPr>
                <w:u w:val="none"/>
              </w:rPr>
            </w:pPr>
          </w:p>
          <w:p w14:paraId="4B43924B" w14:textId="77777777" w:rsidR="005E1EE0" w:rsidRPr="005E1EE0" w:rsidRDefault="005E1EE0" w:rsidP="00CB5FEF">
            <w:pPr>
              <w:pStyle w:val="BodyText"/>
              <w:spacing w:before="161" w:line="276" w:lineRule="auto"/>
              <w:ind w:right="104"/>
              <w:rPr>
                <w:u w:val="none"/>
              </w:rPr>
            </w:pPr>
          </w:p>
          <w:p w14:paraId="7A501EC2" w14:textId="77777777" w:rsidR="005E1EE0" w:rsidRPr="005E1EE0" w:rsidRDefault="005E1EE0" w:rsidP="00CB5FEF">
            <w:pPr>
              <w:pStyle w:val="BodyText"/>
              <w:spacing w:before="161" w:line="276" w:lineRule="auto"/>
              <w:ind w:right="104"/>
              <w:rPr>
                <w:u w:val="none"/>
              </w:rPr>
            </w:pPr>
          </w:p>
          <w:p w14:paraId="6EB8FEAC" w14:textId="77777777" w:rsidR="005E1EE0" w:rsidRPr="005E1EE0" w:rsidRDefault="005E1EE0" w:rsidP="00CB5FEF">
            <w:pPr>
              <w:pStyle w:val="BodyText"/>
              <w:spacing w:before="161" w:line="276" w:lineRule="auto"/>
              <w:ind w:right="104"/>
              <w:rPr>
                <w:u w:val="none"/>
              </w:rPr>
            </w:pPr>
          </w:p>
          <w:p w14:paraId="4A0EF29D" w14:textId="77777777" w:rsidR="005E1EE0" w:rsidRPr="005E1EE0" w:rsidRDefault="005E1EE0" w:rsidP="00CB5FEF">
            <w:pPr>
              <w:pStyle w:val="BodyText"/>
              <w:spacing w:before="161" w:line="276" w:lineRule="auto"/>
              <w:ind w:right="104"/>
              <w:rPr>
                <w:u w:val="none"/>
              </w:rPr>
            </w:pPr>
          </w:p>
          <w:p w14:paraId="3A7E3AB1" w14:textId="77777777" w:rsidR="005E1EE0" w:rsidRPr="005E1EE0" w:rsidRDefault="005E1EE0" w:rsidP="00CB5FEF">
            <w:pPr>
              <w:pStyle w:val="BodyText"/>
              <w:spacing w:before="161" w:line="276" w:lineRule="auto"/>
              <w:ind w:right="104"/>
              <w:rPr>
                <w:u w:val="none"/>
              </w:rPr>
            </w:pPr>
          </w:p>
          <w:p w14:paraId="179E60FC" w14:textId="77777777" w:rsidR="005E1EE0" w:rsidRPr="005E1EE0" w:rsidRDefault="005E1EE0" w:rsidP="00CB5FEF">
            <w:pPr>
              <w:pStyle w:val="BodyText"/>
              <w:spacing w:before="161" w:line="276" w:lineRule="auto"/>
              <w:ind w:right="104"/>
              <w:rPr>
                <w:u w:val="none"/>
              </w:rPr>
            </w:pPr>
          </w:p>
        </w:tc>
        <w:tc>
          <w:tcPr>
            <w:tcW w:w="2123" w:type="pct"/>
            <w:tcBorders>
              <w:top w:val="single" w:sz="8" w:space="0" w:color="000000"/>
              <w:left w:val="single" w:sz="8" w:space="0" w:color="000000"/>
              <w:bottom w:val="single" w:sz="8" w:space="0" w:color="000000"/>
              <w:right w:val="single" w:sz="8" w:space="0" w:color="000000"/>
            </w:tcBorders>
            <w:shd w:val="clear" w:color="auto" w:fill="CFE1F3"/>
          </w:tcPr>
          <w:p w14:paraId="31FB5E5E" w14:textId="77777777" w:rsidR="005E1EE0" w:rsidRPr="005E1EE0" w:rsidRDefault="005E1EE0" w:rsidP="00CB5FEF">
            <w:pPr>
              <w:pStyle w:val="BodyText"/>
              <w:spacing w:before="161" w:line="276" w:lineRule="auto"/>
              <w:ind w:right="104"/>
              <w:rPr>
                <w:b/>
                <w:bCs/>
                <w:u w:val="none"/>
              </w:rPr>
            </w:pPr>
            <w:r w:rsidRPr="005E1EE0">
              <w:rPr>
                <w:b/>
                <w:bCs/>
                <w:u w:val="none"/>
              </w:rPr>
              <w:t>IPC Comments</w:t>
            </w:r>
          </w:p>
          <w:p w14:paraId="1360062E" w14:textId="77777777" w:rsidR="005E1EE0" w:rsidRPr="005E1EE0" w:rsidRDefault="005E1EE0" w:rsidP="00CB5FEF">
            <w:pPr>
              <w:pStyle w:val="BodyText"/>
              <w:spacing w:before="161" w:line="276" w:lineRule="auto"/>
              <w:ind w:right="104"/>
              <w:rPr>
                <w:u w:val="none"/>
              </w:rPr>
            </w:pPr>
          </w:p>
        </w:tc>
      </w:tr>
      <w:tr w:rsidR="005E1EE0" w:rsidRPr="005E1EE0" w14:paraId="4F90D641" w14:textId="77777777" w:rsidTr="005E1EE0">
        <w:trPr>
          <w:trHeight w:hRule="exact" w:val="4002"/>
        </w:trPr>
        <w:tc>
          <w:tcPr>
            <w:tcW w:w="233" w:type="pct"/>
            <w:tcBorders>
              <w:top w:val="single" w:sz="8" w:space="0" w:color="000000"/>
              <w:left w:val="single" w:sz="8" w:space="0" w:color="000000"/>
              <w:bottom w:val="single" w:sz="8" w:space="0" w:color="000000"/>
              <w:right w:val="single" w:sz="8" w:space="0" w:color="000000"/>
            </w:tcBorders>
          </w:tcPr>
          <w:p w14:paraId="713B5296" w14:textId="0BBDC1B1" w:rsidR="005E1EE0" w:rsidRPr="005E1EE0" w:rsidRDefault="005E1EE0" w:rsidP="00CB5FEF">
            <w:pPr>
              <w:pStyle w:val="BodyText"/>
              <w:spacing w:before="161" w:line="276" w:lineRule="auto"/>
              <w:ind w:right="104"/>
              <w:rPr>
                <w:u w:val="none"/>
              </w:rPr>
            </w:pPr>
            <w:r w:rsidRPr="005E1EE0">
              <w:rPr>
                <w:u w:val="none"/>
              </w:rPr>
              <w:t>19</w:t>
            </w:r>
          </w:p>
        </w:tc>
        <w:tc>
          <w:tcPr>
            <w:tcW w:w="2644" w:type="pct"/>
            <w:tcBorders>
              <w:top w:val="single" w:sz="8" w:space="0" w:color="000000"/>
              <w:left w:val="single" w:sz="8" w:space="0" w:color="000000"/>
              <w:bottom w:val="single" w:sz="8" w:space="0" w:color="000000"/>
              <w:right w:val="single" w:sz="8" w:space="0" w:color="000000"/>
            </w:tcBorders>
          </w:tcPr>
          <w:p w14:paraId="706080A4" w14:textId="77777777" w:rsidR="00C46807" w:rsidRDefault="005E1EE0" w:rsidP="00CB5FEF">
            <w:pPr>
              <w:pStyle w:val="BodyText"/>
              <w:spacing w:before="161" w:line="276" w:lineRule="auto"/>
              <w:ind w:right="104"/>
              <w:rPr>
                <w:b/>
                <w:bCs/>
                <w:u w:val="none"/>
              </w:rPr>
            </w:pPr>
            <w:r w:rsidRPr="005E1EE0">
              <w:rPr>
                <w:b/>
                <w:bCs/>
                <w:u w:val="none"/>
              </w:rPr>
              <w:t xml:space="preserve">In the case of a domain name registration where an affiliated and/or accredited privacy/proxy service is used, e.g., where data associated with a natural person is masked, Registrar (and Registry, where applicable) MUST include the full RDDS data of the applicable privacy/proxy service in response to an RDDS query. The full privacy/proxy RDDS data may also include a pseudonymized email. </w:t>
            </w:r>
          </w:p>
          <w:p w14:paraId="1A2D8A78" w14:textId="0F4F5EF9" w:rsidR="005E1EE0" w:rsidRDefault="005E1EE0" w:rsidP="00CB5FEF">
            <w:pPr>
              <w:pStyle w:val="BodyText"/>
              <w:spacing w:before="161" w:line="276" w:lineRule="auto"/>
              <w:ind w:right="104"/>
              <w:rPr>
                <w:b/>
                <w:bCs/>
                <w:i/>
                <w:iCs/>
                <w:u w:val="none"/>
              </w:rPr>
            </w:pPr>
            <w:r w:rsidRPr="00C46807">
              <w:rPr>
                <w:bCs/>
                <w:u w:val="none"/>
              </w:rPr>
              <w:t>*</w:t>
            </w:r>
            <w:r w:rsidRPr="00C46807">
              <w:rPr>
                <w:bCs/>
                <w:i/>
                <w:iCs/>
                <w:u w:val="none"/>
              </w:rPr>
              <w:t>Note: this recommendation is updated to include affiliated AND accredited privacy/proxy services, while EPDP Phase 1 Recommendation #14 only applied to affiliated providers.</w:t>
            </w:r>
          </w:p>
          <w:p w14:paraId="5EB2ABB4" w14:textId="77777777" w:rsidR="005E1EE0" w:rsidRPr="005E1EE0" w:rsidRDefault="005E1EE0" w:rsidP="00CB5FEF">
            <w:pPr>
              <w:pStyle w:val="BodyText"/>
              <w:spacing w:before="161" w:line="276" w:lineRule="auto"/>
              <w:ind w:right="104"/>
              <w:rPr>
                <w:u w:val="none"/>
              </w:rPr>
            </w:pPr>
          </w:p>
          <w:p w14:paraId="6025D6D6" w14:textId="77777777" w:rsidR="005E1EE0" w:rsidRPr="005E1EE0" w:rsidRDefault="005E1EE0" w:rsidP="00CB5FEF">
            <w:pPr>
              <w:pStyle w:val="BodyText"/>
              <w:spacing w:before="161" w:line="276" w:lineRule="auto"/>
              <w:ind w:right="104"/>
              <w:rPr>
                <w:u w:val="none"/>
              </w:rPr>
            </w:pPr>
          </w:p>
          <w:p w14:paraId="26AFC741" w14:textId="77777777" w:rsidR="005E1EE0" w:rsidRPr="005E1EE0" w:rsidRDefault="005E1EE0" w:rsidP="00CB5FEF">
            <w:pPr>
              <w:pStyle w:val="BodyText"/>
              <w:spacing w:before="161" w:line="276" w:lineRule="auto"/>
              <w:ind w:right="104"/>
              <w:rPr>
                <w:u w:val="none"/>
              </w:rPr>
            </w:pPr>
          </w:p>
          <w:p w14:paraId="407BD797" w14:textId="77777777" w:rsidR="005E1EE0" w:rsidRPr="005E1EE0" w:rsidRDefault="005E1EE0" w:rsidP="00CB5FEF">
            <w:pPr>
              <w:pStyle w:val="BodyText"/>
              <w:spacing w:before="161" w:line="276" w:lineRule="auto"/>
              <w:ind w:right="104"/>
              <w:rPr>
                <w:u w:val="none"/>
              </w:rPr>
            </w:pPr>
          </w:p>
          <w:p w14:paraId="6A0A8090" w14:textId="77777777" w:rsidR="005E1EE0" w:rsidRPr="005E1EE0" w:rsidRDefault="005E1EE0" w:rsidP="00CB5FEF">
            <w:pPr>
              <w:pStyle w:val="BodyText"/>
              <w:spacing w:before="161" w:line="276" w:lineRule="auto"/>
              <w:ind w:right="104"/>
              <w:rPr>
                <w:u w:val="none"/>
              </w:rPr>
            </w:pPr>
          </w:p>
          <w:p w14:paraId="2FF303CF" w14:textId="77777777" w:rsidR="005E1EE0" w:rsidRPr="005E1EE0" w:rsidRDefault="005E1EE0" w:rsidP="00CB5FEF">
            <w:pPr>
              <w:pStyle w:val="BodyText"/>
              <w:spacing w:before="161" w:line="276" w:lineRule="auto"/>
              <w:ind w:right="104"/>
              <w:rPr>
                <w:u w:val="none"/>
              </w:rPr>
            </w:pPr>
          </w:p>
          <w:p w14:paraId="18E5DA78" w14:textId="77777777" w:rsidR="005E1EE0" w:rsidRPr="005E1EE0" w:rsidRDefault="005E1EE0" w:rsidP="00CB5FEF">
            <w:pPr>
              <w:pStyle w:val="BodyText"/>
              <w:spacing w:before="161" w:line="276" w:lineRule="auto"/>
              <w:ind w:right="104"/>
              <w:rPr>
                <w:u w:val="none"/>
              </w:rPr>
            </w:pPr>
          </w:p>
          <w:p w14:paraId="44FADEE6" w14:textId="77777777" w:rsidR="005E1EE0" w:rsidRPr="005E1EE0" w:rsidRDefault="005E1EE0" w:rsidP="00CB5FEF">
            <w:pPr>
              <w:pStyle w:val="BodyText"/>
              <w:spacing w:before="161" w:line="276" w:lineRule="auto"/>
              <w:ind w:right="104"/>
              <w:rPr>
                <w:u w:val="none"/>
              </w:rPr>
            </w:pPr>
          </w:p>
          <w:p w14:paraId="6745E4F6" w14:textId="77777777" w:rsidR="005E1EE0" w:rsidRPr="005E1EE0" w:rsidRDefault="005E1EE0" w:rsidP="00CB5FEF">
            <w:pPr>
              <w:pStyle w:val="BodyText"/>
              <w:spacing w:before="161" w:line="276" w:lineRule="auto"/>
              <w:ind w:right="104"/>
              <w:rPr>
                <w:u w:val="none"/>
              </w:rPr>
            </w:pPr>
          </w:p>
          <w:p w14:paraId="7F6D8F2D" w14:textId="77777777" w:rsidR="005E1EE0" w:rsidRPr="005E1EE0" w:rsidRDefault="005E1EE0" w:rsidP="00CB5FEF">
            <w:pPr>
              <w:pStyle w:val="BodyText"/>
              <w:spacing w:before="161" w:line="276" w:lineRule="auto"/>
              <w:ind w:right="104"/>
              <w:rPr>
                <w:u w:val="none"/>
              </w:rPr>
            </w:pPr>
          </w:p>
          <w:p w14:paraId="291A9B13" w14:textId="77777777" w:rsidR="005E1EE0" w:rsidRPr="005E1EE0" w:rsidRDefault="005E1EE0" w:rsidP="00CB5FEF">
            <w:pPr>
              <w:pStyle w:val="BodyText"/>
              <w:spacing w:before="161" w:line="276" w:lineRule="auto"/>
              <w:ind w:right="104"/>
              <w:rPr>
                <w:u w:val="none"/>
              </w:rPr>
            </w:pPr>
          </w:p>
        </w:tc>
        <w:tc>
          <w:tcPr>
            <w:tcW w:w="2123" w:type="pct"/>
            <w:tcBorders>
              <w:top w:val="single" w:sz="8" w:space="0" w:color="000000"/>
              <w:left w:val="single" w:sz="8" w:space="0" w:color="000000"/>
              <w:bottom w:val="single" w:sz="8" w:space="0" w:color="000000"/>
              <w:right w:val="single" w:sz="8" w:space="0" w:color="000000"/>
            </w:tcBorders>
          </w:tcPr>
          <w:p w14:paraId="7CBBE6C4" w14:textId="4978AB96" w:rsidR="005E1EE0" w:rsidRPr="005E1EE0" w:rsidRDefault="00C35E5D" w:rsidP="00CB5FEF">
            <w:pPr>
              <w:pStyle w:val="BodyText"/>
              <w:spacing w:before="161" w:line="276" w:lineRule="auto"/>
              <w:ind w:right="104"/>
              <w:rPr>
                <w:bCs/>
                <w:u w:val="none"/>
              </w:rPr>
            </w:pPr>
            <w:r>
              <w:rPr>
                <w:bCs/>
                <w:u w:val="none"/>
              </w:rPr>
              <w:t xml:space="preserve">The IPC supports </w:t>
            </w:r>
            <w:r w:rsidR="00C84700">
              <w:rPr>
                <w:bCs/>
                <w:u w:val="none"/>
              </w:rPr>
              <w:t xml:space="preserve">Recommendation 19 as updated. Further, the IPC (consistent with its </w:t>
            </w:r>
            <w:hyperlink r:id="rId10" w:history="1">
              <w:r w:rsidR="00C84700" w:rsidRPr="009E5EF6">
                <w:rPr>
                  <w:rStyle w:val="Hyperlink"/>
                  <w:bCs/>
                </w:rPr>
                <w:t>prior comments</w:t>
              </w:r>
            </w:hyperlink>
            <w:r w:rsidR="00C84700">
              <w:rPr>
                <w:bCs/>
                <w:u w:val="none"/>
              </w:rPr>
              <w:t>) continues to urge ICANN to recommence implementation of PPSAI (already approved consensus policy).</w:t>
            </w:r>
          </w:p>
        </w:tc>
      </w:tr>
      <w:tr w:rsidR="005E1EE0" w:rsidRPr="005E1EE0" w14:paraId="51D25C93" w14:textId="77777777" w:rsidTr="00396D73">
        <w:trPr>
          <w:trHeight w:hRule="exact" w:val="1905"/>
        </w:trPr>
        <w:tc>
          <w:tcPr>
            <w:tcW w:w="233" w:type="pct"/>
            <w:tcBorders>
              <w:top w:val="single" w:sz="8" w:space="0" w:color="000000"/>
              <w:left w:val="single" w:sz="8" w:space="0" w:color="000000"/>
              <w:bottom w:val="single" w:sz="8" w:space="0" w:color="000000"/>
              <w:right w:val="single" w:sz="8" w:space="0" w:color="000000"/>
            </w:tcBorders>
          </w:tcPr>
          <w:p w14:paraId="3384A858" w14:textId="54113A54" w:rsidR="005E1EE0" w:rsidRPr="005E1EE0" w:rsidRDefault="00396D73" w:rsidP="00CB5FEF">
            <w:pPr>
              <w:pStyle w:val="BodyText"/>
              <w:spacing w:before="161" w:line="276" w:lineRule="auto"/>
              <w:ind w:right="104"/>
              <w:rPr>
                <w:u w:val="none"/>
              </w:rPr>
            </w:pPr>
            <w:r>
              <w:rPr>
                <w:u w:val="none"/>
              </w:rPr>
              <w:lastRenderedPageBreak/>
              <w:t>20</w:t>
            </w:r>
          </w:p>
        </w:tc>
        <w:tc>
          <w:tcPr>
            <w:tcW w:w="2644" w:type="pct"/>
            <w:tcBorders>
              <w:top w:val="single" w:sz="8" w:space="0" w:color="000000"/>
              <w:left w:val="single" w:sz="8" w:space="0" w:color="000000"/>
              <w:bottom w:val="single" w:sz="8" w:space="0" w:color="000000"/>
              <w:right w:val="single" w:sz="8" w:space="0" w:color="000000"/>
            </w:tcBorders>
          </w:tcPr>
          <w:p w14:paraId="033B0FA4" w14:textId="62435219" w:rsidR="005E1EE0" w:rsidRPr="005E1EE0" w:rsidRDefault="005E1EE0" w:rsidP="00CB5FEF">
            <w:pPr>
              <w:pStyle w:val="BodyText"/>
              <w:spacing w:before="161" w:line="276" w:lineRule="auto"/>
              <w:ind w:right="104"/>
              <w:rPr>
                <w:b/>
                <w:bCs/>
                <w:u w:val="none"/>
              </w:rPr>
            </w:pPr>
            <w:r w:rsidRPr="005E1EE0">
              <w:rPr>
                <w:b/>
                <w:bCs/>
                <w:u w:val="none"/>
              </w:rPr>
              <w:t>The EPDP Team recommends that the EPDP Phase 1 recommendation #11 is updated to state that redaction MAY be applied to the city field in reference to the registrant's contact information, instead of MUST.</w:t>
            </w:r>
          </w:p>
        </w:tc>
        <w:tc>
          <w:tcPr>
            <w:tcW w:w="2123" w:type="pct"/>
            <w:tcBorders>
              <w:top w:val="single" w:sz="8" w:space="0" w:color="000000"/>
              <w:left w:val="single" w:sz="8" w:space="0" w:color="000000"/>
              <w:bottom w:val="single" w:sz="8" w:space="0" w:color="000000"/>
              <w:right w:val="single" w:sz="8" w:space="0" w:color="000000"/>
            </w:tcBorders>
          </w:tcPr>
          <w:p w14:paraId="0BD3A7A0" w14:textId="73C30206" w:rsidR="005E1EE0" w:rsidRPr="005E1EE0" w:rsidRDefault="00C84700" w:rsidP="00CB5FEF">
            <w:pPr>
              <w:pStyle w:val="BodyText"/>
              <w:spacing w:before="161" w:line="276" w:lineRule="auto"/>
              <w:ind w:right="104"/>
              <w:rPr>
                <w:bCs/>
                <w:u w:val="none"/>
              </w:rPr>
            </w:pPr>
            <w:r>
              <w:rPr>
                <w:bCs/>
                <w:u w:val="none"/>
              </w:rPr>
              <w:t>The IPC supports Recommendation 20.</w:t>
            </w:r>
          </w:p>
        </w:tc>
      </w:tr>
      <w:tr w:rsidR="00396D73" w:rsidRPr="005E1EE0" w14:paraId="21012523" w14:textId="77777777" w:rsidTr="00396D73">
        <w:trPr>
          <w:trHeight w:hRule="exact" w:val="6486"/>
        </w:trPr>
        <w:tc>
          <w:tcPr>
            <w:tcW w:w="233" w:type="pct"/>
            <w:tcBorders>
              <w:top w:val="single" w:sz="8" w:space="0" w:color="000000"/>
              <w:left w:val="single" w:sz="8" w:space="0" w:color="000000"/>
              <w:bottom w:val="single" w:sz="8" w:space="0" w:color="000000"/>
              <w:right w:val="single" w:sz="8" w:space="0" w:color="000000"/>
            </w:tcBorders>
          </w:tcPr>
          <w:p w14:paraId="7B1350F3" w14:textId="42A3D7A5" w:rsidR="00396D73" w:rsidRDefault="00C46807" w:rsidP="00CB5FEF">
            <w:pPr>
              <w:pStyle w:val="BodyText"/>
              <w:spacing w:before="161" w:line="276" w:lineRule="auto"/>
              <w:ind w:right="104"/>
              <w:rPr>
                <w:u w:val="none"/>
              </w:rPr>
            </w:pPr>
            <w:r>
              <w:rPr>
                <w:u w:val="none"/>
              </w:rPr>
              <w:t>21</w:t>
            </w:r>
          </w:p>
        </w:tc>
        <w:tc>
          <w:tcPr>
            <w:tcW w:w="2644" w:type="pct"/>
            <w:tcBorders>
              <w:top w:val="single" w:sz="8" w:space="0" w:color="000000"/>
              <w:left w:val="single" w:sz="8" w:space="0" w:color="000000"/>
              <w:bottom w:val="single" w:sz="8" w:space="0" w:color="000000"/>
              <w:right w:val="single" w:sz="8" w:space="0" w:color="000000"/>
            </w:tcBorders>
          </w:tcPr>
          <w:p w14:paraId="2F1580C6" w14:textId="1EAE7213" w:rsidR="00396D73" w:rsidRPr="005E1EE0" w:rsidRDefault="00396D73" w:rsidP="00CB5FEF">
            <w:pPr>
              <w:pStyle w:val="BodyText"/>
              <w:spacing w:before="161" w:line="276" w:lineRule="auto"/>
              <w:ind w:right="104"/>
              <w:rPr>
                <w:b/>
                <w:bCs/>
                <w:u w:val="none"/>
              </w:rPr>
            </w:pPr>
            <w:r w:rsidRPr="00396D73">
              <w:rPr>
                <w:b/>
                <w:bCs/>
                <w:u w:val="none"/>
              </w:rPr>
              <w:t>The EPDP Team confirms its recommendation from phase 1 that registrars MUST retain only those data elements deemed necessary for the purposes of the TDRP, for a period of fifteen months following the life of the registration plus three months to implement the deletion, i.e., 18 months. This retention is grounded on the stated policy stipulation within the TDRP that claims under the policy may only be raised for a period of 12 months after the alleged breach (FN: see TDRP section 2.2) of the Transfer Policy (FN: see Section 1.15 of TDRP). For clarity, this does not prevent Requestors, including ICANN Compliance, from requesting disclosure of these retained data elements for purposes other than TDRP, but disclosure of those will be subject to relevant data protection laws, e.g., does a lawful basis for disclosure exist. For the avoidance of doubt, this retention period does not restrict the ability of registries and registrars to retain data elements for longer periods.</w:t>
            </w:r>
          </w:p>
        </w:tc>
        <w:tc>
          <w:tcPr>
            <w:tcW w:w="2123" w:type="pct"/>
            <w:tcBorders>
              <w:top w:val="single" w:sz="8" w:space="0" w:color="000000"/>
              <w:left w:val="single" w:sz="8" w:space="0" w:color="000000"/>
              <w:bottom w:val="single" w:sz="8" w:space="0" w:color="000000"/>
              <w:right w:val="single" w:sz="8" w:space="0" w:color="000000"/>
            </w:tcBorders>
          </w:tcPr>
          <w:p w14:paraId="66FA0791" w14:textId="0470531E" w:rsidR="00396D73" w:rsidRPr="005E1EE0" w:rsidRDefault="00C84700" w:rsidP="00CB5FEF">
            <w:pPr>
              <w:pStyle w:val="BodyText"/>
              <w:spacing w:before="161" w:line="276" w:lineRule="auto"/>
              <w:ind w:right="104"/>
              <w:rPr>
                <w:bCs/>
                <w:u w:val="none"/>
              </w:rPr>
            </w:pPr>
            <w:r>
              <w:rPr>
                <w:bCs/>
                <w:u w:val="none"/>
              </w:rPr>
              <w:t>The IPC Supports Recommendation 21.</w:t>
            </w:r>
          </w:p>
        </w:tc>
      </w:tr>
      <w:tr w:rsidR="00C46807" w:rsidRPr="005E1EE0" w14:paraId="13A9204D" w14:textId="77777777" w:rsidTr="009E5EF6">
        <w:trPr>
          <w:trHeight w:hRule="exact" w:val="5514"/>
        </w:trPr>
        <w:tc>
          <w:tcPr>
            <w:tcW w:w="233" w:type="pct"/>
            <w:tcBorders>
              <w:top w:val="single" w:sz="8" w:space="0" w:color="000000"/>
              <w:left w:val="single" w:sz="8" w:space="0" w:color="000000"/>
              <w:bottom w:val="single" w:sz="8" w:space="0" w:color="000000"/>
              <w:right w:val="single" w:sz="8" w:space="0" w:color="000000"/>
            </w:tcBorders>
          </w:tcPr>
          <w:p w14:paraId="3EFE130A" w14:textId="72CDEE0A" w:rsidR="00C46807" w:rsidRDefault="00C46807" w:rsidP="00CB5FEF">
            <w:pPr>
              <w:pStyle w:val="BodyText"/>
              <w:spacing w:before="161" w:line="276" w:lineRule="auto"/>
              <w:ind w:right="104"/>
              <w:rPr>
                <w:u w:val="none"/>
              </w:rPr>
            </w:pPr>
            <w:r>
              <w:rPr>
                <w:u w:val="none"/>
              </w:rPr>
              <w:lastRenderedPageBreak/>
              <w:t>22</w:t>
            </w:r>
          </w:p>
        </w:tc>
        <w:tc>
          <w:tcPr>
            <w:tcW w:w="2644" w:type="pct"/>
            <w:tcBorders>
              <w:top w:val="single" w:sz="8" w:space="0" w:color="000000"/>
              <w:left w:val="single" w:sz="8" w:space="0" w:color="000000"/>
              <w:bottom w:val="single" w:sz="8" w:space="0" w:color="000000"/>
              <w:right w:val="single" w:sz="8" w:space="0" w:color="000000"/>
            </w:tcBorders>
          </w:tcPr>
          <w:p w14:paraId="7F9089B7" w14:textId="77777777" w:rsidR="00C46807" w:rsidRPr="00C46807" w:rsidRDefault="00C46807" w:rsidP="00C46807">
            <w:pPr>
              <w:pStyle w:val="BodyText"/>
              <w:spacing w:before="161" w:line="276" w:lineRule="auto"/>
              <w:ind w:right="104"/>
              <w:rPr>
                <w:b/>
                <w:bCs/>
                <w:u w:val="none"/>
              </w:rPr>
            </w:pPr>
            <w:r w:rsidRPr="00C46807">
              <w:rPr>
                <w:b/>
                <w:bCs/>
                <w:u w:val="none"/>
              </w:rPr>
              <w:t>The EPDP Team recommends the following purpose be added to the EPDP Team Phase 1 purposes, which form the basis of the new ICANN policy:</w:t>
            </w:r>
          </w:p>
          <w:p w14:paraId="20C97BCB" w14:textId="77777777" w:rsidR="00C46807" w:rsidRPr="00C46807" w:rsidRDefault="00C46807" w:rsidP="00C46807">
            <w:pPr>
              <w:pStyle w:val="BodyText"/>
              <w:numPr>
                <w:ilvl w:val="0"/>
                <w:numId w:val="43"/>
              </w:numPr>
              <w:spacing w:before="161" w:line="276" w:lineRule="auto"/>
              <w:ind w:right="104"/>
              <w:rPr>
                <w:b/>
                <w:bCs/>
              </w:rPr>
            </w:pPr>
            <w:r w:rsidRPr="00C46807">
              <w:rPr>
                <w:b/>
                <w:bCs/>
                <w:u w:val="none"/>
              </w:rPr>
              <w:t xml:space="preserve">Contribute to the maintenance of the security, stability, and resiliency of the Domain Name System in accordance with ICANN's mission. </w:t>
            </w:r>
          </w:p>
          <w:p w14:paraId="342D3F80" w14:textId="453739E7" w:rsidR="00C46807" w:rsidRPr="00396D73" w:rsidRDefault="00C46807" w:rsidP="009E5EF6">
            <w:pPr>
              <w:pStyle w:val="BodyText"/>
              <w:spacing w:before="161" w:line="276" w:lineRule="auto"/>
              <w:ind w:right="104"/>
              <w:rPr>
                <w:b/>
                <w:bCs/>
                <w:u w:val="none"/>
              </w:rPr>
            </w:pPr>
            <w:r w:rsidRPr="00C46807">
              <w:rPr>
                <w:bCs/>
                <w:u w:val="none"/>
              </w:rPr>
              <w:t>*</w:t>
            </w:r>
            <w:r w:rsidRPr="00C46807">
              <w:rPr>
                <w:bCs/>
                <w:i/>
                <w:iCs/>
                <w:u w:val="none"/>
              </w:rPr>
              <w:t>Note this is updated from Purpose 2 in EPDP Phase 1, Recommendation 1, which provided, "Contributing to the maintenance of the security, stability, and resiliency of the Domain Name System in accordance with ICANN's mission through enabling responses to lawful data disclosure requests.</w:t>
            </w:r>
          </w:p>
        </w:tc>
        <w:tc>
          <w:tcPr>
            <w:tcW w:w="2123" w:type="pct"/>
            <w:tcBorders>
              <w:top w:val="single" w:sz="8" w:space="0" w:color="000000"/>
              <w:left w:val="single" w:sz="8" w:space="0" w:color="000000"/>
              <w:bottom w:val="single" w:sz="8" w:space="0" w:color="000000"/>
              <w:right w:val="single" w:sz="8" w:space="0" w:color="000000"/>
            </w:tcBorders>
          </w:tcPr>
          <w:p w14:paraId="46E9D54F" w14:textId="04945E2D" w:rsidR="00C46807" w:rsidRPr="005E1EE0" w:rsidRDefault="00DF5253" w:rsidP="00E424EE">
            <w:pPr>
              <w:pStyle w:val="BodyText"/>
              <w:spacing w:before="161" w:line="276" w:lineRule="auto"/>
              <w:ind w:right="104"/>
              <w:rPr>
                <w:bCs/>
                <w:u w:val="none"/>
              </w:rPr>
            </w:pPr>
            <w:r>
              <w:rPr>
                <w:bCs/>
                <w:u w:val="none"/>
              </w:rPr>
              <w:t xml:space="preserve">The IPC supports Recommendation 22. It is imperative that this purpose be added to Phase 1 purposes, which form the basis of new ICANN policy. Further, as set forth in the European NIS2 Directive, the IPC believes that third party legitimate purposes should also be included in any ICANN Policy. </w:t>
            </w:r>
          </w:p>
        </w:tc>
      </w:tr>
    </w:tbl>
    <w:p w14:paraId="6D677F4A" w14:textId="28886F69" w:rsidR="00B819D8" w:rsidRPr="005E1EE0" w:rsidRDefault="00B819D8" w:rsidP="00985AA6">
      <w:pPr>
        <w:pStyle w:val="BodyText"/>
        <w:spacing w:before="161" w:line="276" w:lineRule="auto"/>
        <w:ind w:right="104"/>
        <w:rPr>
          <w:u w:val="none"/>
        </w:rPr>
      </w:pPr>
    </w:p>
    <w:p w14:paraId="5CE4E76B" w14:textId="1B22966A" w:rsidR="00F07957" w:rsidRPr="00153B3A" w:rsidRDefault="00F07957" w:rsidP="0017387E">
      <w:pPr>
        <w:pStyle w:val="BodyText"/>
        <w:spacing w:before="161" w:line="276" w:lineRule="auto"/>
        <w:ind w:right="104"/>
        <w:rPr>
          <w:u w:val="none"/>
        </w:rPr>
      </w:pPr>
      <w:r>
        <w:rPr>
          <w:u w:val="none"/>
        </w:rPr>
        <w:t>Thank you for your consideration.</w:t>
      </w:r>
    </w:p>
    <w:p w14:paraId="7DA96BB9" w14:textId="77777777" w:rsidR="0003778C" w:rsidRDefault="0003778C" w:rsidP="0003778C">
      <w:pPr>
        <w:pStyle w:val="BodyText"/>
        <w:spacing w:before="161" w:line="276" w:lineRule="auto"/>
        <w:ind w:right="104"/>
        <w:rPr>
          <w:u w:val="none"/>
        </w:rPr>
      </w:pPr>
      <w:r>
        <w:rPr>
          <w:u w:val="none"/>
        </w:rPr>
        <w:t>Respectfully submitted,</w:t>
      </w:r>
    </w:p>
    <w:p w14:paraId="64110F6E" w14:textId="77777777" w:rsidR="00F07957" w:rsidRDefault="00F07957" w:rsidP="0003778C">
      <w:pPr>
        <w:pStyle w:val="BodyText"/>
        <w:spacing w:before="161" w:line="276" w:lineRule="auto"/>
        <w:ind w:right="104"/>
        <w:rPr>
          <w:u w:val="none"/>
        </w:rPr>
      </w:pPr>
    </w:p>
    <w:p w14:paraId="189B17B9" w14:textId="10BDFFF5" w:rsidR="0003778C" w:rsidRPr="00F07957" w:rsidRDefault="0003778C" w:rsidP="0003778C">
      <w:pPr>
        <w:pStyle w:val="BodyText"/>
        <w:spacing w:before="161" w:line="276" w:lineRule="auto"/>
        <w:ind w:right="104"/>
        <w:rPr>
          <w:b/>
          <w:u w:val="none"/>
        </w:rPr>
      </w:pPr>
      <w:r w:rsidRPr="00F07957">
        <w:rPr>
          <w:b/>
          <w:u w:val="none"/>
        </w:rPr>
        <w:t>Intellectual Property Constituency</w:t>
      </w:r>
      <w:r w:rsidR="00886123" w:rsidRPr="00F07957">
        <w:rPr>
          <w:b/>
          <w:u w:val="none"/>
        </w:rPr>
        <w:t xml:space="preserve"> </w:t>
      </w:r>
    </w:p>
    <w:p w14:paraId="0FE5D4A5" w14:textId="77777777" w:rsidR="001779A0" w:rsidRPr="00F07957" w:rsidRDefault="001779A0" w:rsidP="00982B1B">
      <w:pPr>
        <w:pStyle w:val="BodyText"/>
        <w:spacing w:before="161" w:line="276" w:lineRule="auto"/>
        <w:ind w:left="0" w:right="104"/>
        <w:rPr>
          <w:b/>
          <w:u w:val="none"/>
        </w:rPr>
      </w:pPr>
    </w:p>
    <w:sectPr w:rsidR="001779A0" w:rsidRPr="00F07957" w:rsidSect="001345E0">
      <w:footerReference w:type="default" r:id="rId11"/>
      <w:pgSz w:w="12240" w:h="15840"/>
      <w:pgMar w:top="1400" w:right="1320" w:bottom="1200" w:left="1340" w:header="0" w:footer="10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CC9B6" w14:textId="77777777" w:rsidR="009E6E60" w:rsidRDefault="009E6E60">
      <w:r>
        <w:separator/>
      </w:r>
    </w:p>
  </w:endnote>
  <w:endnote w:type="continuationSeparator" w:id="0">
    <w:p w14:paraId="03E5E546" w14:textId="77777777" w:rsidR="009E6E60" w:rsidRDefault="009E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589060"/>
      <w:docPartObj>
        <w:docPartGallery w:val="Page Numbers (Bottom of Page)"/>
        <w:docPartUnique/>
      </w:docPartObj>
    </w:sdtPr>
    <w:sdtEndPr>
      <w:rPr>
        <w:noProof/>
      </w:rPr>
    </w:sdtEndPr>
    <w:sdtContent>
      <w:p w14:paraId="0A591ABE" w14:textId="15E0CDAA" w:rsidR="00F60BFB" w:rsidRDefault="00F60BFB">
        <w:pPr>
          <w:pStyle w:val="Footer"/>
          <w:jc w:val="center"/>
        </w:pPr>
        <w:r>
          <w:fldChar w:fldCharType="begin"/>
        </w:r>
        <w:r>
          <w:instrText xml:space="preserve"> PAGE   \* MERGEFORMAT </w:instrText>
        </w:r>
        <w:r>
          <w:fldChar w:fldCharType="separate"/>
        </w:r>
        <w:r w:rsidR="006A2758">
          <w:rPr>
            <w:noProof/>
          </w:rPr>
          <w:t>3</w:t>
        </w:r>
        <w:r>
          <w:rPr>
            <w:noProof/>
          </w:rPr>
          <w:fldChar w:fldCharType="end"/>
        </w:r>
      </w:p>
    </w:sdtContent>
  </w:sdt>
  <w:p w14:paraId="5E0B92BC" w14:textId="2EBB30F9" w:rsidR="00C14C3C" w:rsidRDefault="00C14C3C">
    <w:pPr>
      <w:pStyle w:val="BodyText"/>
      <w:spacing w:line="14" w:lineRule="auto"/>
      <w:ind w:left="0"/>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BCBB" w14:textId="77777777" w:rsidR="009E6E60" w:rsidRDefault="009E6E60">
      <w:r>
        <w:separator/>
      </w:r>
    </w:p>
  </w:footnote>
  <w:footnote w:type="continuationSeparator" w:id="0">
    <w:p w14:paraId="79F5C365" w14:textId="77777777" w:rsidR="009E6E60" w:rsidRDefault="009E6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5"/>
      <w:numFmt w:val="decimal"/>
      <w:lvlText w:val="%1"/>
      <w:lvlJc w:val="left"/>
      <w:pPr>
        <w:ind w:left="820" w:hanging="720"/>
      </w:pPr>
    </w:lvl>
    <w:lvl w:ilvl="1">
      <w:start w:val="1"/>
      <w:numFmt w:val="decimal"/>
      <w:lvlText w:val="%1.%2."/>
      <w:lvlJc w:val="left"/>
      <w:pPr>
        <w:ind w:left="820" w:hanging="720"/>
      </w:pPr>
      <w:rPr>
        <w:rFonts w:ascii="Arial" w:hAnsi="Arial" w:cs="Arial"/>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 w15:restartNumberingAfterBreak="0">
    <w:nsid w:val="00000403"/>
    <w:multiLevelType w:val="multilevel"/>
    <w:tmpl w:val="6CB26A82"/>
    <w:lvl w:ilvl="0">
      <w:start w:val="3"/>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 w15:restartNumberingAfterBreak="0">
    <w:nsid w:val="00000404"/>
    <w:multiLevelType w:val="multilevel"/>
    <w:tmpl w:val="ED822D6A"/>
    <w:lvl w:ilvl="0">
      <w:start w:val="5"/>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3" w15:restartNumberingAfterBreak="0">
    <w:nsid w:val="00000405"/>
    <w:multiLevelType w:val="multilevel"/>
    <w:tmpl w:val="62EEA3A8"/>
    <w:lvl w:ilvl="0">
      <w:start w:val="6"/>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4" w15:restartNumberingAfterBreak="0">
    <w:nsid w:val="00000406"/>
    <w:multiLevelType w:val="multilevel"/>
    <w:tmpl w:val="A48C41D4"/>
    <w:lvl w:ilvl="0">
      <w:start w:val="7"/>
      <w:numFmt w:val="decimal"/>
      <w:lvlText w:val="%1"/>
      <w:lvlJc w:val="left"/>
      <w:pPr>
        <w:ind w:left="820" w:hanging="720"/>
      </w:pPr>
    </w:lvl>
    <w:lvl w:ilvl="1">
      <w:start w:val="1"/>
      <w:numFmt w:val="decimal"/>
      <w:lvlText w:val="%1.%2."/>
      <w:lvlJc w:val="left"/>
      <w:pPr>
        <w:ind w:left="820" w:hanging="720"/>
      </w:pPr>
      <w:rPr>
        <w:rFonts w:asciiTheme="minorHAnsi" w:hAnsiTheme="minorHAnsi" w:cs="Arial" w:hint="default"/>
        <w:b w:val="0"/>
        <w:bCs w:val="0"/>
        <w:spacing w:val="-2"/>
        <w:w w:val="99"/>
        <w:sz w:val="20"/>
        <w:szCs w:val="20"/>
      </w:rPr>
    </w:lvl>
    <w:lvl w:ilvl="2">
      <w:start w:val="1"/>
      <w:numFmt w:val="decimal"/>
      <w:lvlText w:val="%1.%2.%3."/>
      <w:lvlJc w:val="left"/>
      <w:pPr>
        <w:ind w:left="820" w:hanging="720"/>
      </w:pPr>
      <w:rPr>
        <w:rFonts w:asciiTheme="minorHAnsi" w:hAnsiTheme="minorHAnsi" w:cs="Arial" w:hint="default"/>
        <w:b w:val="0"/>
        <w:bCs w:val="0"/>
        <w:spacing w:val="-2"/>
        <w:w w:val="99"/>
        <w:sz w:val="20"/>
        <w:szCs w:val="20"/>
      </w:r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5" w15:restartNumberingAfterBreak="0">
    <w:nsid w:val="00000407"/>
    <w:multiLevelType w:val="multilevel"/>
    <w:tmpl w:val="F7CA8B32"/>
    <w:lvl w:ilvl="0">
      <w:start w:val="7"/>
      <w:numFmt w:val="decimal"/>
      <w:lvlText w:val="%1"/>
      <w:lvlJc w:val="left"/>
      <w:pPr>
        <w:ind w:left="820" w:hanging="720"/>
      </w:pPr>
    </w:lvl>
    <w:lvl w:ilvl="1">
      <w:start w:val="3"/>
      <w:numFmt w:val="decimal"/>
      <w:lvlText w:val="%1.%2"/>
      <w:lvlJc w:val="left"/>
      <w:pPr>
        <w:ind w:left="820" w:hanging="720"/>
      </w:pPr>
    </w:lvl>
    <w:lvl w:ilvl="2">
      <w:start w:val="2"/>
      <w:numFmt w:val="decimal"/>
      <w:lvlText w:val="%1.%2.%3."/>
      <w:lvlJc w:val="left"/>
      <w:pPr>
        <w:ind w:left="820" w:hanging="720"/>
      </w:pPr>
      <w:rPr>
        <w:rFonts w:asciiTheme="minorHAnsi" w:hAnsiTheme="minorHAnsi" w:cs="Arial" w:hint="default"/>
        <w:b w:val="0"/>
        <w:bCs w:val="0"/>
        <w:spacing w:val="-2"/>
        <w:w w:val="99"/>
        <w:sz w:val="20"/>
        <w:szCs w:val="20"/>
      </w:r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6" w15:restartNumberingAfterBreak="0">
    <w:nsid w:val="00000408"/>
    <w:multiLevelType w:val="multilevel"/>
    <w:tmpl w:val="8B66691E"/>
    <w:lvl w:ilvl="0">
      <w:start w:val="8"/>
      <w:numFmt w:val="decimal"/>
      <w:lvlText w:val="%1"/>
      <w:lvlJc w:val="left"/>
      <w:pPr>
        <w:ind w:left="820" w:hanging="720"/>
      </w:pPr>
    </w:lvl>
    <w:lvl w:ilvl="1">
      <w:start w:val="1"/>
      <w:numFmt w:val="decimal"/>
      <w:lvlText w:val="%1.%2."/>
      <w:lvlJc w:val="left"/>
      <w:pPr>
        <w:ind w:left="820" w:hanging="720"/>
      </w:pPr>
      <w:rPr>
        <w:rFonts w:asciiTheme="minorHAnsi" w:hAnsiTheme="minorHAnsi" w:cs="Arial"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7" w15:restartNumberingAfterBreak="0">
    <w:nsid w:val="00000409"/>
    <w:multiLevelType w:val="multilevel"/>
    <w:tmpl w:val="122EB922"/>
    <w:lvl w:ilvl="0">
      <w:start w:val="9"/>
      <w:numFmt w:val="decimal"/>
      <w:lvlText w:val="%1"/>
      <w:lvlJc w:val="left"/>
      <w:pPr>
        <w:ind w:left="820" w:hanging="720"/>
      </w:pPr>
    </w:lvl>
    <w:lvl w:ilvl="1">
      <w:start w:val="1"/>
      <w:numFmt w:val="decimal"/>
      <w:lvlText w:val="%1.%2."/>
      <w:lvlJc w:val="left"/>
      <w:pPr>
        <w:ind w:left="820" w:hanging="720"/>
      </w:pPr>
      <w:rPr>
        <w:rFonts w:asciiTheme="minorHAnsi" w:hAnsiTheme="minorHAnsi" w:cs="Arial"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8" w15:restartNumberingAfterBreak="0">
    <w:nsid w:val="0000040A"/>
    <w:multiLevelType w:val="multilevel"/>
    <w:tmpl w:val="3ECA454C"/>
    <w:lvl w:ilvl="0">
      <w:start w:val="9"/>
      <w:numFmt w:val="decimal"/>
      <w:lvlText w:val="%1"/>
      <w:lvlJc w:val="left"/>
      <w:pPr>
        <w:ind w:left="820" w:hanging="720"/>
      </w:pPr>
    </w:lvl>
    <w:lvl w:ilvl="1">
      <w:start w:val="3"/>
      <w:numFmt w:val="decimal"/>
      <w:lvlText w:val="%1.%2."/>
      <w:lvlJc w:val="left"/>
      <w:pPr>
        <w:ind w:left="820" w:hanging="720"/>
      </w:pPr>
      <w:rPr>
        <w:rFonts w:asciiTheme="minorHAnsi" w:hAnsiTheme="minorHAnsi" w:cs="Arial"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9" w15:restartNumberingAfterBreak="0">
    <w:nsid w:val="0000040B"/>
    <w:multiLevelType w:val="multilevel"/>
    <w:tmpl w:val="21D429D0"/>
    <w:lvl w:ilvl="0">
      <w:start w:val="10"/>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0" w15:restartNumberingAfterBreak="0">
    <w:nsid w:val="0000040C"/>
    <w:multiLevelType w:val="multilevel"/>
    <w:tmpl w:val="0000088F"/>
    <w:lvl w:ilvl="0">
      <w:start w:val="11"/>
      <w:numFmt w:val="decimal"/>
      <w:lvlText w:val="%1"/>
      <w:lvlJc w:val="left"/>
      <w:pPr>
        <w:ind w:left="820" w:hanging="720"/>
      </w:pPr>
    </w:lvl>
    <w:lvl w:ilvl="1">
      <w:start w:val="2"/>
      <w:numFmt w:val="decimal"/>
      <w:lvlText w:val="%1.%2."/>
      <w:lvlJc w:val="left"/>
      <w:pPr>
        <w:ind w:left="820" w:hanging="720"/>
      </w:pPr>
      <w:rPr>
        <w:rFonts w:ascii="Arial" w:hAnsi="Arial" w:cs="Arial"/>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1" w15:restartNumberingAfterBreak="0">
    <w:nsid w:val="0000040D"/>
    <w:multiLevelType w:val="multilevel"/>
    <w:tmpl w:val="ECD68524"/>
    <w:lvl w:ilvl="0">
      <w:start w:val="12"/>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2" w15:restartNumberingAfterBreak="0">
    <w:nsid w:val="0000040E"/>
    <w:multiLevelType w:val="multilevel"/>
    <w:tmpl w:val="C896D8BA"/>
    <w:lvl w:ilvl="0">
      <w:start w:val="13"/>
      <w:numFmt w:val="decimal"/>
      <w:lvlText w:val="%1"/>
      <w:lvlJc w:val="left"/>
      <w:pPr>
        <w:ind w:left="820" w:hanging="720"/>
      </w:pPr>
    </w:lvl>
    <w:lvl w:ilvl="1">
      <w:start w:val="1"/>
      <w:numFmt w:val="decimal"/>
      <w:lvlText w:val="%1.%2"/>
      <w:lvlJc w:val="left"/>
      <w:pPr>
        <w:ind w:left="820" w:hanging="720"/>
      </w:p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3" w15:restartNumberingAfterBreak="0">
    <w:nsid w:val="0000040F"/>
    <w:multiLevelType w:val="multilevel"/>
    <w:tmpl w:val="775EE5FE"/>
    <w:lvl w:ilvl="0">
      <w:start w:val="15"/>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4" w15:restartNumberingAfterBreak="0">
    <w:nsid w:val="00000410"/>
    <w:multiLevelType w:val="multilevel"/>
    <w:tmpl w:val="D5E8B73E"/>
    <w:lvl w:ilvl="0">
      <w:start w:val="15"/>
      <w:numFmt w:val="decimal"/>
      <w:lvlText w:val="%1"/>
      <w:lvlJc w:val="left"/>
      <w:pPr>
        <w:ind w:left="820" w:hanging="720"/>
      </w:pPr>
    </w:lvl>
    <w:lvl w:ilvl="1">
      <w:start w:val="3"/>
      <w:numFmt w:val="decimal"/>
      <w:lvlText w:val="%1.%2"/>
      <w:lvlJc w:val="left"/>
      <w:pPr>
        <w:ind w:left="820" w:hanging="720"/>
      </w:p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5" w15:restartNumberingAfterBreak="0">
    <w:nsid w:val="00000411"/>
    <w:multiLevelType w:val="multilevel"/>
    <w:tmpl w:val="FC9EDFE0"/>
    <w:lvl w:ilvl="0">
      <w:start w:val="16"/>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6" w15:restartNumberingAfterBreak="0">
    <w:nsid w:val="00000412"/>
    <w:multiLevelType w:val="multilevel"/>
    <w:tmpl w:val="5F105EFE"/>
    <w:lvl w:ilvl="0">
      <w:start w:val="18"/>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7" w15:restartNumberingAfterBreak="0">
    <w:nsid w:val="00000413"/>
    <w:multiLevelType w:val="multilevel"/>
    <w:tmpl w:val="FB8856C6"/>
    <w:lvl w:ilvl="0">
      <w:start w:val="19"/>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8" w15:restartNumberingAfterBreak="0">
    <w:nsid w:val="00000414"/>
    <w:multiLevelType w:val="multilevel"/>
    <w:tmpl w:val="6A48CDE8"/>
    <w:lvl w:ilvl="0">
      <w:start w:val="20"/>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19" w15:restartNumberingAfterBreak="0">
    <w:nsid w:val="00000415"/>
    <w:multiLevelType w:val="multilevel"/>
    <w:tmpl w:val="328C9162"/>
    <w:lvl w:ilvl="0">
      <w:start w:val="21"/>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0" w15:restartNumberingAfterBreak="0">
    <w:nsid w:val="00000416"/>
    <w:multiLevelType w:val="multilevel"/>
    <w:tmpl w:val="81CAC258"/>
    <w:lvl w:ilvl="0">
      <w:start w:val="22"/>
      <w:numFmt w:val="decimal"/>
      <w:lvlText w:val="%1"/>
      <w:lvlJc w:val="left"/>
      <w:pPr>
        <w:ind w:left="820" w:hanging="720"/>
      </w:pPr>
    </w:lvl>
    <w:lvl w:ilvl="1">
      <w:start w:val="2"/>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1" w15:restartNumberingAfterBreak="0">
    <w:nsid w:val="00000417"/>
    <w:multiLevelType w:val="multilevel"/>
    <w:tmpl w:val="A17C822E"/>
    <w:lvl w:ilvl="0">
      <w:start w:val="23"/>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2" w15:restartNumberingAfterBreak="0">
    <w:nsid w:val="00000418"/>
    <w:multiLevelType w:val="multilevel"/>
    <w:tmpl w:val="BCE4FA8C"/>
    <w:lvl w:ilvl="0">
      <w:start w:val="24"/>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3" w15:restartNumberingAfterBreak="0">
    <w:nsid w:val="00000419"/>
    <w:multiLevelType w:val="multilevel"/>
    <w:tmpl w:val="8CF2905A"/>
    <w:lvl w:ilvl="0">
      <w:start w:val="26"/>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4" w15:restartNumberingAfterBreak="0">
    <w:nsid w:val="0000041A"/>
    <w:multiLevelType w:val="multilevel"/>
    <w:tmpl w:val="1F8490C0"/>
    <w:lvl w:ilvl="0">
      <w:start w:val="27"/>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5" w15:restartNumberingAfterBreak="0">
    <w:nsid w:val="0000041B"/>
    <w:multiLevelType w:val="multilevel"/>
    <w:tmpl w:val="809E9850"/>
    <w:lvl w:ilvl="0">
      <w:start w:val="28"/>
      <w:numFmt w:val="decimal"/>
      <w:lvlText w:val="%1"/>
      <w:lvlJc w:val="left"/>
      <w:pPr>
        <w:ind w:left="820" w:hanging="720"/>
      </w:pPr>
    </w:lvl>
    <w:lvl w:ilvl="1">
      <w:start w:val="1"/>
      <w:numFmt w:val="decimal"/>
      <w:lvlText w:val="%1.%2."/>
      <w:lvlJc w:val="left"/>
      <w:pPr>
        <w:ind w:left="820" w:hanging="720"/>
      </w:pPr>
      <w:rPr>
        <w:rFonts w:asciiTheme="minorHAnsi" w:hAnsiTheme="minorHAnsi" w:cs="Arial"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6" w15:restartNumberingAfterBreak="0">
    <w:nsid w:val="0000041C"/>
    <w:multiLevelType w:val="multilevel"/>
    <w:tmpl w:val="B1D0276A"/>
    <w:lvl w:ilvl="0">
      <w:start w:val="29"/>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numFmt w:val="bullet"/>
      <w:lvlText w:val="•"/>
      <w:lvlJc w:val="left"/>
      <w:pPr>
        <w:ind w:left="1960" w:hanging="720"/>
      </w:p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7" w15:restartNumberingAfterBreak="0">
    <w:nsid w:val="0000041D"/>
    <w:multiLevelType w:val="multilevel"/>
    <w:tmpl w:val="ECC4D7BE"/>
    <w:lvl w:ilvl="0">
      <w:start w:val="29"/>
      <w:numFmt w:val="decimal"/>
      <w:lvlText w:val="%1"/>
      <w:lvlJc w:val="left"/>
      <w:pPr>
        <w:ind w:left="820" w:hanging="720"/>
      </w:pPr>
    </w:lvl>
    <w:lvl w:ilvl="1">
      <w:start w:val="3"/>
      <w:numFmt w:val="decimal"/>
      <w:lvlText w:val="%1.%2."/>
      <w:lvlJc w:val="left"/>
      <w:pPr>
        <w:ind w:left="820" w:hanging="720"/>
      </w:pPr>
      <w:rPr>
        <w:rFonts w:asciiTheme="minorHAnsi" w:hAnsiTheme="minorHAnsi" w:cstheme="minorHAnsi" w:hint="default"/>
        <w:b w:val="0"/>
        <w:bCs w:val="0"/>
        <w:spacing w:val="-2"/>
        <w:w w:val="99"/>
        <w:sz w:val="20"/>
        <w:szCs w:val="20"/>
      </w:r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8" w15:restartNumberingAfterBreak="0">
    <w:nsid w:val="0000041E"/>
    <w:multiLevelType w:val="multilevel"/>
    <w:tmpl w:val="DD14FBB8"/>
    <w:lvl w:ilvl="0">
      <w:start w:val="30"/>
      <w:numFmt w:val="decimal"/>
      <w:lvlText w:val="%1"/>
      <w:lvlJc w:val="left"/>
      <w:pPr>
        <w:ind w:left="820" w:hanging="720"/>
      </w:pPr>
    </w:lvl>
    <w:lvl w:ilvl="1">
      <w:start w:val="1"/>
      <w:numFmt w:val="decimal"/>
      <w:lvlText w:val="%1.%2."/>
      <w:lvlJc w:val="left"/>
      <w:pPr>
        <w:ind w:left="820" w:hanging="720"/>
      </w:pPr>
      <w:rPr>
        <w:rFonts w:asciiTheme="minorHAnsi" w:hAnsiTheme="minorHAnsi" w:cstheme="minorHAnsi" w:hint="default"/>
        <w:b w:val="0"/>
        <w:bCs w:val="0"/>
        <w:spacing w:val="-2"/>
        <w:w w:val="99"/>
        <w:sz w:val="20"/>
        <w:szCs w:val="20"/>
      </w:r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29" w15:restartNumberingAfterBreak="0">
    <w:nsid w:val="09BF2565"/>
    <w:multiLevelType w:val="multilevel"/>
    <w:tmpl w:val="D26C262A"/>
    <w:lvl w:ilvl="0">
      <w:start w:val="1"/>
      <w:numFmt w:val="decimal"/>
      <w:lvlText w:val="25.%1"/>
      <w:lvlJc w:val="left"/>
      <w:pPr>
        <w:ind w:left="820" w:hanging="720"/>
      </w:pPr>
      <w:rPr>
        <w:rFonts w:hint="default"/>
        <w:b w:val="0"/>
      </w:rPr>
    </w:lvl>
    <w:lvl w:ilvl="1">
      <w:start w:val="1"/>
      <w:numFmt w:val="decimal"/>
      <w:lvlText w:val="17.%2"/>
      <w:lvlJc w:val="left"/>
      <w:pPr>
        <w:ind w:left="820" w:hanging="720"/>
      </w:pPr>
      <w:rPr>
        <w:rFonts w:hint="default"/>
        <w:b w:val="0"/>
      </w:r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rPr>
        <w:rFonts w:hint="default"/>
      </w:rPr>
    </w:lvl>
    <w:lvl w:ilvl="4">
      <w:numFmt w:val="bullet"/>
      <w:lvlText w:val="•"/>
      <w:lvlJc w:val="left"/>
      <w:pPr>
        <w:ind w:left="3100" w:hanging="720"/>
      </w:pPr>
      <w:rPr>
        <w:rFonts w:hint="default"/>
      </w:rPr>
    </w:lvl>
    <w:lvl w:ilvl="5">
      <w:numFmt w:val="bullet"/>
      <w:lvlText w:val="•"/>
      <w:lvlJc w:val="left"/>
      <w:pPr>
        <w:ind w:left="3671" w:hanging="720"/>
      </w:pPr>
      <w:rPr>
        <w:rFonts w:hint="default"/>
      </w:rPr>
    </w:lvl>
    <w:lvl w:ilvl="6">
      <w:numFmt w:val="bullet"/>
      <w:lvlText w:val="•"/>
      <w:lvlJc w:val="left"/>
      <w:pPr>
        <w:ind w:left="4241" w:hanging="720"/>
      </w:pPr>
      <w:rPr>
        <w:rFonts w:hint="default"/>
      </w:rPr>
    </w:lvl>
    <w:lvl w:ilvl="7">
      <w:numFmt w:val="bullet"/>
      <w:lvlText w:val="•"/>
      <w:lvlJc w:val="left"/>
      <w:pPr>
        <w:ind w:left="4811" w:hanging="720"/>
      </w:pPr>
      <w:rPr>
        <w:rFonts w:hint="default"/>
      </w:rPr>
    </w:lvl>
    <w:lvl w:ilvl="8">
      <w:numFmt w:val="bullet"/>
      <w:lvlText w:val="•"/>
      <w:lvlJc w:val="left"/>
      <w:pPr>
        <w:ind w:left="5381" w:hanging="720"/>
      </w:pPr>
      <w:rPr>
        <w:rFonts w:hint="default"/>
      </w:rPr>
    </w:lvl>
  </w:abstractNum>
  <w:abstractNum w:abstractNumId="30" w15:restartNumberingAfterBreak="0">
    <w:nsid w:val="10C62FAE"/>
    <w:multiLevelType w:val="hybridMultilevel"/>
    <w:tmpl w:val="EE46928C"/>
    <w:lvl w:ilvl="0" w:tplc="1586343C">
      <w:start w:val="1"/>
      <w:numFmt w:val="decimal"/>
      <w:lvlText w:val="4.%1"/>
      <w:lvlJc w:val="left"/>
      <w:pPr>
        <w:ind w:left="4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17F25836"/>
    <w:multiLevelType w:val="multilevel"/>
    <w:tmpl w:val="A3C42CD4"/>
    <w:lvl w:ilvl="0">
      <w:start w:val="1"/>
      <w:numFmt w:val="decimal"/>
      <w:lvlText w:val="22.%1"/>
      <w:lvlJc w:val="left"/>
      <w:pPr>
        <w:ind w:left="820" w:hanging="720"/>
      </w:pPr>
      <w:rPr>
        <w:rFonts w:hint="default"/>
        <w:b w:val="0"/>
      </w:rPr>
    </w:lvl>
    <w:lvl w:ilvl="1">
      <w:start w:val="3"/>
      <w:numFmt w:val="decimal"/>
      <w:lvlText w:val="%1.%2"/>
      <w:lvlJc w:val="left"/>
      <w:pPr>
        <w:ind w:left="820" w:hanging="720"/>
      </w:pPr>
      <w:rPr>
        <w:rFonts w:hint="default"/>
      </w:r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rPr>
        <w:rFonts w:hint="default"/>
      </w:rPr>
    </w:lvl>
    <w:lvl w:ilvl="4">
      <w:numFmt w:val="bullet"/>
      <w:lvlText w:val="•"/>
      <w:lvlJc w:val="left"/>
      <w:pPr>
        <w:ind w:left="3100" w:hanging="720"/>
      </w:pPr>
      <w:rPr>
        <w:rFonts w:hint="default"/>
      </w:rPr>
    </w:lvl>
    <w:lvl w:ilvl="5">
      <w:numFmt w:val="bullet"/>
      <w:lvlText w:val="•"/>
      <w:lvlJc w:val="left"/>
      <w:pPr>
        <w:ind w:left="3671" w:hanging="720"/>
      </w:pPr>
      <w:rPr>
        <w:rFonts w:hint="default"/>
      </w:rPr>
    </w:lvl>
    <w:lvl w:ilvl="6">
      <w:numFmt w:val="bullet"/>
      <w:lvlText w:val="•"/>
      <w:lvlJc w:val="left"/>
      <w:pPr>
        <w:ind w:left="4241" w:hanging="720"/>
      </w:pPr>
      <w:rPr>
        <w:rFonts w:hint="default"/>
      </w:rPr>
    </w:lvl>
    <w:lvl w:ilvl="7">
      <w:numFmt w:val="bullet"/>
      <w:lvlText w:val="•"/>
      <w:lvlJc w:val="left"/>
      <w:pPr>
        <w:ind w:left="4811" w:hanging="720"/>
      </w:pPr>
      <w:rPr>
        <w:rFonts w:hint="default"/>
      </w:rPr>
    </w:lvl>
    <w:lvl w:ilvl="8">
      <w:numFmt w:val="bullet"/>
      <w:lvlText w:val="•"/>
      <w:lvlJc w:val="left"/>
      <w:pPr>
        <w:ind w:left="5381" w:hanging="720"/>
      </w:pPr>
      <w:rPr>
        <w:rFonts w:hint="default"/>
      </w:rPr>
    </w:lvl>
  </w:abstractNum>
  <w:abstractNum w:abstractNumId="32" w15:restartNumberingAfterBreak="0">
    <w:nsid w:val="1C343DF9"/>
    <w:multiLevelType w:val="multilevel"/>
    <w:tmpl w:val="43046BA0"/>
    <w:lvl w:ilvl="0">
      <w:start w:val="1"/>
      <w:numFmt w:val="decimal"/>
      <w:lvlText w:val="22.%1"/>
      <w:lvlJc w:val="left"/>
      <w:pPr>
        <w:ind w:left="820" w:hanging="720"/>
      </w:pPr>
      <w:rPr>
        <w:rFonts w:hint="default"/>
        <w:b w:val="0"/>
      </w:rPr>
    </w:lvl>
    <w:lvl w:ilvl="1">
      <w:start w:val="3"/>
      <w:numFmt w:val="decimal"/>
      <w:lvlText w:val="%1.%2"/>
      <w:lvlJc w:val="left"/>
      <w:pPr>
        <w:ind w:left="820" w:hanging="720"/>
      </w:p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lvl>
    <w:lvl w:ilvl="4">
      <w:numFmt w:val="bullet"/>
      <w:lvlText w:val="•"/>
      <w:lvlJc w:val="left"/>
      <w:pPr>
        <w:ind w:left="3100" w:hanging="720"/>
      </w:pPr>
    </w:lvl>
    <w:lvl w:ilvl="5">
      <w:numFmt w:val="bullet"/>
      <w:lvlText w:val="•"/>
      <w:lvlJc w:val="left"/>
      <w:pPr>
        <w:ind w:left="3671" w:hanging="720"/>
      </w:pPr>
    </w:lvl>
    <w:lvl w:ilvl="6">
      <w:numFmt w:val="bullet"/>
      <w:lvlText w:val="•"/>
      <w:lvlJc w:val="left"/>
      <w:pPr>
        <w:ind w:left="4241" w:hanging="720"/>
      </w:pPr>
    </w:lvl>
    <w:lvl w:ilvl="7">
      <w:numFmt w:val="bullet"/>
      <w:lvlText w:val="•"/>
      <w:lvlJc w:val="left"/>
      <w:pPr>
        <w:ind w:left="4811" w:hanging="720"/>
      </w:pPr>
    </w:lvl>
    <w:lvl w:ilvl="8">
      <w:numFmt w:val="bullet"/>
      <w:lvlText w:val="•"/>
      <w:lvlJc w:val="left"/>
      <w:pPr>
        <w:ind w:left="5381" w:hanging="720"/>
      </w:pPr>
    </w:lvl>
  </w:abstractNum>
  <w:abstractNum w:abstractNumId="33" w15:restartNumberingAfterBreak="0">
    <w:nsid w:val="31930C36"/>
    <w:multiLevelType w:val="multilevel"/>
    <w:tmpl w:val="01B61862"/>
    <w:lvl w:ilvl="0">
      <w:start w:val="1"/>
      <w:numFmt w:val="decimal"/>
      <w:lvlText w:val="2.%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4CE135C"/>
    <w:multiLevelType w:val="hybridMultilevel"/>
    <w:tmpl w:val="EEEEDB8E"/>
    <w:lvl w:ilvl="0" w:tplc="1586343C">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EC0102"/>
    <w:multiLevelType w:val="hybridMultilevel"/>
    <w:tmpl w:val="E4B22EE8"/>
    <w:lvl w:ilvl="0" w:tplc="E54EA150">
      <w:start w:val="1"/>
      <w:numFmt w:val="decimal"/>
      <w:lvlText w:val="14.%1"/>
      <w:lvlJc w:val="left"/>
      <w:pPr>
        <w:ind w:left="8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3C619B"/>
    <w:multiLevelType w:val="multilevel"/>
    <w:tmpl w:val="88C2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712512"/>
    <w:multiLevelType w:val="hybridMultilevel"/>
    <w:tmpl w:val="FC481302"/>
    <w:lvl w:ilvl="0" w:tplc="E10288EC">
      <w:start w:val="1"/>
      <w:numFmt w:val="decimal"/>
      <w:lvlText w:val="13.%1"/>
      <w:lvlJc w:val="left"/>
      <w:pPr>
        <w:ind w:left="820" w:hanging="360"/>
      </w:pPr>
      <w:rPr>
        <w:rFonts w:hint="default"/>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8" w15:restartNumberingAfterBreak="0">
    <w:nsid w:val="456F64CD"/>
    <w:multiLevelType w:val="hybridMultilevel"/>
    <w:tmpl w:val="81F045C4"/>
    <w:lvl w:ilvl="0" w:tplc="E46A5CDC">
      <w:start w:val="1"/>
      <w:numFmt w:val="decimal"/>
      <w:lvlText w:val="11.%1"/>
      <w:lvlJc w:val="left"/>
      <w:pPr>
        <w:ind w:left="4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F6EA6"/>
    <w:multiLevelType w:val="multilevel"/>
    <w:tmpl w:val="630654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381174"/>
    <w:multiLevelType w:val="multilevel"/>
    <w:tmpl w:val="35F8D0D6"/>
    <w:lvl w:ilvl="0">
      <w:start w:val="1"/>
      <w:numFmt w:val="decimal"/>
      <w:lvlText w:val="25.%1"/>
      <w:lvlJc w:val="left"/>
      <w:pPr>
        <w:ind w:left="820" w:hanging="720"/>
      </w:pPr>
      <w:rPr>
        <w:rFonts w:hint="default"/>
        <w:b w:val="0"/>
      </w:rPr>
    </w:lvl>
    <w:lvl w:ilvl="1">
      <w:start w:val="3"/>
      <w:numFmt w:val="decimal"/>
      <w:lvlText w:val="%1.%2"/>
      <w:lvlJc w:val="left"/>
      <w:pPr>
        <w:ind w:left="820" w:hanging="720"/>
      </w:pPr>
      <w:rPr>
        <w:rFonts w:hint="default"/>
      </w:rPr>
    </w:lvl>
    <w:lvl w:ilvl="2">
      <w:start w:val="1"/>
      <w:numFmt w:val="decimal"/>
      <w:lvlText w:val="%1.%2.%3."/>
      <w:lvlJc w:val="left"/>
      <w:pPr>
        <w:ind w:left="820" w:hanging="720"/>
      </w:pPr>
      <w:rPr>
        <w:rFonts w:asciiTheme="minorHAnsi" w:hAnsiTheme="minorHAnsi" w:cstheme="minorHAnsi" w:hint="default"/>
        <w:b w:val="0"/>
        <w:bCs w:val="0"/>
        <w:spacing w:val="-2"/>
        <w:w w:val="99"/>
        <w:sz w:val="20"/>
        <w:szCs w:val="20"/>
      </w:rPr>
    </w:lvl>
    <w:lvl w:ilvl="3">
      <w:numFmt w:val="bullet"/>
      <w:lvlText w:val="•"/>
      <w:lvlJc w:val="left"/>
      <w:pPr>
        <w:ind w:left="2530" w:hanging="720"/>
      </w:pPr>
      <w:rPr>
        <w:rFonts w:hint="default"/>
      </w:rPr>
    </w:lvl>
    <w:lvl w:ilvl="4">
      <w:numFmt w:val="bullet"/>
      <w:lvlText w:val="•"/>
      <w:lvlJc w:val="left"/>
      <w:pPr>
        <w:ind w:left="3100" w:hanging="720"/>
      </w:pPr>
      <w:rPr>
        <w:rFonts w:hint="default"/>
      </w:rPr>
    </w:lvl>
    <w:lvl w:ilvl="5">
      <w:numFmt w:val="bullet"/>
      <w:lvlText w:val="•"/>
      <w:lvlJc w:val="left"/>
      <w:pPr>
        <w:ind w:left="3671" w:hanging="720"/>
      </w:pPr>
      <w:rPr>
        <w:rFonts w:hint="default"/>
      </w:rPr>
    </w:lvl>
    <w:lvl w:ilvl="6">
      <w:numFmt w:val="bullet"/>
      <w:lvlText w:val="•"/>
      <w:lvlJc w:val="left"/>
      <w:pPr>
        <w:ind w:left="4241" w:hanging="720"/>
      </w:pPr>
      <w:rPr>
        <w:rFonts w:hint="default"/>
      </w:rPr>
    </w:lvl>
    <w:lvl w:ilvl="7">
      <w:numFmt w:val="bullet"/>
      <w:lvlText w:val="•"/>
      <w:lvlJc w:val="left"/>
      <w:pPr>
        <w:ind w:left="4811" w:hanging="720"/>
      </w:pPr>
      <w:rPr>
        <w:rFonts w:hint="default"/>
      </w:rPr>
    </w:lvl>
    <w:lvl w:ilvl="8">
      <w:numFmt w:val="bullet"/>
      <w:lvlText w:val="•"/>
      <w:lvlJc w:val="left"/>
      <w:pPr>
        <w:ind w:left="5381" w:hanging="720"/>
      </w:pPr>
      <w:rPr>
        <w:rFonts w:hint="default"/>
      </w:rPr>
    </w:lvl>
  </w:abstractNum>
  <w:abstractNum w:abstractNumId="41" w15:restartNumberingAfterBreak="0">
    <w:nsid w:val="73746D59"/>
    <w:multiLevelType w:val="multilevel"/>
    <w:tmpl w:val="627234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AB313A"/>
    <w:multiLevelType w:val="hybridMultilevel"/>
    <w:tmpl w:val="87DEF58C"/>
    <w:lvl w:ilvl="0" w:tplc="B38C779C">
      <w:numFmt w:val="bullet"/>
      <w:lvlText w:val=""/>
      <w:lvlJc w:val="left"/>
      <w:pPr>
        <w:ind w:left="820" w:hanging="360"/>
      </w:pPr>
      <w:rPr>
        <w:rFonts w:ascii="Symbol" w:eastAsia="Symbol" w:hAnsi="Symbol" w:cs="Symbol" w:hint="default"/>
        <w:w w:val="100"/>
        <w:sz w:val="22"/>
        <w:szCs w:val="22"/>
        <w:lang w:val="en-US" w:eastAsia="en-US" w:bidi="en-US"/>
      </w:rPr>
    </w:lvl>
    <w:lvl w:ilvl="1" w:tplc="391C3876">
      <w:start w:val="1"/>
      <w:numFmt w:val="decimal"/>
      <w:lvlText w:val="(%2)"/>
      <w:lvlJc w:val="left"/>
      <w:pPr>
        <w:ind w:left="1180" w:hanging="360"/>
      </w:pPr>
      <w:rPr>
        <w:rFonts w:ascii="Calibri" w:eastAsia="Calibri" w:hAnsi="Calibri" w:cs="Calibri" w:hint="default"/>
        <w:spacing w:val="-1"/>
        <w:w w:val="100"/>
        <w:sz w:val="22"/>
        <w:szCs w:val="22"/>
        <w:lang w:val="en-US" w:eastAsia="en-US" w:bidi="en-US"/>
      </w:rPr>
    </w:lvl>
    <w:lvl w:ilvl="2" w:tplc="6DC6A550">
      <w:numFmt w:val="bullet"/>
      <w:lvlText w:val="•"/>
      <w:lvlJc w:val="left"/>
      <w:pPr>
        <w:ind w:left="2113" w:hanging="360"/>
      </w:pPr>
      <w:rPr>
        <w:rFonts w:hint="default"/>
        <w:lang w:val="en-US" w:eastAsia="en-US" w:bidi="en-US"/>
      </w:rPr>
    </w:lvl>
    <w:lvl w:ilvl="3" w:tplc="96C46F38">
      <w:numFmt w:val="bullet"/>
      <w:lvlText w:val="•"/>
      <w:lvlJc w:val="left"/>
      <w:pPr>
        <w:ind w:left="3046" w:hanging="360"/>
      </w:pPr>
      <w:rPr>
        <w:rFonts w:hint="default"/>
        <w:lang w:val="en-US" w:eastAsia="en-US" w:bidi="en-US"/>
      </w:rPr>
    </w:lvl>
    <w:lvl w:ilvl="4" w:tplc="2A6CECDA">
      <w:numFmt w:val="bullet"/>
      <w:lvlText w:val="•"/>
      <w:lvlJc w:val="left"/>
      <w:pPr>
        <w:ind w:left="3980" w:hanging="360"/>
      </w:pPr>
      <w:rPr>
        <w:rFonts w:hint="default"/>
        <w:lang w:val="en-US" w:eastAsia="en-US" w:bidi="en-US"/>
      </w:rPr>
    </w:lvl>
    <w:lvl w:ilvl="5" w:tplc="FF889A24">
      <w:numFmt w:val="bullet"/>
      <w:lvlText w:val="•"/>
      <w:lvlJc w:val="left"/>
      <w:pPr>
        <w:ind w:left="4913" w:hanging="360"/>
      </w:pPr>
      <w:rPr>
        <w:rFonts w:hint="default"/>
        <w:lang w:val="en-US" w:eastAsia="en-US" w:bidi="en-US"/>
      </w:rPr>
    </w:lvl>
    <w:lvl w:ilvl="6" w:tplc="E70AFB7C">
      <w:numFmt w:val="bullet"/>
      <w:lvlText w:val="•"/>
      <w:lvlJc w:val="left"/>
      <w:pPr>
        <w:ind w:left="5846" w:hanging="360"/>
      </w:pPr>
      <w:rPr>
        <w:rFonts w:hint="default"/>
        <w:lang w:val="en-US" w:eastAsia="en-US" w:bidi="en-US"/>
      </w:rPr>
    </w:lvl>
    <w:lvl w:ilvl="7" w:tplc="5426BCA0">
      <w:numFmt w:val="bullet"/>
      <w:lvlText w:val="•"/>
      <w:lvlJc w:val="left"/>
      <w:pPr>
        <w:ind w:left="6780" w:hanging="360"/>
      </w:pPr>
      <w:rPr>
        <w:rFonts w:hint="default"/>
        <w:lang w:val="en-US" w:eastAsia="en-US" w:bidi="en-US"/>
      </w:rPr>
    </w:lvl>
    <w:lvl w:ilvl="8" w:tplc="BBFE9108">
      <w:numFmt w:val="bullet"/>
      <w:lvlText w:val="•"/>
      <w:lvlJc w:val="left"/>
      <w:pPr>
        <w:ind w:left="7713" w:hanging="360"/>
      </w:pPr>
      <w:rPr>
        <w:rFonts w:hint="default"/>
        <w:lang w:val="en-US" w:eastAsia="en-US" w:bidi="en-US"/>
      </w:rPr>
    </w:lvl>
  </w:abstractNum>
  <w:num w:numId="1">
    <w:abstractNumId w:val="42"/>
  </w:num>
  <w:num w:numId="2">
    <w:abstractNumId w:val="0"/>
  </w:num>
  <w:num w:numId="3">
    <w:abstractNumId w:val="28"/>
  </w:num>
  <w:num w:numId="4">
    <w:abstractNumId w:val="27"/>
  </w:num>
  <w:num w:numId="5">
    <w:abstractNumId w:val="26"/>
  </w:num>
  <w:num w:numId="6">
    <w:abstractNumId w:val="25"/>
  </w:num>
  <w:num w:numId="7">
    <w:abstractNumId w:val="24"/>
  </w:num>
  <w:num w:numId="8">
    <w:abstractNumId w:val="23"/>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41"/>
  </w:num>
  <w:num w:numId="32">
    <w:abstractNumId w:val="39"/>
  </w:num>
  <w:num w:numId="33">
    <w:abstractNumId w:val="33"/>
  </w:num>
  <w:num w:numId="34">
    <w:abstractNumId w:val="34"/>
  </w:num>
  <w:num w:numId="35">
    <w:abstractNumId w:val="30"/>
  </w:num>
  <w:num w:numId="36">
    <w:abstractNumId w:val="38"/>
  </w:num>
  <w:num w:numId="37">
    <w:abstractNumId w:val="37"/>
  </w:num>
  <w:num w:numId="38">
    <w:abstractNumId w:val="35"/>
  </w:num>
  <w:num w:numId="39">
    <w:abstractNumId w:val="32"/>
  </w:num>
  <w:num w:numId="40">
    <w:abstractNumId w:val="31"/>
  </w:num>
  <w:num w:numId="41">
    <w:abstractNumId w:val="40"/>
  </w:num>
  <w:num w:numId="42">
    <w:abstractNumId w:val="2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CD"/>
    <w:rsid w:val="00001FD8"/>
    <w:rsid w:val="000050CE"/>
    <w:rsid w:val="00011C40"/>
    <w:rsid w:val="00015A82"/>
    <w:rsid w:val="00036B8C"/>
    <w:rsid w:val="0003778C"/>
    <w:rsid w:val="000521B5"/>
    <w:rsid w:val="00057981"/>
    <w:rsid w:val="0009555B"/>
    <w:rsid w:val="000A40E3"/>
    <w:rsid w:val="000C0B89"/>
    <w:rsid w:val="000E27A5"/>
    <w:rsid w:val="000E7A08"/>
    <w:rsid w:val="00113EFF"/>
    <w:rsid w:val="00133DE8"/>
    <w:rsid w:val="001345E0"/>
    <w:rsid w:val="00151B2C"/>
    <w:rsid w:val="00153B3A"/>
    <w:rsid w:val="001703BC"/>
    <w:rsid w:val="0017387E"/>
    <w:rsid w:val="001779A0"/>
    <w:rsid w:val="0018185A"/>
    <w:rsid w:val="001A1E68"/>
    <w:rsid w:val="001A7ECD"/>
    <w:rsid w:val="001F61F8"/>
    <w:rsid w:val="002001A7"/>
    <w:rsid w:val="00206A38"/>
    <w:rsid w:val="00215B5E"/>
    <w:rsid w:val="00217C2F"/>
    <w:rsid w:val="002221B1"/>
    <w:rsid w:val="00237A41"/>
    <w:rsid w:val="002439D8"/>
    <w:rsid w:val="002446A2"/>
    <w:rsid w:val="00267E75"/>
    <w:rsid w:val="00275DD7"/>
    <w:rsid w:val="002823AD"/>
    <w:rsid w:val="00284739"/>
    <w:rsid w:val="002A38BF"/>
    <w:rsid w:val="002D1F2B"/>
    <w:rsid w:val="002D62C5"/>
    <w:rsid w:val="002E3FF5"/>
    <w:rsid w:val="002E485A"/>
    <w:rsid w:val="002F08F9"/>
    <w:rsid w:val="002F6807"/>
    <w:rsid w:val="00322EF5"/>
    <w:rsid w:val="00334331"/>
    <w:rsid w:val="00340D99"/>
    <w:rsid w:val="003732E6"/>
    <w:rsid w:val="003936F9"/>
    <w:rsid w:val="003946C2"/>
    <w:rsid w:val="00396D73"/>
    <w:rsid w:val="003C4C2D"/>
    <w:rsid w:val="003C7EFA"/>
    <w:rsid w:val="00413293"/>
    <w:rsid w:val="00413AE1"/>
    <w:rsid w:val="00436876"/>
    <w:rsid w:val="00440643"/>
    <w:rsid w:val="00445C7A"/>
    <w:rsid w:val="004547A4"/>
    <w:rsid w:val="00456970"/>
    <w:rsid w:val="004819CD"/>
    <w:rsid w:val="004C7CBB"/>
    <w:rsid w:val="004F0390"/>
    <w:rsid w:val="0050534C"/>
    <w:rsid w:val="005127C4"/>
    <w:rsid w:val="00513E09"/>
    <w:rsid w:val="00520677"/>
    <w:rsid w:val="0052515A"/>
    <w:rsid w:val="0052637E"/>
    <w:rsid w:val="00535801"/>
    <w:rsid w:val="00553B6D"/>
    <w:rsid w:val="00555306"/>
    <w:rsid w:val="0055558E"/>
    <w:rsid w:val="005611FD"/>
    <w:rsid w:val="005906D4"/>
    <w:rsid w:val="00593197"/>
    <w:rsid w:val="005A4AAF"/>
    <w:rsid w:val="005B3392"/>
    <w:rsid w:val="005C76EF"/>
    <w:rsid w:val="005D380A"/>
    <w:rsid w:val="005E1EE0"/>
    <w:rsid w:val="005E3105"/>
    <w:rsid w:val="005F0CEA"/>
    <w:rsid w:val="005F730E"/>
    <w:rsid w:val="00606EA6"/>
    <w:rsid w:val="00623961"/>
    <w:rsid w:val="00646EFD"/>
    <w:rsid w:val="00650AA5"/>
    <w:rsid w:val="006514D8"/>
    <w:rsid w:val="00686DE6"/>
    <w:rsid w:val="00692E34"/>
    <w:rsid w:val="00694C6F"/>
    <w:rsid w:val="006A2758"/>
    <w:rsid w:val="006A4396"/>
    <w:rsid w:val="006B14B3"/>
    <w:rsid w:val="006C4BEE"/>
    <w:rsid w:val="006D143E"/>
    <w:rsid w:val="006D2F55"/>
    <w:rsid w:val="006D75FD"/>
    <w:rsid w:val="007026E2"/>
    <w:rsid w:val="0070775C"/>
    <w:rsid w:val="00707875"/>
    <w:rsid w:val="0071618A"/>
    <w:rsid w:val="00726471"/>
    <w:rsid w:val="0073489F"/>
    <w:rsid w:val="0074407D"/>
    <w:rsid w:val="00754070"/>
    <w:rsid w:val="00755781"/>
    <w:rsid w:val="0076263C"/>
    <w:rsid w:val="007870D7"/>
    <w:rsid w:val="00787B5E"/>
    <w:rsid w:val="007A3171"/>
    <w:rsid w:val="007C1023"/>
    <w:rsid w:val="007D683A"/>
    <w:rsid w:val="007E42C7"/>
    <w:rsid w:val="007F3753"/>
    <w:rsid w:val="007F6393"/>
    <w:rsid w:val="00802B7D"/>
    <w:rsid w:val="0080359F"/>
    <w:rsid w:val="00834A3D"/>
    <w:rsid w:val="00841020"/>
    <w:rsid w:val="00843EF7"/>
    <w:rsid w:val="00847B7E"/>
    <w:rsid w:val="00873F4D"/>
    <w:rsid w:val="00881859"/>
    <w:rsid w:val="00886123"/>
    <w:rsid w:val="0089310A"/>
    <w:rsid w:val="00897963"/>
    <w:rsid w:val="008E1144"/>
    <w:rsid w:val="008E3FF5"/>
    <w:rsid w:val="00915938"/>
    <w:rsid w:val="0092129E"/>
    <w:rsid w:val="009329B8"/>
    <w:rsid w:val="00933695"/>
    <w:rsid w:val="00937E75"/>
    <w:rsid w:val="0094202E"/>
    <w:rsid w:val="00956058"/>
    <w:rsid w:val="00963845"/>
    <w:rsid w:val="00982B1B"/>
    <w:rsid w:val="00985AA6"/>
    <w:rsid w:val="009A2BBF"/>
    <w:rsid w:val="009A45C9"/>
    <w:rsid w:val="009B1336"/>
    <w:rsid w:val="009B5E02"/>
    <w:rsid w:val="009C2415"/>
    <w:rsid w:val="009C6BBE"/>
    <w:rsid w:val="009C6EBF"/>
    <w:rsid w:val="009D29B4"/>
    <w:rsid w:val="009D6B51"/>
    <w:rsid w:val="009E1613"/>
    <w:rsid w:val="009E5EF6"/>
    <w:rsid w:val="009E6E60"/>
    <w:rsid w:val="00A04780"/>
    <w:rsid w:val="00A11E0D"/>
    <w:rsid w:val="00A14BB6"/>
    <w:rsid w:val="00A4685B"/>
    <w:rsid w:val="00A51689"/>
    <w:rsid w:val="00A873C0"/>
    <w:rsid w:val="00AB79A4"/>
    <w:rsid w:val="00B07993"/>
    <w:rsid w:val="00B33E15"/>
    <w:rsid w:val="00B347EC"/>
    <w:rsid w:val="00B519FB"/>
    <w:rsid w:val="00B51C83"/>
    <w:rsid w:val="00B7756D"/>
    <w:rsid w:val="00B819D8"/>
    <w:rsid w:val="00B81DF7"/>
    <w:rsid w:val="00B83233"/>
    <w:rsid w:val="00BB08D3"/>
    <w:rsid w:val="00BC7F0F"/>
    <w:rsid w:val="00BD0849"/>
    <w:rsid w:val="00BE5F72"/>
    <w:rsid w:val="00BF6B0F"/>
    <w:rsid w:val="00C07298"/>
    <w:rsid w:val="00C1020E"/>
    <w:rsid w:val="00C14C3C"/>
    <w:rsid w:val="00C35E5D"/>
    <w:rsid w:val="00C40934"/>
    <w:rsid w:val="00C445D1"/>
    <w:rsid w:val="00C4502F"/>
    <w:rsid w:val="00C46807"/>
    <w:rsid w:val="00C76FB3"/>
    <w:rsid w:val="00C839C8"/>
    <w:rsid w:val="00C84700"/>
    <w:rsid w:val="00C87263"/>
    <w:rsid w:val="00C90340"/>
    <w:rsid w:val="00CB27B3"/>
    <w:rsid w:val="00CC44D6"/>
    <w:rsid w:val="00CC5437"/>
    <w:rsid w:val="00CE214A"/>
    <w:rsid w:val="00CE21B2"/>
    <w:rsid w:val="00CF294A"/>
    <w:rsid w:val="00D1528E"/>
    <w:rsid w:val="00D41DB5"/>
    <w:rsid w:val="00D46C10"/>
    <w:rsid w:val="00D67E67"/>
    <w:rsid w:val="00D92258"/>
    <w:rsid w:val="00DA0264"/>
    <w:rsid w:val="00DB3C24"/>
    <w:rsid w:val="00DC2BFA"/>
    <w:rsid w:val="00DC5D96"/>
    <w:rsid w:val="00DD4262"/>
    <w:rsid w:val="00DE1E40"/>
    <w:rsid w:val="00DE2DF4"/>
    <w:rsid w:val="00DE5141"/>
    <w:rsid w:val="00DF5253"/>
    <w:rsid w:val="00E042A8"/>
    <w:rsid w:val="00E34972"/>
    <w:rsid w:val="00E357B3"/>
    <w:rsid w:val="00E424EE"/>
    <w:rsid w:val="00E50820"/>
    <w:rsid w:val="00E529F1"/>
    <w:rsid w:val="00E6056B"/>
    <w:rsid w:val="00E61283"/>
    <w:rsid w:val="00E61B4D"/>
    <w:rsid w:val="00E62C6E"/>
    <w:rsid w:val="00E6470E"/>
    <w:rsid w:val="00E70887"/>
    <w:rsid w:val="00E773E0"/>
    <w:rsid w:val="00E933E4"/>
    <w:rsid w:val="00EA3612"/>
    <w:rsid w:val="00EC70B0"/>
    <w:rsid w:val="00ED3FF9"/>
    <w:rsid w:val="00EE14B8"/>
    <w:rsid w:val="00EE2F85"/>
    <w:rsid w:val="00EE44D5"/>
    <w:rsid w:val="00F07957"/>
    <w:rsid w:val="00F31B53"/>
    <w:rsid w:val="00F40445"/>
    <w:rsid w:val="00F50BCA"/>
    <w:rsid w:val="00F60BFB"/>
    <w:rsid w:val="00F75CBB"/>
    <w:rsid w:val="00F96A0D"/>
    <w:rsid w:val="00FA13AB"/>
    <w:rsid w:val="00FA49CF"/>
    <w:rsid w:val="00FB54D5"/>
    <w:rsid w:val="00FD1028"/>
    <w:rsid w:val="00FD5751"/>
    <w:rsid w:val="00FE6BDE"/>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AD06EB"/>
  <w15:docId w15:val="{C2FE4B49-1416-452F-87BE-3846C462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3B6D"/>
    <w:pPr>
      <w:tabs>
        <w:tab w:val="center" w:pos="4680"/>
        <w:tab w:val="right" w:pos="9360"/>
      </w:tabs>
    </w:pPr>
  </w:style>
  <w:style w:type="character" w:customStyle="1" w:styleId="HeaderChar">
    <w:name w:val="Header Char"/>
    <w:basedOn w:val="DefaultParagraphFont"/>
    <w:link w:val="Header"/>
    <w:uiPriority w:val="99"/>
    <w:rsid w:val="00553B6D"/>
    <w:rPr>
      <w:rFonts w:ascii="Calibri" w:eastAsia="Calibri" w:hAnsi="Calibri" w:cs="Calibri"/>
      <w:lang w:bidi="en-US"/>
    </w:rPr>
  </w:style>
  <w:style w:type="paragraph" w:styleId="Footer">
    <w:name w:val="footer"/>
    <w:basedOn w:val="Normal"/>
    <w:link w:val="FooterChar"/>
    <w:uiPriority w:val="99"/>
    <w:unhideWhenUsed/>
    <w:rsid w:val="00553B6D"/>
    <w:pPr>
      <w:tabs>
        <w:tab w:val="center" w:pos="4680"/>
        <w:tab w:val="right" w:pos="9360"/>
      </w:tabs>
    </w:pPr>
  </w:style>
  <w:style w:type="character" w:customStyle="1" w:styleId="FooterChar">
    <w:name w:val="Footer Char"/>
    <w:basedOn w:val="DefaultParagraphFont"/>
    <w:link w:val="Footer"/>
    <w:uiPriority w:val="99"/>
    <w:rsid w:val="00553B6D"/>
    <w:rPr>
      <w:rFonts w:ascii="Calibri" w:eastAsia="Calibri" w:hAnsi="Calibri" w:cs="Calibri"/>
      <w:lang w:bidi="en-US"/>
    </w:rPr>
  </w:style>
  <w:style w:type="paragraph" w:styleId="BalloonText">
    <w:name w:val="Balloon Text"/>
    <w:basedOn w:val="Normal"/>
    <w:link w:val="BalloonTextChar"/>
    <w:uiPriority w:val="99"/>
    <w:semiHidden/>
    <w:unhideWhenUsed/>
    <w:rsid w:val="0028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3AD"/>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E61283"/>
    <w:rPr>
      <w:sz w:val="16"/>
      <w:szCs w:val="16"/>
    </w:rPr>
  </w:style>
  <w:style w:type="paragraph" w:styleId="CommentText">
    <w:name w:val="annotation text"/>
    <w:basedOn w:val="Normal"/>
    <w:link w:val="CommentTextChar"/>
    <w:uiPriority w:val="99"/>
    <w:semiHidden/>
    <w:unhideWhenUsed/>
    <w:rsid w:val="00E61283"/>
    <w:rPr>
      <w:sz w:val="20"/>
      <w:szCs w:val="20"/>
    </w:rPr>
  </w:style>
  <w:style w:type="character" w:customStyle="1" w:styleId="CommentTextChar">
    <w:name w:val="Comment Text Char"/>
    <w:basedOn w:val="DefaultParagraphFont"/>
    <w:link w:val="CommentText"/>
    <w:uiPriority w:val="99"/>
    <w:semiHidden/>
    <w:rsid w:val="00E6128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61283"/>
    <w:rPr>
      <w:b/>
      <w:bCs/>
    </w:rPr>
  </w:style>
  <w:style w:type="character" w:customStyle="1" w:styleId="CommentSubjectChar">
    <w:name w:val="Comment Subject Char"/>
    <w:basedOn w:val="CommentTextChar"/>
    <w:link w:val="CommentSubject"/>
    <w:uiPriority w:val="99"/>
    <w:semiHidden/>
    <w:rsid w:val="00E61283"/>
    <w:rPr>
      <w:rFonts w:ascii="Calibri" w:eastAsia="Calibri" w:hAnsi="Calibri" w:cs="Calibri"/>
      <w:b/>
      <w:bCs/>
      <w:sz w:val="20"/>
      <w:szCs w:val="20"/>
      <w:lang w:bidi="en-US"/>
    </w:rPr>
  </w:style>
  <w:style w:type="table" w:styleId="TableGrid">
    <w:name w:val="Table Grid"/>
    <w:basedOn w:val="TableNormal"/>
    <w:uiPriority w:val="39"/>
    <w:rsid w:val="00A14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11E0D"/>
    <w:rPr>
      <w:rFonts w:ascii="Calibri" w:eastAsia="Calibri" w:hAnsi="Calibri" w:cs="Calibri"/>
      <w:u w:val="single" w:color="000000"/>
      <w:lang w:bidi="en-US"/>
    </w:rPr>
  </w:style>
  <w:style w:type="paragraph" w:styleId="FootnoteText">
    <w:name w:val="footnote text"/>
    <w:basedOn w:val="Normal"/>
    <w:link w:val="FootnoteTextChar"/>
    <w:uiPriority w:val="99"/>
    <w:semiHidden/>
    <w:unhideWhenUsed/>
    <w:rsid w:val="008E3FF5"/>
    <w:rPr>
      <w:sz w:val="20"/>
      <w:szCs w:val="20"/>
    </w:rPr>
  </w:style>
  <w:style w:type="character" w:customStyle="1" w:styleId="FootnoteTextChar">
    <w:name w:val="Footnote Text Char"/>
    <w:basedOn w:val="DefaultParagraphFont"/>
    <w:link w:val="FootnoteText"/>
    <w:uiPriority w:val="99"/>
    <w:semiHidden/>
    <w:rsid w:val="008E3FF5"/>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8E3FF5"/>
    <w:rPr>
      <w:vertAlign w:val="superscript"/>
    </w:rPr>
  </w:style>
  <w:style w:type="character" w:styleId="Hyperlink">
    <w:name w:val="Hyperlink"/>
    <w:basedOn w:val="DefaultParagraphFont"/>
    <w:uiPriority w:val="99"/>
    <w:unhideWhenUsed/>
    <w:rsid w:val="008E3FF5"/>
    <w:rPr>
      <w:color w:val="0000FF"/>
      <w:u w:val="single"/>
    </w:rPr>
  </w:style>
  <w:style w:type="character" w:styleId="UnresolvedMention">
    <w:name w:val="Unresolved Mention"/>
    <w:basedOn w:val="DefaultParagraphFont"/>
    <w:uiPriority w:val="99"/>
    <w:semiHidden/>
    <w:unhideWhenUsed/>
    <w:rsid w:val="005B3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5264">
      <w:bodyDiv w:val="1"/>
      <w:marLeft w:val="0"/>
      <w:marRight w:val="0"/>
      <w:marTop w:val="0"/>
      <w:marBottom w:val="0"/>
      <w:divBdr>
        <w:top w:val="none" w:sz="0" w:space="0" w:color="auto"/>
        <w:left w:val="none" w:sz="0" w:space="0" w:color="auto"/>
        <w:bottom w:val="none" w:sz="0" w:space="0" w:color="auto"/>
        <w:right w:val="none" w:sz="0" w:space="0" w:color="auto"/>
      </w:divBdr>
    </w:div>
    <w:div w:id="417292695">
      <w:bodyDiv w:val="1"/>
      <w:marLeft w:val="0"/>
      <w:marRight w:val="0"/>
      <w:marTop w:val="0"/>
      <w:marBottom w:val="0"/>
      <w:divBdr>
        <w:top w:val="none" w:sz="0" w:space="0" w:color="auto"/>
        <w:left w:val="none" w:sz="0" w:space="0" w:color="auto"/>
        <w:bottom w:val="none" w:sz="0" w:space="0" w:color="auto"/>
        <w:right w:val="none" w:sz="0" w:space="0" w:color="auto"/>
      </w:divBdr>
    </w:div>
    <w:div w:id="929387906">
      <w:bodyDiv w:val="1"/>
      <w:marLeft w:val="0"/>
      <w:marRight w:val="0"/>
      <w:marTop w:val="0"/>
      <w:marBottom w:val="0"/>
      <w:divBdr>
        <w:top w:val="none" w:sz="0" w:space="0" w:color="auto"/>
        <w:left w:val="none" w:sz="0" w:space="0" w:color="auto"/>
        <w:bottom w:val="none" w:sz="0" w:space="0" w:color="auto"/>
        <w:right w:val="none" w:sz="0" w:space="0" w:color="auto"/>
      </w:divBdr>
    </w:div>
    <w:div w:id="143840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pconstituency.org/assets/ipc-position-papers/2019/2019_06June_13%20IPC%20Comment%20re%20Evolving%20MSM.pdf" TargetMode="External"/><Relationship Id="rId4" Type="http://schemas.openxmlformats.org/officeDocument/2006/relationships/settings" Target="settings.xml"/><Relationship Id="rId9" Type="http://schemas.openxmlformats.org/officeDocument/2006/relationships/hyperlink" Target="https://ec.europa.eu/digital-single-market/en/news/proposal-directive-measures-high-common-level-cybersecurity-across-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B748-EFB5-4E16-9DA1-7100A691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Seed IP Law Group</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Seed IP Law Group</dc:creator>
  <cp:lastModifiedBy>King, Brian</cp:lastModifiedBy>
  <cp:revision>7</cp:revision>
  <cp:lastPrinted>2020-02-25T04:24:00Z</cp:lastPrinted>
  <dcterms:created xsi:type="dcterms:W3CDTF">2021-01-23T02:27:00Z</dcterms:created>
  <dcterms:modified xsi:type="dcterms:W3CDTF">2021-01-29T20:16:00Z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for Office 365</vt:lpwstr>
  </property>
  <property fmtid="{D5CDD505-2E9C-101B-9397-08002B2CF9AE}" pid="4" name="LastSaved">
    <vt:filetime>2020-01-23T00:00:00Z</vt:filetime>
  </property>
</Properties>
</file>