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44" w:rsidRPr="008E5FA9" w:rsidRDefault="004B3B11" w:rsidP="0094516D">
      <w:pPr>
        <w:jc w:val="center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 xml:space="preserve"> </w:t>
      </w:r>
      <w:r w:rsidR="00305044" w:rsidRPr="008E5FA9">
        <w:rPr>
          <w:rFonts w:ascii="Trebuchet MS" w:hAnsi="Trebuchet MS"/>
          <w:b/>
          <w:sz w:val="24"/>
          <w:szCs w:val="24"/>
          <w:u w:val="single"/>
        </w:rPr>
        <w:t xml:space="preserve">Comments – </w:t>
      </w:r>
      <w:r w:rsidR="00BD041E" w:rsidRPr="00BD041E">
        <w:rPr>
          <w:rFonts w:ascii="Trebuchet MS" w:hAnsi="Trebuchet MS"/>
          <w:b/>
          <w:sz w:val="24"/>
          <w:szCs w:val="24"/>
          <w:u w:val="single"/>
        </w:rPr>
        <w:t>Draft - Framework for Registry Operator to Respond to Security Threats</w:t>
      </w:r>
    </w:p>
    <w:p w:rsidR="00305044" w:rsidRDefault="002D1F1A" w:rsidP="00305044">
      <w:pPr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I submit the following comments on the above subject.</w:t>
      </w:r>
    </w:p>
    <w:p w:rsidR="005E014C" w:rsidRPr="005E014C" w:rsidRDefault="00D6231F" w:rsidP="005230C7">
      <w:pPr>
        <w:jc w:val="both"/>
        <w:rPr>
          <w:rFonts w:ascii="Trebuchet MS" w:hAnsi="Trebuchet MS"/>
          <w:sz w:val="21"/>
        </w:rPr>
      </w:pPr>
      <w:r w:rsidRPr="002F20D6">
        <w:rPr>
          <w:rFonts w:ascii="Trebuchet MS" w:hAnsi="Trebuchet MS"/>
          <w:b/>
          <w:sz w:val="21"/>
        </w:rPr>
        <w:t xml:space="preserve">Refer: Page No.2: </w:t>
      </w:r>
      <w:r w:rsidR="00322F99">
        <w:rPr>
          <w:rFonts w:ascii="Trebuchet MS" w:hAnsi="Trebuchet MS"/>
          <w:b/>
          <w:sz w:val="21"/>
        </w:rPr>
        <w:t xml:space="preserve">Redirect name services for the domain name:  </w:t>
      </w:r>
      <w:r w:rsidR="005E014C">
        <w:rPr>
          <w:rFonts w:ascii="Trebuchet MS" w:hAnsi="Trebuchet MS"/>
          <w:sz w:val="21"/>
        </w:rPr>
        <w:t xml:space="preserve">The RO may adopt this process by aligning with CERT or any law enforcement agency. </w:t>
      </w:r>
      <w:r w:rsidR="00032505" w:rsidRPr="00A645ED">
        <w:rPr>
          <w:rFonts w:ascii="Trebuchet MS" w:hAnsi="Trebuchet MS"/>
          <w:sz w:val="21"/>
        </w:rPr>
        <w:t>Prior</w:t>
      </w:r>
      <w:r w:rsidR="005E014C" w:rsidRPr="00A645ED">
        <w:rPr>
          <w:rFonts w:ascii="Trebuchet MS" w:hAnsi="Trebuchet MS"/>
          <w:sz w:val="21"/>
        </w:rPr>
        <w:t xml:space="preserve"> permission from LEA </w:t>
      </w:r>
      <w:r w:rsidR="00F212BC">
        <w:rPr>
          <w:rFonts w:ascii="Trebuchet MS" w:hAnsi="Trebuchet MS"/>
          <w:sz w:val="21"/>
        </w:rPr>
        <w:t xml:space="preserve">(Law Enforcement Agency) </w:t>
      </w:r>
      <w:r w:rsidR="005E014C" w:rsidRPr="00A645ED">
        <w:rPr>
          <w:rFonts w:ascii="Trebuchet MS" w:hAnsi="Trebuchet MS"/>
          <w:sz w:val="21"/>
        </w:rPr>
        <w:t>or CERT will provide safety</w:t>
      </w:r>
      <w:r w:rsidR="00032505">
        <w:rPr>
          <w:rFonts w:ascii="Trebuchet MS" w:hAnsi="Trebuchet MS"/>
          <w:sz w:val="21"/>
        </w:rPr>
        <w:t xml:space="preserve"> for taking actions</w:t>
      </w:r>
      <w:r w:rsidR="005E014C">
        <w:rPr>
          <w:rFonts w:ascii="Trebuchet MS" w:hAnsi="Trebuchet MS"/>
          <w:sz w:val="21"/>
        </w:rPr>
        <w:t>.</w:t>
      </w:r>
      <w:r w:rsidR="005E014C">
        <w:rPr>
          <w:rFonts w:ascii="Trebuchet MS" w:hAnsi="Trebuchet MS"/>
          <w:b/>
          <w:sz w:val="21"/>
        </w:rPr>
        <w:t xml:space="preserve"> </w:t>
      </w:r>
    </w:p>
    <w:p w:rsidR="00944CA5" w:rsidRPr="005230C7" w:rsidRDefault="005230C7" w:rsidP="005230C7">
      <w:pPr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b/>
          <w:sz w:val="21"/>
        </w:rPr>
        <w:t xml:space="preserve">Refer: </w:t>
      </w:r>
      <w:r w:rsidR="000A6ACB">
        <w:rPr>
          <w:rFonts w:ascii="Trebuchet MS" w:hAnsi="Trebuchet MS"/>
          <w:b/>
          <w:sz w:val="21"/>
        </w:rPr>
        <w:t xml:space="preserve"> </w:t>
      </w:r>
      <w:r w:rsidR="00D15C08" w:rsidRPr="005230C7">
        <w:rPr>
          <w:rFonts w:ascii="Trebuchet MS" w:hAnsi="Trebuchet MS"/>
          <w:b/>
          <w:sz w:val="21"/>
        </w:rPr>
        <w:t>Page No.3:  Take no action</w:t>
      </w:r>
      <w:r w:rsidR="00D15C08" w:rsidRPr="005230C7">
        <w:rPr>
          <w:rFonts w:ascii="Trebuchet MS" w:hAnsi="Trebuchet MS"/>
          <w:sz w:val="21"/>
        </w:rPr>
        <w:t xml:space="preserve">:  </w:t>
      </w:r>
      <w:r w:rsidR="00DB44DE" w:rsidRPr="005230C7">
        <w:rPr>
          <w:rFonts w:ascii="Trebuchet MS" w:hAnsi="Trebuchet MS"/>
          <w:sz w:val="21"/>
        </w:rPr>
        <w:t>It is submitted that t</w:t>
      </w:r>
      <w:r w:rsidR="00D15C08" w:rsidRPr="005230C7">
        <w:rPr>
          <w:rFonts w:ascii="Trebuchet MS" w:hAnsi="Trebuchet MS"/>
          <w:sz w:val="21"/>
        </w:rPr>
        <w:t xml:space="preserve">his may not be a </w:t>
      </w:r>
      <w:r w:rsidR="00A7135A" w:rsidRPr="005230C7">
        <w:rPr>
          <w:rFonts w:ascii="Trebuchet MS" w:hAnsi="Trebuchet MS"/>
          <w:sz w:val="21"/>
        </w:rPr>
        <w:t>right</w:t>
      </w:r>
      <w:r w:rsidR="00D15C08" w:rsidRPr="005230C7">
        <w:rPr>
          <w:rFonts w:ascii="Trebuchet MS" w:hAnsi="Trebuchet MS"/>
          <w:sz w:val="21"/>
        </w:rPr>
        <w:t xml:space="preserve"> approach.  </w:t>
      </w:r>
      <w:r w:rsidR="00DB44DE" w:rsidRPr="005230C7">
        <w:rPr>
          <w:rFonts w:ascii="Trebuchet MS" w:hAnsi="Trebuchet MS"/>
          <w:sz w:val="21"/>
        </w:rPr>
        <w:t>It was mentioned that “</w:t>
      </w:r>
      <w:r w:rsidR="00A7135A" w:rsidRPr="005230C7">
        <w:rPr>
          <w:rFonts w:ascii="Trebuchet MS" w:hAnsi="Trebuchet MS"/>
          <w:i/>
          <w:sz w:val="21"/>
          <w:u w:val="single"/>
        </w:rPr>
        <w:t>RO may reach the conclusion that a referred matter does not constitute a security threat or that the consequences of action outweigh the threat itself</w:t>
      </w:r>
      <w:r w:rsidR="00DB44DE" w:rsidRPr="005230C7">
        <w:rPr>
          <w:rFonts w:ascii="Trebuchet MS" w:hAnsi="Trebuchet MS"/>
          <w:sz w:val="21"/>
        </w:rPr>
        <w:t>”</w:t>
      </w:r>
      <w:r w:rsidR="00D15C08" w:rsidRPr="005230C7">
        <w:rPr>
          <w:rFonts w:ascii="Trebuchet MS" w:hAnsi="Trebuchet MS"/>
          <w:sz w:val="21"/>
        </w:rPr>
        <w:t xml:space="preserve">.  </w:t>
      </w:r>
      <w:r w:rsidR="00DB44DE" w:rsidRPr="005230C7">
        <w:rPr>
          <w:rFonts w:ascii="Trebuchet MS" w:hAnsi="Trebuchet MS"/>
          <w:sz w:val="21"/>
        </w:rPr>
        <w:t xml:space="preserve"> </w:t>
      </w:r>
    </w:p>
    <w:p w:rsidR="005230C7" w:rsidRDefault="00626EAE" w:rsidP="005230C7">
      <w:pPr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Th</w:t>
      </w:r>
      <w:r w:rsidR="00944CA5" w:rsidRPr="005230C7">
        <w:rPr>
          <w:rFonts w:ascii="Trebuchet MS" w:hAnsi="Trebuchet MS"/>
          <w:sz w:val="21"/>
        </w:rPr>
        <w:t xml:space="preserve">e first portion of the underlined sentence </w:t>
      </w:r>
      <w:r w:rsidR="003822E2">
        <w:rPr>
          <w:rFonts w:ascii="Trebuchet MS" w:hAnsi="Trebuchet MS"/>
          <w:sz w:val="21"/>
        </w:rPr>
        <w:t xml:space="preserve">says that </w:t>
      </w:r>
      <w:r>
        <w:rPr>
          <w:rFonts w:ascii="Trebuchet MS" w:hAnsi="Trebuchet MS"/>
          <w:sz w:val="21"/>
        </w:rPr>
        <w:t>“</w:t>
      </w:r>
      <w:r w:rsidR="003822E2" w:rsidRPr="00626EAE">
        <w:rPr>
          <w:rFonts w:ascii="Trebuchet MS" w:hAnsi="Trebuchet MS"/>
          <w:i/>
          <w:sz w:val="21"/>
        </w:rPr>
        <w:t>RO may reach the conclusion that a referred matter does not constitute a security threat</w:t>
      </w:r>
      <w:r>
        <w:rPr>
          <w:rFonts w:ascii="Trebuchet MS" w:hAnsi="Trebuchet MS"/>
          <w:i/>
          <w:sz w:val="21"/>
        </w:rPr>
        <w:t>”</w:t>
      </w:r>
      <w:r w:rsidR="007831EC">
        <w:rPr>
          <w:rFonts w:ascii="Trebuchet MS" w:hAnsi="Trebuchet MS"/>
          <w:i/>
          <w:sz w:val="21"/>
        </w:rPr>
        <w:t xml:space="preserve">.  </w:t>
      </w:r>
      <w:r w:rsidR="003822E2" w:rsidRPr="00626EAE">
        <w:rPr>
          <w:rFonts w:ascii="Trebuchet MS" w:hAnsi="Trebuchet MS"/>
          <w:sz w:val="21"/>
        </w:rPr>
        <w:t xml:space="preserve"> </w:t>
      </w:r>
      <w:r w:rsidR="007831EC">
        <w:rPr>
          <w:rFonts w:ascii="Trebuchet MS" w:hAnsi="Trebuchet MS"/>
          <w:sz w:val="21"/>
        </w:rPr>
        <w:t>I</w:t>
      </w:r>
      <w:r w:rsidR="00944CA5" w:rsidRPr="005230C7">
        <w:rPr>
          <w:rFonts w:ascii="Trebuchet MS" w:hAnsi="Trebuchet MS"/>
          <w:sz w:val="21"/>
        </w:rPr>
        <w:t xml:space="preserve">t is submitted that </w:t>
      </w:r>
      <w:r w:rsidR="00D15C08" w:rsidRPr="005230C7">
        <w:rPr>
          <w:rFonts w:ascii="Trebuchet MS" w:hAnsi="Trebuchet MS"/>
          <w:sz w:val="21"/>
        </w:rPr>
        <w:t>RO may not decide wh</w:t>
      </w:r>
      <w:r w:rsidR="00DB44DE" w:rsidRPr="005230C7">
        <w:rPr>
          <w:rFonts w:ascii="Trebuchet MS" w:hAnsi="Trebuchet MS"/>
          <w:sz w:val="21"/>
        </w:rPr>
        <w:t>ether</w:t>
      </w:r>
      <w:r w:rsidR="00E46FF8" w:rsidRPr="005230C7">
        <w:rPr>
          <w:rFonts w:ascii="Trebuchet MS" w:hAnsi="Trebuchet MS"/>
          <w:sz w:val="21"/>
        </w:rPr>
        <w:t xml:space="preserve"> a referred matter is a s</w:t>
      </w:r>
      <w:r w:rsidR="00D15C08" w:rsidRPr="005230C7">
        <w:rPr>
          <w:rFonts w:ascii="Trebuchet MS" w:hAnsi="Trebuchet MS"/>
          <w:sz w:val="21"/>
        </w:rPr>
        <w:t xml:space="preserve">ecurity threat or not. </w:t>
      </w:r>
      <w:r w:rsidR="00DB44DE" w:rsidRPr="005230C7">
        <w:rPr>
          <w:rFonts w:ascii="Trebuchet MS" w:hAnsi="Trebuchet MS"/>
          <w:sz w:val="21"/>
        </w:rPr>
        <w:t xml:space="preserve"> </w:t>
      </w:r>
      <w:r w:rsidR="00786CAE">
        <w:rPr>
          <w:rFonts w:ascii="Trebuchet MS" w:hAnsi="Trebuchet MS"/>
          <w:sz w:val="21"/>
        </w:rPr>
        <w:t xml:space="preserve"> </w:t>
      </w:r>
      <w:r w:rsidR="00D15C08" w:rsidRPr="005230C7">
        <w:rPr>
          <w:rFonts w:ascii="Trebuchet MS" w:hAnsi="Trebuchet MS"/>
          <w:sz w:val="21"/>
        </w:rPr>
        <w:t xml:space="preserve">LEA or CERT </w:t>
      </w:r>
      <w:r w:rsidR="00600AA8">
        <w:rPr>
          <w:rFonts w:ascii="Trebuchet MS" w:hAnsi="Trebuchet MS"/>
          <w:sz w:val="21"/>
        </w:rPr>
        <w:t>or any</w:t>
      </w:r>
      <w:r w:rsidR="00AE7DC0">
        <w:rPr>
          <w:rFonts w:ascii="Trebuchet MS" w:hAnsi="Trebuchet MS"/>
          <w:sz w:val="21"/>
        </w:rPr>
        <w:t xml:space="preserve"> other</w:t>
      </w:r>
      <w:r w:rsidR="00600AA8">
        <w:rPr>
          <w:rFonts w:ascii="Trebuchet MS" w:hAnsi="Trebuchet MS"/>
          <w:sz w:val="21"/>
        </w:rPr>
        <w:t xml:space="preserve"> national body expertise in handling </w:t>
      </w:r>
      <w:r w:rsidR="009A7A62">
        <w:rPr>
          <w:rFonts w:ascii="Trebuchet MS" w:hAnsi="Trebuchet MS"/>
          <w:sz w:val="21"/>
        </w:rPr>
        <w:t xml:space="preserve">cyber </w:t>
      </w:r>
      <w:r w:rsidR="00600AA8">
        <w:rPr>
          <w:rFonts w:ascii="Trebuchet MS" w:hAnsi="Trebuchet MS"/>
          <w:sz w:val="21"/>
        </w:rPr>
        <w:t xml:space="preserve">threats </w:t>
      </w:r>
      <w:r w:rsidR="00DB44DE" w:rsidRPr="005230C7">
        <w:rPr>
          <w:rFonts w:ascii="Trebuchet MS" w:hAnsi="Trebuchet MS"/>
          <w:sz w:val="21"/>
        </w:rPr>
        <w:t xml:space="preserve">may alone </w:t>
      </w:r>
      <w:r w:rsidR="00D15C08" w:rsidRPr="005230C7">
        <w:rPr>
          <w:rFonts w:ascii="Trebuchet MS" w:hAnsi="Trebuchet MS"/>
          <w:sz w:val="21"/>
        </w:rPr>
        <w:t xml:space="preserve">DETERMINE a threat as </w:t>
      </w:r>
      <w:r w:rsidR="001542B5">
        <w:rPr>
          <w:rFonts w:ascii="Trebuchet MS" w:hAnsi="Trebuchet MS"/>
          <w:sz w:val="21"/>
        </w:rPr>
        <w:t xml:space="preserve">a </w:t>
      </w:r>
      <w:r w:rsidR="00D15C08" w:rsidRPr="005230C7">
        <w:rPr>
          <w:rFonts w:ascii="Trebuchet MS" w:hAnsi="Trebuchet MS"/>
          <w:sz w:val="21"/>
        </w:rPr>
        <w:t>security threat.</w:t>
      </w:r>
      <w:r w:rsidR="00773F52" w:rsidRPr="005230C7">
        <w:rPr>
          <w:rFonts w:ascii="Trebuchet MS" w:hAnsi="Trebuchet MS"/>
          <w:sz w:val="21"/>
        </w:rPr>
        <w:t xml:space="preserve">  </w:t>
      </w:r>
      <w:r w:rsidR="00E46FF8" w:rsidRPr="005230C7">
        <w:rPr>
          <w:rFonts w:ascii="Trebuchet MS" w:hAnsi="Trebuchet MS"/>
          <w:sz w:val="21"/>
        </w:rPr>
        <w:t>RO may take action based on the advice of LEA or CERT.</w:t>
      </w:r>
      <w:r w:rsidR="00944CA5" w:rsidRPr="005230C7">
        <w:rPr>
          <w:rFonts w:ascii="Trebuchet MS" w:hAnsi="Trebuchet MS"/>
          <w:sz w:val="21"/>
        </w:rPr>
        <w:t xml:space="preserve"> </w:t>
      </w:r>
    </w:p>
    <w:p w:rsidR="0003583D" w:rsidRPr="005230C7" w:rsidRDefault="003822E2" w:rsidP="005230C7">
      <w:pPr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T</w:t>
      </w:r>
      <w:r w:rsidR="00944CA5" w:rsidRPr="005230C7">
        <w:rPr>
          <w:rFonts w:ascii="Trebuchet MS" w:hAnsi="Trebuchet MS"/>
          <w:sz w:val="21"/>
        </w:rPr>
        <w:t>he second portion of the underlined sentence says</w:t>
      </w:r>
      <w:r>
        <w:rPr>
          <w:rFonts w:ascii="Trebuchet MS" w:hAnsi="Trebuchet MS"/>
          <w:sz w:val="21"/>
        </w:rPr>
        <w:t xml:space="preserve"> that</w:t>
      </w:r>
      <w:r w:rsidR="00944CA5" w:rsidRPr="005230C7">
        <w:rPr>
          <w:rFonts w:ascii="Trebuchet MS" w:hAnsi="Trebuchet MS"/>
          <w:sz w:val="21"/>
        </w:rPr>
        <w:t xml:space="preserve"> </w:t>
      </w:r>
      <w:r w:rsidR="00773F52" w:rsidRPr="005230C7">
        <w:rPr>
          <w:rFonts w:ascii="Trebuchet MS" w:hAnsi="Trebuchet MS"/>
          <w:sz w:val="21"/>
        </w:rPr>
        <w:t>“</w:t>
      </w:r>
      <w:r w:rsidR="00773F52" w:rsidRPr="005230C7">
        <w:rPr>
          <w:rFonts w:ascii="Trebuchet MS" w:hAnsi="Trebuchet MS"/>
          <w:i/>
          <w:sz w:val="21"/>
        </w:rPr>
        <w:t>that the consequences of action outweigh the threat itself”</w:t>
      </w:r>
      <w:r w:rsidR="00626EAE">
        <w:rPr>
          <w:rFonts w:ascii="Trebuchet MS" w:hAnsi="Trebuchet MS"/>
          <w:sz w:val="21"/>
        </w:rPr>
        <w:t xml:space="preserve">.  This </w:t>
      </w:r>
      <w:r w:rsidR="0003583D" w:rsidRPr="005230C7">
        <w:rPr>
          <w:rFonts w:ascii="Trebuchet MS" w:hAnsi="Trebuchet MS"/>
          <w:sz w:val="21"/>
        </w:rPr>
        <w:t xml:space="preserve">may </w:t>
      </w:r>
      <w:r w:rsidR="00944CA5" w:rsidRPr="005230C7">
        <w:rPr>
          <w:rFonts w:ascii="Trebuchet MS" w:hAnsi="Trebuchet MS"/>
          <w:sz w:val="21"/>
        </w:rPr>
        <w:t xml:space="preserve">also </w:t>
      </w:r>
      <w:r w:rsidR="0003583D" w:rsidRPr="005230C7">
        <w:rPr>
          <w:rFonts w:ascii="Trebuchet MS" w:hAnsi="Trebuchet MS"/>
          <w:sz w:val="21"/>
        </w:rPr>
        <w:t xml:space="preserve">not be </w:t>
      </w:r>
      <w:r w:rsidR="00944CA5" w:rsidRPr="005230C7">
        <w:rPr>
          <w:rFonts w:ascii="Trebuchet MS" w:hAnsi="Trebuchet MS"/>
          <w:sz w:val="21"/>
        </w:rPr>
        <w:t xml:space="preserve">a </w:t>
      </w:r>
      <w:r w:rsidR="0003583D" w:rsidRPr="005230C7">
        <w:rPr>
          <w:rFonts w:ascii="Trebuchet MS" w:hAnsi="Trebuchet MS"/>
          <w:sz w:val="21"/>
        </w:rPr>
        <w:t>right</w:t>
      </w:r>
      <w:r w:rsidR="00944CA5" w:rsidRPr="005230C7">
        <w:rPr>
          <w:rFonts w:ascii="Trebuchet MS" w:hAnsi="Trebuchet MS"/>
          <w:sz w:val="21"/>
        </w:rPr>
        <w:t xml:space="preserve"> approach</w:t>
      </w:r>
      <w:r w:rsidR="00773F52" w:rsidRPr="005230C7">
        <w:rPr>
          <w:rFonts w:ascii="Trebuchet MS" w:hAnsi="Trebuchet MS"/>
          <w:sz w:val="21"/>
        </w:rPr>
        <w:t xml:space="preserve">.  It rather leads to more complications </w:t>
      </w:r>
      <w:r w:rsidR="00773F52" w:rsidRPr="009E6592">
        <w:rPr>
          <w:rFonts w:ascii="Trebuchet MS" w:hAnsi="Trebuchet MS"/>
          <w:b/>
          <w:sz w:val="21"/>
        </w:rPr>
        <w:t xml:space="preserve">as action is </w:t>
      </w:r>
      <w:r w:rsidR="00DB44DE" w:rsidRPr="009E6592">
        <w:rPr>
          <w:rFonts w:ascii="Trebuchet MS" w:hAnsi="Trebuchet MS"/>
          <w:b/>
          <w:sz w:val="21"/>
        </w:rPr>
        <w:t>not taken in the matter</w:t>
      </w:r>
      <w:r w:rsidR="00DB44DE" w:rsidRPr="005230C7">
        <w:rPr>
          <w:rFonts w:ascii="Trebuchet MS" w:hAnsi="Trebuchet MS"/>
          <w:sz w:val="21"/>
        </w:rPr>
        <w:t>.</w:t>
      </w:r>
      <w:r w:rsidR="00773F52" w:rsidRPr="005230C7">
        <w:rPr>
          <w:rFonts w:ascii="Trebuchet MS" w:hAnsi="Trebuchet MS"/>
          <w:sz w:val="21"/>
        </w:rPr>
        <w:t xml:space="preserve">  </w:t>
      </w:r>
      <w:r w:rsidR="0003583D" w:rsidRPr="005230C7">
        <w:rPr>
          <w:rFonts w:ascii="Trebuchet MS" w:hAnsi="Trebuchet MS"/>
          <w:sz w:val="21"/>
        </w:rPr>
        <w:t xml:space="preserve">The following options may be </w:t>
      </w:r>
      <w:r w:rsidR="000B2827" w:rsidRPr="005230C7">
        <w:rPr>
          <w:rFonts w:ascii="Trebuchet MS" w:hAnsi="Trebuchet MS"/>
          <w:sz w:val="21"/>
        </w:rPr>
        <w:t>exercised</w:t>
      </w:r>
      <w:r w:rsidR="0003583D" w:rsidRPr="005230C7">
        <w:rPr>
          <w:rFonts w:ascii="Trebuchet MS" w:hAnsi="Trebuchet MS"/>
          <w:sz w:val="21"/>
        </w:rPr>
        <w:t>:-</w:t>
      </w:r>
      <w:r w:rsidR="000B2827" w:rsidRPr="005230C7">
        <w:rPr>
          <w:rFonts w:ascii="Trebuchet MS" w:hAnsi="Trebuchet MS"/>
          <w:sz w:val="21"/>
        </w:rPr>
        <w:t xml:space="preserve">  </w:t>
      </w:r>
    </w:p>
    <w:p w:rsidR="00773F52" w:rsidRDefault="00B827D6" w:rsidP="0003583D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1"/>
        </w:rPr>
      </w:pPr>
      <w:r w:rsidRPr="0003583D">
        <w:rPr>
          <w:rFonts w:ascii="Trebuchet MS" w:hAnsi="Trebuchet MS"/>
          <w:sz w:val="21"/>
        </w:rPr>
        <w:t>A cautious approach</w:t>
      </w:r>
      <w:r w:rsidR="00773F52" w:rsidRPr="0003583D">
        <w:rPr>
          <w:rFonts w:ascii="Trebuchet MS" w:hAnsi="Trebuchet MS"/>
          <w:sz w:val="21"/>
        </w:rPr>
        <w:t xml:space="preserve"> to seek the advice of CERT or LEA and inform </w:t>
      </w:r>
      <w:r w:rsidR="0014575C">
        <w:rPr>
          <w:rFonts w:ascii="Trebuchet MS" w:hAnsi="Trebuchet MS"/>
          <w:sz w:val="21"/>
        </w:rPr>
        <w:t xml:space="preserve">openly </w:t>
      </w:r>
      <w:r w:rsidR="00773F52" w:rsidRPr="0003583D">
        <w:rPr>
          <w:rFonts w:ascii="Trebuchet MS" w:hAnsi="Trebuchet MS"/>
          <w:sz w:val="21"/>
        </w:rPr>
        <w:t>that the consequences of action outweigh the threat itself and seek advice on how to proceed in such cases.</w:t>
      </w:r>
    </w:p>
    <w:p w:rsidR="0003583D" w:rsidRPr="0003583D" w:rsidRDefault="0003583D" w:rsidP="0003583D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 xml:space="preserve">RO may inform the originator/requester to contact CERT or LEA and submit their advice </w:t>
      </w:r>
      <w:r w:rsidR="0014575C">
        <w:rPr>
          <w:rFonts w:ascii="Trebuchet MS" w:hAnsi="Trebuchet MS"/>
          <w:sz w:val="21"/>
        </w:rPr>
        <w:t>t</w:t>
      </w:r>
      <w:r>
        <w:rPr>
          <w:rFonts w:ascii="Trebuchet MS" w:hAnsi="Trebuchet MS"/>
          <w:sz w:val="21"/>
        </w:rPr>
        <w:t>o RO.</w:t>
      </w:r>
      <w:r w:rsidR="002B61BA">
        <w:rPr>
          <w:rFonts w:ascii="Trebuchet MS" w:hAnsi="Trebuchet MS"/>
          <w:sz w:val="21"/>
        </w:rPr>
        <w:t xml:space="preserve"> </w:t>
      </w:r>
      <w:r w:rsidR="00B027A3">
        <w:rPr>
          <w:rFonts w:ascii="Trebuchet MS" w:hAnsi="Trebuchet MS"/>
          <w:sz w:val="21"/>
        </w:rPr>
        <w:t xml:space="preserve"> </w:t>
      </w:r>
      <w:r w:rsidR="002B61BA">
        <w:rPr>
          <w:rFonts w:ascii="Trebuchet MS" w:hAnsi="Trebuchet MS"/>
          <w:sz w:val="21"/>
        </w:rPr>
        <w:t xml:space="preserve"> RO can safely take action on such advice of CERT or LEA.</w:t>
      </w:r>
    </w:p>
    <w:p w:rsidR="007107A0" w:rsidRDefault="00087378" w:rsidP="0015560F">
      <w:pPr>
        <w:jc w:val="both"/>
        <w:rPr>
          <w:rFonts w:ascii="Trebuchet MS" w:hAnsi="Trebuchet MS"/>
          <w:sz w:val="21"/>
        </w:rPr>
      </w:pPr>
      <w:proofErr w:type="gramStart"/>
      <w:r w:rsidRPr="007E23FA">
        <w:rPr>
          <w:rFonts w:ascii="Trebuchet MS" w:hAnsi="Trebuchet MS"/>
          <w:b/>
          <w:sz w:val="21"/>
        </w:rPr>
        <w:t>Referring to Page No.4:</w:t>
      </w:r>
      <w:r>
        <w:rPr>
          <w:rFonts w:ascii="Trebuchet MS" w:hAnsi="Trebuchet MS"/>
          <w:sz w:val="21"/>
        </w:rPr>
        <w:t xml:space="preserve">  </w:t>
      </w:r>
      <w:r w:rsidR="007E23FA">
        <w:rPr>
          <w:rFonts w:ascii="Trebuchet MS" w:hAnsi="Trebuchet MS"/>
          <w:sz w:val="21"/>
        </w:rPr>
        <w:t xml:space="preserve">This </w:t>
      </w:r>
      <w:proofErr w:type="spellStart"/>
      <w:r w:rsidR="00A17D19">
        <w:rPr>
          <w:rFonts w:ascii="Trebuchet MS" w:hAnsi="Trebuchet MS"/>
          <w:sz w:val="21"/>
        </w:rPr>
        <w:t>p</w:t>
      </w:r>
      <w:r w:rsidR="001C4D3C">
        <w:rPr>
          <w:rFonts w:ascii="Trebuchet MS" w:hAnsi="Trebuchet MS"/>
          <w:sz w:val="21"/>
        </w:rPr>
        <w:t>ara</w:t>
      </w:r>
      <w:proofErr w:type="spellEnd"/>
      <w:r w:rsidR="001C4D3C">
        <w:rPr>
          <w:rFonts w:ascii="Trebuchet MS" w:hAnsi="Trebuchet MS"/>
          <w:sz w:val="21"/>
        </w:rPr>
        <w:t xml:space="preserve"> </w:t>
      </w:r>
      <w:r w:rsidR="00F1017E">
        <w:rPr>
          <w:rFonts w:ascii="Trebuchet MS" w:hAnsi="Trebuchet MS"/>
          <w:sz w:val="21"/>
        </w:rPr>
        <w:t xml:space="preserve">relates to </w:t>
      </w:r>
      <w:r w:rsidR="00A17D19">
        <w:rPr>
          <w:rFonts w:ascii="Trebuchet MS" w:hAnsi="Trebuchet MS"/>
          <w:sz w:val="21"/>
        </w:rPr>
        <w:t xml:space="preserve">the </w:t>
      </w:r>
      <w:r>
        <w:rPr>
          <w:rFonts w:ascii="Trebuchet MS" w:hAnsi="Trebuchet MS"/>
          <w:sz w:val="21"/>
        </w:rPr>
        <w:t>validity of source of requests.</w:t>
      </w:r>
      <w:proofErr w:type="gramEnd"/>
      <w:r>
        <w:rPr>
          <w:rFonts w:ascii="Trebuchet MS" w:hAnsi="Trebuchet MS"/>
          <w:sz w:val="21"/>
        </w:rPr>
        <w:t xml:space="preserve">  </w:t>
      </w:r>
      <w:r w:rsidR="004C4606">
        <w:rPr>
          <w:rFonts w:ascii="Trebuchet MS" w:hAnsi="Trebuchet MS"/>
          <w:sz w:val="21"/>
        </w:rPr>
        <w:t xml:space="preserve">Apart from its own sources, the </w:t>
      </w:r>
      <w:r w:rsidR="000A671B">
        <w:rPr>
          <w:rFonts w:ascii="Trebuchet MS" w:hAnsi="Trebuchet MS"/>
          <w:sz w:val="21"/>
        </w:rPr>
        <w:t>RO may forward such requests to the</w:t>
      </w:r>
      <w:r w:rsidR="007107A0">
        <w:rPr>
          <w:rFonts w:ascii="Trebuchet MS" w:hAnsi="Trebuchet MS"/>
          <w:sz w:val="21"/>
        </w:rPr>
        <w:t xml:space="preserve">ir </w:t>
      </w:r>
      <w:r w:rsidR="00FF6C48">
        <w:rPr>
          <w:rFonts w:ascii="Trebuchet MS" w:hAnsi="Trebuchet MS"/>
          <w:sz w:val="21"/>
        </w:rPr>
        <w:t>national</w:t>
      </w:r>
      <w:r w:rsidR="000A671B">
        <w:rPr>
          <w:rFonts w:ascii="Trebuchet MS" w:hAnsi="Trebuchet MS"/>
          <w:sz w:val="21"/>
        </w:rPr>
        <w:t xml:space="preserve"> LEA </w:t>
      </w:r>
      <w:r w:rsidR="007E23FA">
        <w:rPr>
          <w:rFonts w:ascii="Trebuchet MS" w:hAnsi="Trebuchet MS"/>
          <w:sz w:val="21"/>
        </w:rPr>
        <w:t xml:space="preserve">or CERT </w:t>
      </w:r>
      <w:r w:rsidR="000A671B">
        <w:rPr>
          <w:rFonts w:ascii="Trebuchet MS" w:hAnsi="Trebuchet MS"/>
          <w:sz w:val="21"/>
        </w:rPr>
        <w:t xml:space="preserve">and validate the authenticity </w:t>
      </w:r>
      <w:r w:rsidR="007E23FA">
        <w:rPr>
          <w:rFonts w:ascii="Trebuchet MS" w:hAnsi="Trebuchet MS"/>
          <w:sz w:val="21"/>
        </w:rPr>
        <w:t>and credibility of the requester</w:t>
      </w:r>
      <w:r w:rsidR="007107A0">
        <w:rPr>
          <w:rFonts w:ascii="Trebuchet MS" w:hAnsi="Trebuchet MS"/>
          <w:sz w:val="21"/>
        </w:rPr>
        <w:t>.</w:t>
      </w:r>
    </w:p>
    <w:p w:rsidR="008B7A76" w:rsidRDefault="007260A4" w:rsidP="00BE3B01">
      <w:pPr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Further i</w:t>
      </w:r>
      <w:r w:rsidR="00D75844">
        <w:rPr>
          <w:rFonts w:ascii="Trebuchet MS" w:hAnsi="Trebuchet MS"/>
          <w:sz w:val="21"/>
        </w:rPr>
        <w:t>t</w:t>
      </w:r>
      <w:r w:rsidR="002F20C5">
        <w:rPr>
          <w:rFonts w:ascii="Trebuchet MS" w:hAnsi="Trebuchet MS"/>
          <w:sz w:val="21"/>
        </w:rPr>
        <w:t xml:space="preserve"> is submitted that i</w:t>
      </w:r>
      <w:r w:rsidR="0058378C">
        <w:rPr>
          <w:rFonts w:ascii="Trebuchet MS" w:hAnsi="Trebuchet MS"/>
          <w:sz w:val="21"/>
        </w:rPr>
        <w:t xml:space="preserve">f a RO receives a request relating to a different domain which is </w:t>
      </w:r>
      <w:r w:rsidR="002717DE">
        <w:rPr>
          <w:rFonts w:ascii="Trebuchet MS" w:hAnsi="Trebuchet MS"/>
          <w:sz w:val="21"/>
        </w:rPr>
        <w:t xml:space="preserve">not </w:t>
      </w:r>
      <w:r w:rsidR="0058378C">
        <w:rPr>
          <w:rFonts w:ascii="Trebuchet MS" w:hAnsi="Trebuchet MS"/>
          <w:sz w:val="21"/>
        </w:rPr>
        <w:t>in their management or control (</w:t>
      </w:r>
      <w:r w:rsidR="00AF536E">
        <w:rPr>
          <w:rFonts w:ascii="Trebuchet MS" w:hAnsi="Trebuchet MS"/>
          <w:sz w:val="21"/>
        </w:rPr>
        <w:t xml:space="preserve">for </w:t>
      </w:r>
      <w:r w:rsidR="0058378C">
        <w:rPr>
          <w:rFonts w:ascii="Trebuchet MS" w:hAnsi="Trebuchet MS"/>
          <w:sz w:val="21"/>
        </w:rPr>
        <w:t>reasons like</w:t>
      </w:r>
      <w:r w:rsidR="006023BF">
        <w:rPr>
          <w:rFonts w:ascii="Trebuchet MS" w:hAnsi="Trebuchet MS"/>
          <w:sz w:val="21"/>
        </w:rPr>
        <w:t xml:space="preserve"> </w:t>
      </w:r>
      <w:r w:rsidR="0058378C">
        <w:rPr>
          <w:rFonts w:ascii="Trebuchet MS" w:hAnsi="Trebuchet MS"/>
          <w:sz w:val="21"/>
        </w:rPr>
        <w:t>such domains come under another RO</w:t>
      </w:r>
      <w:r w:rsidR="00850ABF">
        <w:rPr>
          <w:rFonts w:ascii="Trebuchet MS" w:hAnsi="Trebuchet MS"/>
          <w:sz w:val="21"/>
        </w:rPr>
        <w:t>)</w:t>
      </w:r>
      <w:r w:rsidR="00482717">
        <w:rPr>
          <w:rFonts w:ascii="Trebuchet MS" w:hAnsi="Trebuchet MS"/>
          <w:sz w:val="21"/>
        </w:rPr>
        <w:t>, the RO</w:t>
      </w:r>
      <w:r w:rsidR="0058378C">
        <w:rPr>
          <w:rFonts w:ascii="Trebuchet MS" w:hAnsi="Trebuchet MS"/>
          <w:sz w:val="21"/>
        </w:rPr>
        <w:t xml:space="preserve"> who has received the request may inform the requester or originator to contact the relevant RO and provide the contact details</w:t>
      </w:r>
      <w:r w:rsidR="00AF536E">
        <w:rPr>
          <w:rFonts w:ascii="Trebuchet MS" w:hAnsi="Trebuchet MS"/>
          <w:sz w:val="21"/>
        </w:rPr>
        <w:t xml:space="preserve"> of the said </w:t>
      </w:r>
      <w:r w:rsidR="00D010F9">
        <w:rPr>
          <w:rFonts w:ascii="Trebuchet MS" w:hAnsi="Trebuchet MS"/>
          <w:sz w:val="21"/>
        </w:rPr>
        <w:t xml:space="preserve">relevant </w:t>
      </w:r>
      <w:r w:rsidR="00AF536E">
        <w:rPr>
          <w:rFonts w:ascii="Trebuchet MS" w:hAnsi="Trebuchet MS"/>
          <w:sz w:val="21"/>
        </w:rPr>
        <w:t>RO</w:t>
      </w:r>
      <w:r w:rsidR="0058378C">
        <w:rPr>
          <w:rFonts w:ascii="Trebuchet MS" w:hAnsi="Trebuchet MS"/>
          <w:sz w:val="21"/>
        </w:rPr>
        <w:t xml:space="preserve">.  </w:t>
      </w:r>
      <w:r w:rsidR="00342B75" w:rsidRPr="00D010F9">
        <w:rPr>
          <w:rFonts w:ascii="Trebuchet MS" w:hAnsi="Trebuchet MS"/>
          <w:b/>
          <w:sz w:val="21"/>
        </w:rPr>
        <w:t>C</w:t>
      </w:r>
      <w:r w:rsidR="0058378C" w:rsidRPr="00D010F9">
        <w:rPr>
          <w:rFonts w:ascii="Trebuchet MS" w:hAnsi="Trebuchet MS"/>
          <w:b/>
          <w:sz w:val="21"/>
        </w:rPr>
        <w:t xml:space="preserve">ases </w:t>
      </w:r>
      <w:r w:rsidR="00460418">
        <w:rPr>
          <w:rFonts w:ascii="Trebuchet MS" w:hAnsi="Trebuchet MS"/>
          <w:b/>
          <w:sz w:val="21"/>
        </w:rPr>
        <w:t xml:space="preserve">relating to “abuse” </w:t>
      </w:r>
      <w:r w:rsidR="008537B1">
        <w:rPr>
          <w:rFonts w:ascii="Trebuchet MS" w:hAnsi="Trebuchet MS"/>
          <w:b/>
          <w:sz w:val="21"/>
        </w:rPr>
        <w:t xml:space="preserve">may </w:t>
      </w:r>
      <w:r w:rsidR="0058378C" w:rsidRPr="00D010F9">
        <w:rPr>
          <w:rFonts w:ascii="Trebuchet MS" w:hAnsi="Trebuchet MS"/>
          <w:b/>
          <w:sz w:val="21"/>
        </w:rPr>
        <w:t xml:space="preserve">not be left unaddressed on </w:t>
      </w:r>
      <w:r w:rsidR="00D010F9">
        <w:rPr>
          <w:rFonts w:ascii="Trebuchet MS" w:hAnsi="Trebuchet MS"/>
          <w:b/>
          <w:sz w:val="21"/>
        </w:rPr>
        <w:t>for any reasons</w:t>
      </w:r>
      <w:r w:rsidR="008537B1">
        <w:rPr>
          <w:rFonts w:ascii="Trebuchet MS" w:hAnsi="Trebuchet MS"/>
          <w:b/>
          <w:sz w:val="21"/>
        </w:rPr>
        <w:t xml:space="preserve">. </w:t>
      </w:r>
      <w:r w:rsidR="00342B75">
        <w:rPr>
          <w:rFonts w:ascii="Trebuchet MS" w:hAnsi="Trebuchet MS"/>
          <w:sz w:val="21"/>
        </w:rPr>
        <w:t xml:space="preserve"> </w:t>
      </w:r>
    </w:p>
    <w:p w:rsidR="00F46A14" w:rsidRDefault="008B7A76" w:rsidP="00BE3B01">
      <w:pPr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I take this opportunity to propose “</w:t>
      </w:r>
      <w:r w:rsidRPr="008B7A76">
        <w:rPr>
          <w:rFonts w:ascii="Trebuchet MS" w:hAnsi="Trebuchet MS"/>
          <w:b/>
          <w:sz w:val="21"/>
        </w:rPr>
        <w:t>Alternate Action</w:t>
      </w:r>
      <w:r>
        <w:rPr>
          <w:rFonts w:ascii="Trebuchet MS" w:hAnsi="Trebuchet MS"/>
          <w:sz w:val="21"/>
        </w:rPr>
        <w:t xml:space="preserve">”:  </w:t>
      </w:r>
      <w:r w:rsidRPr="00AD7E8D">
        <w:rPr>
          <w:rFonts w:ascii="Trebuchet MS" w:hAnsi="Trebuchet MS"/>
          <w:sz w:val="21"/>
        </w:rPr>
        <w:t xml:space="preserve">In case of the requested action is not possible to implement </w:t>
      </w:r>
      <w:r w:rsidR="00E0705B">
        <w:rPr>
          <w:rFonts w:ascii="Trebuchet MS" w:hAnsi="Trebuchet MS"/>
          <w:sz w:val="21"/>
        </w:rPr>
        <w:t xml:space="preserve">due to </w:t>
      </w:r>
      <w:r w:rsidRPr="00AD7E8D">
        <w:rPr>
          <w:rFonts w:ascii="Trebuchet MS" w:hAnsi="Trebuchet MS"/>
          <w:sz w:val="21"/>
        </w:rPr>
        <w:t xml:space="preserve">technical feasibility or costs </w:t>
      </w:r>
      <w:r>
        <w:rPr>
          <w:rFonts w:ascii="Trebuchet MS" w:hAnsi="Trebuchet MS"/>
          <w:sz w:val="21"/>
        </w:rPr>
        <w:t xml:space="preserve">or consequences </w:t>
      </w:r>
      <w:r w:rsidRPr="00AD7E8D">
        <w:rPr>
          <w:rFonts w:ascii="Trebuchet MS" w:hAnsi="Trebuchet MS"/>
          <w:sz w:val="21"/>
        </w:rPr>
        <w:t xml:space="preserve">that could occur </w:t>
      </w:r>
      <w:r w:rsidR="00E0705B">
        <w:rPr>
          <w:rFonts w:ascii="Trebuchet MS" w:hAnsi="Trebuchet MS"/>
          <w:sz w:val="21"/>
        </w:rPr>
        <w:t xml:space="preserve">on taking such </w:t>
      </w:r>
      <w:r w:rsidR="00D75844">
        <w:rPr>
          <w:rFonts w:ascii="Trebuchet MS" w:hAnsi="Trebuchet MS"/>
          <w:sz w:val="21"/>
        </w:rPr>
        <w:t>action</w:t>
      </w:r>
      <w:r w:rsidRPr="00AD7E8D">
        <w:rPr>
          <w:rFonts w:ascii="Trebuchet MS" w:hAnsi="Trebuchet MS"/>
          <w:sz w:val="21"/>
        </w:rPr>
        <w:t xml:space="preserve">, the RO may inform the </w:t>
      </w:r>
      <w:r>
        <w:rPr>
          <w:rFonts w:ascii="Trebuchet MS" w:hAnsi="Trebuchet MS"/>
          <w:sz w:val="21"/>
        </w:rPr>
        <w:t xml:space="preserve">originator </w:t>
      </w:r>
      <w:r w:rsidRPr="00AD7E8D">
        <w:rPr>
          <w:rFonts w:ascii="Trebuchet MS" w:hAnsi="Trebuchet MS"/>
          <w:sz w:val="21"/>
        </w:rPr>
        <w:t>about an</w:t>
      </w:r>
      <w:r w:rsidR="00D75844">
        <w:rPr>
          <w:rFonts w:ascii="Trebuchet MS" w:hAnsi="Trebuchet MS"/>
          <w:sz w:val="21"/>
        </w:rPr>
        <w:t>y</w:t>
      </w:r>
      <w:r w:rsidRPr="00AD7E8D">
        <w:rPr>
          <w:rFonts w:ascii="Trebuchet MS" w:hAnsi="Trebuchet MS"/>
          <w:sz w:val="21"/>
        </w:rPr>
        <w:t xml:space="preserve"> alternate action which is feasible and obtain the cons</w:t>
      </w:r>
      <w:r w:rsidR="00E0705B">
        <w:rPr>
          <w:rFonts w:ascii="Trebuchet MS" w:hAnsi="Trebuchet MS"/>
          <w:sz w:val="21"/>
        </w:rPr>
        <w:t>ent in writing to perform such alternate a</w:t>
      </w:r>
      <w:r w:rsidRPr="00AD7E8D">
        <w:rPr>
          <w:rFonts w:ascii="Trebuchet MS" w:hAnsi="Trebuchet MS"/>
          <w:sz w:val="21"/>
        </w:rPr>
        <w:t xml:space="preserve">ction.   </w:t>
      </w:r>
    </w:p>
    <w:p w:rsidR="00BE3B01" w:rsidRPr="002F20D6" w:rsidRDefault="008B7A76" w:rsidP="00BE3B01">
      <w:pPr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Thank you</w:t>
      </w:r>
    </w:p>
    <w:p w:rsidR="00BE3B01" w:rsidRPr="009D3450" w:rsidRDefault="00BE3B01" w:rsidP="00BE3B01">
      <w:pPr>
        <w:spacing w:after="0" w:line="240" w:lineRule="auto"/>
        <w:jc w:val="both"/>
        <w:rPr>
          <w:rFonts w:ascii="Trebuchet MS" w:hAnsi="Trebuchet MS"/>
          <w:sz w:val="21"/>
        </w:rPr>
      </w:pPr>
      <w:r w:rsidRPr="009D3450">
        <w:rPr>
          <w:rFonts w:ascii="Trebuchet MS" w:hAnsi="Trebuchet MS"/>
          <w:sz w:val="21"/>
        </w:rPr>
        <w:t xml:space="preserve">Best Regards </w:t>
      </w:r>
    </w:p>
    <w:p w:rsidR="00BE3B01" w:rsidRPr="009D3450" w:rsidRDefault="00BE3B01" w:rsidP="00BE3B01">
      <w:pPr>
        <w:spacing w:after="0" w:line="240" w:lineRule="auto"/>
        <w:jc w:val="both"/>
        <w:rPr>
          <w:rFonts w:ascii="Trebuchet MS" w:hAnsi="Trebuchet MS"/>
          <w:sz w:val="21"/>
        </w:rPr>
      </w:pPr>
    </w:p>
    <w:p w:rsidR="00B02A21" w:rsidRPr="009D3450" w:rsidRDefault="00BA4A68" w:rsidP="00BE3B01">
      <w:pPr>
        <w:spacing w:after="0" w:line="240" w:lineRule="auto"/>
        <w:jc w:val="both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  <w:t>R.R. KRISHNAA</w:t>
      </w:r>
      <w:r w:rsidR="00482717">
        <w:rPr>
          <w:rFonts w:ascii="Trebuchet MS" w:hAnsi="Trebuchet MS"/>
          <w:b/>
          <w:sz w:val="21"/>
        </w:rPr>
        <w:t xml:space="preserve"> </w:t>
      </w:r>
      <w:r w:rsidR="007E4DE4">
        <w:rPr>
          <w:rFonts w:ascii="Trebuchet MS" w:hAnsi="Trebuchet MS"/>
          <w:b/>
          <w:sz w:val="21"/>
        </w:rPr>
        <w:t xml:space="preserve"> </w:t>
      </w:r>
    </w:p>
    <w:sectPr w:rsidR="00B02A21" w:rsidRPr="009D3450" w:rsidSect="00F90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9E2"/>
    <w:multiLevelType w:val="hybridMultilevel"/>
    <w:tmpl w:val="0B9EFAD2"/>
    <w:lvl w:ilvl="0" w:tplc="AEB4C368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6672B4"/>
    <w:multiLevelType w:val="hybridMultilevel"/>
    <w:tmpl w:val="525E7932"/>
    <w:lvl w:ilvl="0" w:tplc="BE9C003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108DE"/>
    <w:multiLevelType w:val="hybridMultilevel"/>
    <w:tmpl w:val="075253B4"/>
    <w:lvl w:ilvl="0" w:tplc="026AEF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3D6351"/>
    <w:rsid w:val="00011943"/>
    <w:rsid w:val="00032505"/>
    <w:rsid w:val="0003583D"/>
    <w:rsid w:val="00060338"/>
    <w:rsid w:val="00067BF8"/>
    <w:rsid w:val="0007152B"/>
    <w:rsid w:val="00075EF1"/>
    <w:rsid w:val="0008391D"/>
    <w:rsid w:val="00087378"/>
    <w:rsid w:val="00092C40"/>
    <w:rsid w:val="0009693A"/>
    <w:rsid w:val="000A671B"/>
    <w:rsid w:val="000A6ACB"/>
    <w:rsid w:val="000B2827"/>
    <w:rsid w:val="000D67BA"/>
    <w:rsid w:val="000F3A4D"/>
    <w:rsid w:val="000F5BAF"/>
    <w:rsid w:val="001133A8"/>
    <w:rsid w:val="001241C7"/>
    <w:rsid w:val="0014575C"/>
    <w:rsid w:val="00152179"/>
    <w:rsid w:val="001542B5"/>
    <w:rsid w:val="0015560F"/>
    <w:rsid w:val="001A290F"/>
    <w:rsid w:val="001C4D3C"/>
    <w:rsid w:val="001C73D6"/>
    <w:rsid w:val="001E16D1"/>
    <w:rsid w:val="0021790B"/>
    <w:rsid w:val="00227CB5"/>
    <w:rsid w:val="00235D90"/>
    <w:rsid w:val="002717DE"/>
    <w:rsid w:val="00283005"/>
    <w:rsid w:val="00296A5D"/>
    <w:rsid w:val="002B3CB4"/>
    <w:rsid w:val="002B61BA"/>
    <w:rsid w:val="002D1F1A"/>
    <w:rsid w:val="002D32B7"/>
    <w:rsid w:val="002D77EF"/>
    <w:rsid w:val="002F20C5"/>
    <w:rsid w:val="002F20D6"/>
    <w:rsid w:val="00305044"/>
    <w:rsid w:val="00322F99"/>
    <w:rsid w:val="00333C9A"/>
    <w:rsid w:val="00342B75"/>
    <w:rsid w:val="0034517A"/>
    <w:rsid w:val="0037360C"/>
    <w:rsid w:val="003822E2"/>
    <w:rsid w:val="00384D01"/>
    <w:rsid w:val="003A3D6E"/>
    <w:rsid w:val="003A695C"/>
    <w:rsid w:val="003B327F"/>
    <w:rsid w:val="003D6351"/>
    <w:rsid w:val="00460418"/>
    <w:rsid w:val="00482717"/>
    <w:rsid w:val="004B3B11"/>
    <w:rsid w:val="004B4100"/>
    <w:rsid w:val="004C4606"/>
    <w:rsid w:val="004F24E2"/>
    <w:rsid w:val="005230C7"/>
    <w:rsid w:val="00534AAA"/>
    <w:rsid w:val="00542566"/>
    <w:rsid w:val="00544AAA"/>
    <w:rsid w:val="0057113F"/>
    <w:rsid w:val="0058378C"/>
    <w:rsid w:val="005E014C"/>
    <w:rsid w:val="005F5F91"/>
    <w:rsid w:val="00600AA8"/>
    <w:rsid w:val="006023BF"/>
    <w:rsid w:val="00626EAE"/>
    <w:rsid w:val="00641F33"/>
    <w:rsid w:val="006803BD"/>
    <w:rsid w:val="00680512"/>
    <w:rsid w:val="006B04CA"/>
    <w:rsid w:val="006E0815"/>
    <w:rsid w:val="006E5DCD"/>
    <w:rsid w:val="007107A0"/>
    <w:rsid w:val="007260A4"/>
    <w:rsid w:val="0072737F"/>
    <w:rsid w:val="00773F52"/>
    <w:rsid w:val="007831EC"/>
    <w:rsid w:val="00786CAE"/>
    <w:rsid w:val="007A6766"/>
    <w:rsid w:val="007B10E8"/>
    <w:rsid w:val="007B64F5"/>
    <w:rsid w:val="007E23FA"/>
    <w:rsid w:val="007E4DE4"/>
    <w:rsid w:val="007F1F27"/>
    <w:rsid w:val="007F450C"/>
    <w:rsid w:val="00820B91"/>
    <w:rsid w:val="008226DB"/>
    <w:rsid w:val="00850ABF"/>
    <w:rsid w:val="008537B1"/>
    <w:rsid w:val="008639F7"/>
    <w:rsid w:val="0089122F"/>
    <w:rsid w:val="00892161"/>
    <w:rsid w:val="008A1210"/>
    <w:rsid w:val="008A28C9"/>
    <w:rsid w:val="008A55EC"/>
    <w:rsid w:val="008B6C97"/>
    <w:rsid w:val="008B7A76"/>
    <w:rsid w:val="008C2B63"/>
    <w:rsid w:val="008C764B"/>
    <w:rsid w:val="008E5FA9"/>
    <w:rsid w:val="009135E6"/>
    <w:rsid w:val="009154BF"/>
    <w:rsid w:val="00937869"/>
    <w:rsid w:val="00944CA5"/>
    <w:rsid w:val="0094516D"/>
    <w:rsid w:val="00992CFB"/>
    <w:rsid w:val="009A7A62"/>
    <w:rsid w:val="009C5E58"/>
    <w:rsid w:val="009D3450"/>
    <w:rsid w:val="009E6592"/>
    <w:rsid w:val="00A046F7"/>
    <w:rsid w:val="00A05ED6"/>
    <w:rsid w:val="00A06492"/>
    <w:rsid w:val="00A11063"/>
    <w:rsid w:val="00A17D19"/>
    <w:rsid w:val="00A23070"/>
    <w:rsid w:val="00A352EF"/>
    <w:rsid w:val="00A645ED"/>
    <w:rsid w:val="00A7135A"/>
    <w:rsid w:val="00A80918"/>
    <w:rsid w:val="00AA1B6C"/>
    <w:rsid w:val="00AA2255"/>
    <w:rsid w:val="00AA6F3C"/>
    <w:rsid w:val="00AB0A21"/>
    <w:rsid w:val="00AB22E7"/>
    <w:rsid w:val="00AB73AB"/>
    <w:rsid w:val="00AD7E8D"/>
    <w:rsid w:val="00AE04B6"/>
    <w:rsid w:val="00AE7DC0"/>
    <w:rsid w:val="00AF536E"/>
    <w:rsid w:val="00B0166E"/>
    <w:rsid w:val="00B027A3"/>
    <w:rsid w:val="00B02A21"/>
    <w:rsid w:val="00B172D7"/>
    <w:rsid w:val="00B56F35"/>
    <w:rsid w:val="00B66279"/>
    <w:rsid w:val="00B73ED3"/>
    <w:rsid w:val="00B827D6"/>
    <w:rsid w:val="00B841A9"/>
    <w:rsid w:val="00BA4A68"/>
    <w:rsid w:val="00BA5C76"/>
    <w:rsid w:val="00BC0970"/>
    <w:rsid w:val="00BC24F4"/>
    <w:rsid w:val="00BD041E"/>
    <w:rsid w:val="00BD42F3"/>
    <w:rsid w:val="00BD5810"/>
    <w:rsid w:val="00BE3B01"/>
    <w:rsid w:val="00C33C8E"/>
    <w:rsid w:val="00C40B9F"/>
    <w:rsid w:val="00C45961"/>
    <w:rsid w:val="00C567E7"/>
    <w:rsid w:val="00C61E3E"/>
    <w:rsid w:val="00C76A59"/>
    <w:rsid w:val="00C873C6"/>
    <w:rsid w:val="00CB02D4"/>
    <w:rsid w:val="00CD2240"/>
    <w:rsid w:val="00D010F9"/>
    <w:rsid w:val="00D15C08"/>
    <w:rsid w:val="00D35299"/>
    <w:rsid w:val="00D6231F"/>
    <w:rsid w:val="00D631C0"/>
    <w:rsid w:val="00D75844"/>
    <w:rsid w:val="00D940E7"/>
    <w:rsid w:val="00D967A5"/>
    <w:rsid w:val="00DB44DE"/>
    <w:rsid w:val="00DF110A"/>
    <w:rsid w:val="00DF7428"/>
    <w:rsid w:val="00E00B29"/>
    <w:rsid w:val="00E0705B"/>
    <w:rsid w:val="00E16C83"/>
    <w:rsid w:val="00E20690"/>
    <w:rsid w:val="00E264E0"/>
    <w:rsid w:val="00E46FF8"/>
    <w:rsid w:val="00E53863"/>
    <w:rsid w:val="00E67815"/>
    <w:rsid w:val="00EA5801"/>
    <w:rsid w:val="00EB7CFC"/>
    <w:rsid w:val="00ED2A0B"/>
    <w:rsid w:val="00F06EE7"/>
    <w:rsid w:val="00F1017E"/>
    <w:rsid w:val="00F212BC"/>
    <w:rsid w:val="00F30B4A"/>
    <w:rsid w:val="00F34A5C"/>
    <w:rsid w:val="00F46A14"/>
    <w:rsid w:val="00F67898"/>
    <w:rsid w:val="00F72DAA"/>
    <w:rsid w:val="00F905C8"/>
    <w:rsid w:val="00F93CE2"/>
    <w:rsid w:val="00FA2AA1"/>
    <w:rsid w:val="00FA5062"/>
    <w:rsid w:val="00FE53DF"/>
    <w:rsid w:val="00FF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A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</dc:creator>
  <cp:lastModifiedBy>krish</cp:lastModifiedBy>
  <cp:revision>183</cp:revision>
  <dcterms:created xsi:type="dcterms:W3CDTF">2017-05-08T15:47:00Z</dcterms:created>
  <dcterms:modified xsi:type="dcterms:W3CDTF">2017-06-17T08:37:00Z</dcterms:modified>
</cp:coreProperties>
</file>