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9DB1E" w14:textId="758B1970" w:rsidR="00401582" w:rsidRDefault="00401582" w:rsidP="001A4731">
      <w:pPr>
        <w:jc w:val="center"/>
        <w:rPr>
          <w:b/>
        </w:rPr>
      </w:pPr>
      <w:r>
        <w:rPr>
          <w:b/>
        </w:rPr>
        <w:t xml:space="preserve">Comment of Stephanie Perrin on the </w:t>
      </w:r>
      <w:r w:rsidR="00AC652C">
        <w:rPr>
          <w:b/>
        </w:rPr>
        <w:br/>
        <w:t xml:space="preserve">Revised ICANN Procedure for Handing </w:t>
      </w:r>
      <w:r>
        <w:rPr>
          <w:b/>
        </w:rPr>
        <w:t xml:space="preserve">WHOIS Conflicts with Privacy Law </w:t>
      </w:r>
    </w:p>
    <w:p w14:paraId="2A37F6E0" w14:textId="77777777" w:rsidR="00401582" w:rsidRDefault="00401582">
      <w:pPr>
        <w:rPr>
          <w:b/>
        </w:rPr>
      </w:pPr>
    </w:p>
    <w:p w14:paraId="4006B549" w14:textId="1637C6E9" w:rsidR="000849F5" w:rsidRDefault="000849F5" w:rsidP="00401582">
      <w:pPr>
        <w:rPr>
          <w:b/>
          <w:bCs/>
          <w:lang w:val="en-CA"/>
        </w:rPr>
      </w:pPr>
      <w:r>
        <w:t xml:space="preserve">I submit </w:t>
      </w:r>
      <w:r w:rsidR="00401582">
        <w:t xml:space="preserve">this </w:t>
      </w:r>
      <w:r>
        <w:t xml:space="preserve">statement </w:t>
      </w:r>
      <w:r w:rsidR="00401582">
        <w:t xml:space="preserve">in response to your call for comments dated </w:t>
      </w:r>
      <w:r w:rsidR="00AC652C">
        <w:t xml:space="preserve">3 </w:t>
      </w:r>
      <w:r w:rsidR="00401582">
        <w:t xml:space="preserve">May </w:t>
      </w:r>
      <w:r w:rsidR="00AC652C">
        <w:t>2017</w:t>
      </w:r>
      <w:r w:rsidR="00401582">
        <w:t xml:space="preserve"> regarding the </w:t>
      </w:r>
      <w:r w:rsidR="00401582" w:rsidRPr="001A4731">
        <w:rPr>
          <w:bCs/>
          <w:lang w:val="en-CA"/>
        </w:rPr>
        <w:t>Revised ICANN Procedure for Handling WHOIS Conflicts with Privacy Law: Process and Next Steps</w:t>
      </w:r>
      <w:r w:rsidR="00401582">
        <w:rPr>
          <w:b/>
          <w:bCs/>
          <w:lang w:val="en-CA"/>
        </w:rPr>
        <w:t xml:space="preserve">.  </w:t>
      </w:r>
    </w:p>
    <w:p w14:paraId="5C65770D" w14:textId="77777777" w:rsidR="000849F5" w:rsidRDefault="000849F5" w:rsidP="00401582">
      <w:pPr>
        <w:rPr>
          <w:b/>
          <w:bCs/>
          <w:lang w:val="en-CA"/>
        </w:rPr>
      </w:pPr>
    </w:p>
    <w:p w14:paraId="3B951D24" w14:textId="172601B5" w:rsidR="00401582" w:rsidRDefault="00401582" w:rsidP="000849F5">
      <w:pPr>
        <w:rPr>
          <w:bCs/>
          <w:lang w:val="en-CA"/>
        </w:rPr>
      </w:pPr>
      <w:r>
        <w:rPr>
          <w:bCs/>
          <w:lang w:val="en-CA"/>
        </w:rPr>
        <w:t xml:space="preserve">I would like to </w:t>
      </w:r>
      <w:r w:rsidR="000849F5">
        <w:rPr>
          <w:bCs/>
          <w:lang w:val="en-CA"/>
        </w:rPr>
        <w:t>preface my remarks</w:t>
      </w:r>
      <w:r>
        <w:rPr>
          <w:bCs/>
          <w:lang w:val="en-CA"/>
        </w:rPr>
        <w:t>, as is customary,</w:t>
      </w:r>
      <w:r w:rsidR="000849F5">
        <w:rPr>
          <w:bCs/>
          <w:lang w:val="en-CA"/>
        </w:rPr>
        <w:t xml:space="preserve"> by noting</w:t>
      </w:r>
      <w:r>
        <w:rPr>
          <w:bCs/>
          <w:lang w:val="en-CA"/>
        </w:rPr>
        <w:t xml:space="preserve"> that I am grateful for the opportunity</w:t>
      </w:r>
      <w:r w:rsidR="000849F5">
        <w:rPr>
          <w:bCs/>
          <w:lang w:val="en-CA"/>
        </w:rPr>
        <w:t xml:space="preserve"> to comment on this revised procedure. I share ICANN’s belief that open, participative, and transparent policy making helps us to find better answers to global questions. But effective multi</w:t>
      </w:r>
      <w:r w:rsidR="001A4731">
        <w:rPr>
          <w:bCs/>
          <w:lang w:val="en-CA"/>
        </w:rPr>
        <w:t>-</w:t>
      </w:r>
      <w:r w:rsidR="000849F5">
        <w:rPr>
          <w:bCs/>
          <w:lang w:val="en-CA"/>
        </w:rPr>
        <w:t xml:space="preserve">stakeholderism requires </w:t>
      </w:r>
      <w:r w:rsidR="000849F5" w:rsidRPr="001A4731">
        <w:rPr>
          <w:bCs/>
          <w:i/>
          <w:lang w:val="en-CA"/>
        </w:rPr>
        <w:t xml:space="preserve">meaningful </w:t>
      </w:r>
      <w:r w:rsidR="000849F5">
        <w:rPr>
          <w:bCs/>
          <w:lang w:val="en-CA"/>
        </w:rPr>
        <w:t>participation.</w:t>
      </w:r>
      <w:r w:rsidR="00F077EB">
        <w:rPr>
          <w:bCs/>
          <w:lang w:val="en-CA"/>
        </w:rPr>
        <w:t xml:space="preserve"> I note this</w:t>
      </w:r>
      <w:r w:rsidR="000849F5">
        <w:rPr>
          <w:bCs/>
          <w:lang w:val="en-CA"/>
        </w:rPr>
        <w:t xml:space="preserve"> because it is my perception that </w:t>
      </w:r>
      <w:r>
        <w:rPr>
          <w:bCs/>
          <w:lang w:val="en-CA"/>
        </w:rPr>
        <w:t xml:space="preserve">this entire exercise, starting with the working group of which I was a member, was </w:t>
      </w:r>
      <w:r w:rsidR="000849F5">
        <w:rPr>
          <w:bCs/>
          <w:lang w:val="en-CA"/>
        </w:rPr>
        <w:t xml:space="preserve">sadly but </w:t>
      </w:r>
      <w:r>
        <w:rPr>
          <w:bCs/>
          <w:lang w:val="en-CA"/>
        </w:rPr>
        <w:t xml:space="preserve">an exercise in futility. </w:t>
      </w:r>
      <w:r w:rsidR="000849F5">
        <w:rPr>
          <w:bCs/>
          <w:lang w:val="en-CA"/>
        </w:rPr>
        <w:t>For this reason</w:t>
      </w:r>
      <w:r>
        <w:rPr>
          <w:bCs/>
          <w:lang w:val="en-CA"/>
        </w:rPr>
        <w:t xml:space="preserve"> I am including as part of this document my dissent from the report of that working group (Appendix 4), which I find still adequately expresses my sentiments, allowing for the following updates and additional points</w:t>
      </w:r>
      <w:r w:rsidR="000849F5">
        <w:rPr>
          <w:bCs/>
          <w:lang w:val="en-CA"/>
        </w:rPr>
        <w:t>:</w:t>
      </w:r>
    </w:p>
    <w:p w14:paraId="628BCBBD" w14:textId="77777777" w:rsidR="00401582" w:rsidRDefault="00401582" w:rsidP="00401582">
      <w:pPr>
        <w:rPr>
          <w:bCs/>
          <w:lang w:val="en-CA"/>
        </w:rPr>
      </w:pPr>
    </w:p>
    <w:p w14:paraId="2813ED73" w14:textId="128887D2" w:rsidR="00401582" w:rsidRDefault="00401582" w:rsidP="00401582">
      <w:pPr>
        <w:pStyle w:val="ListParagraph"/>
        <w:numPr>
          <w:ilvl w:val="0"/>
          <w:numId w:val="1"/>
        </w:numPr>
        <w:rPr>
          <w:bCs/>
          <w:lang w:val="en-CA"/>
        </w:rPr>
      </w:pPr>
      <w:r>
        <w:rPr>
          <w:bCs/>
          <w:lang w:val="en-CA"/>
        </w:rPr>
        <w:t xml:space="preserve">The debate in the GNSO </w:t>
      </w:r>
      <w:r w:rsidR="00AC652C">
        <w:rPr>
          <w:bCs/>
          <w:lang w:val="en-CA"/>
        </w:rPr>
        <w:t>C</w:t>
      </w:r>
      <w:r>
        <w:rPr>
          <w:bCs/>
          <w:lang w:val="en-CA"/>
        </w:rPr>
        <w:t xml:space="preserve">ouncil was inadequate on this matter.  Registrars and </w:t>
      </w:r>
      <w:r w:rsidR="00AC652C">
        <w:rPr>
          <w:bCs/>
          <w:lang w:val="en-CA"/>
        </w:rPr>
        <w:t>r</w:t>
      </w:r>
      <w:r>
        <w:rPr>
          <w:bCs/>
          <w:lang w:val="en-CA"/>
        </w:rPr>
        <w:t xml:space="preserve">egistries were not generally supportive of this new trigger mechanism, yet we passed the </w:t>
      </w:r>
      <w:r w:rsidR="00AE33AB">
        <w:rPr>
          <w:bCs/>
          <w:lang w:val="en-CA"/>
        </w:rPr>
        <w:t>document</w:t>
      </w:r>
      <w:bookmarkStart w:id="0" w:name="_GoBack"/>
      <w:bookmarkEnd w:id="0"/>
      <w:r>
        <w:rPr>
          <w:bCs/>
          <w:lang w:val="en-CA"/>
        </w:rPr>
        <w:t xml:space="preserve"> anyway.  This</w:t>
      </w:r>
      <w:r w:rsidR="00AC652C">
        <w:rPr>
          <w:bCs/>
          <w:lang w:val="en-CA"/>
        </w:rPr>
        <w:t>,</w:t>
      </w:r>
      <w:r>
        <w:rPr>
          <w:bCs/>
          <w:lang w:val="en-CA"/>
        </w:rPr>
        <w:t xml:space="preserve"> in my view</w:t>
      </w:r>
      <w:r w:rsidR="00AC652C">
        <w:rPr>
          <w:bCs/>
          <w:lang w:val="en-CA"/>
        </w:rPr>
        <w:t>,</w:t>
      </w:r>
      <w:r>
        <w:rPr>
          <w:bCs/>
          <w:lang w:val="en-CA"/>
        </w:rPr>
        <w:t xml:space="preserve"> is</w:t>
      </w:r>
      <w:r w:rsidR="00AC652C">
        <w:rPr>
          <w:bCs/>
          <w:lang w:val="en-CA"/>
        </w:rPr>
        <w:t xml:space="preserve"> a</w:t>
      </w:r>
      <w:r>
        <w:rPr>
          <w:bCs/>
          <w:lang w:val="en-CA"/>
        </w:rPr>
        <w:t xml:space="preserve"> waste of everybody’s time, and indeed if yet another working group is </w:t>
      </w:r>
      <w:r w:rsidR="00AC652C">
        <w:rPr>
          <w:bCs/>
          <w:lang w:val="en-CA"/>
        </w:rPr>
        <w:t xml:space="preserve">established </w:t>
      </w:r>
      <w:r>
        <w:rPr>
          <w:bCs/>
          <w:lang w:val="en-CA"/>
        </w:rPr>
        <w:t xml:space="preserve">to re-examine triggers, further time will be </w:t>
      </w:r>
      <w:r w:rsidR="00AC652C">
        <w:rPr>
          <w:bCs/>
          <w:lang w:val="en-CA"/>
        </w:rPr>
        <w:t>squandered</w:t>
      </w:r>
      <w:r>
        <w:rPr>
          <w:bCs/>
          <w:lang w:val="en-CA"/>
        </w:rPr>
        <w:t>.</w:t>
      </w:r>
    </w:p>
    <w:p w14:paraId="7AE4E78D" w14:textId="77777777" w:rsidR="00846502" w:rsidRDefault="00846502" w:rsidP="001A4731">
      <w:pPr>
        <w:pStyle w:val="ListParagraph"/>
        <w:rPr>
          <w:bCs/>
          <w:lang w:val="en-CA"/>
        </w:rPr>
      </w:pPr>
    </w:p>
    <w:p w14:paraId="7D6787B0" w14:textId="5CE76453" w:rsidR="00846502" w:rsidRPr="00846502" w:rsidRDefault="00401582" w:rsidP="00846502">
      <w:pPr>
        <w:pStyle w:val="ListParagraph"/>
        <w:numPr>
          <w:ilvl w:val="0"/>
          <w:numId w:val="1"/>
        </w:numPr>
        <w:rPr>
          <w:bCs/>
          <w:lang w:val="en-CA"/>
        </w:rPr>
      </w:pPr>
      <w:r>
        <w:rPr>
          <w:bCs/>
          <w:lang w:val="en-CA"/>
        </w:rPr>
        <w:t xml:space="preserve">The </w:t>
      </w:r>
      <w:r w:rsidR="00AC652C">
        <w:rPr>
          <w:bCs/>
          <w:lang w:val="en-CA"/>
        </w:rPr>
        <w:t xml:space="preserve">European </w:t>
      </w:r>
      <w:r>
        <w:rPr>
          <w:bCs/>
          <w:lang w:val="en-CA"/>
        </w:rPr>
        <w:t>General Data Protection Regulation (GDPR) is coming into force in May 2018.  There is not enough time now for ICANN</w:t>
      </w:r>
      <w:r w:rsidR="00AC652C">
        <w:rPr>
          <w:bCs/>
          <w:lang w:val="en-CA"/>
        </w:rPr>
        <w:t>,</w:t>
      </w:r>
      <w:r>
        <w:rPr>
          <w:bCs/>
          <w:lang w:val="en-CA"/>
        </w:rPr>
        <w:t xml:space="preserve"> as data controller</w:t>
      </w:r>
      <w:r w:rsidR="00AC652C">
        <w:rPr>
          <w:bCs/>
          <w:lang w:val="en-CA"/>
        </w:rPr>
        <w:t>,</w:t>
      </w:r>
      <w:r>
        <w:rPr>
          <w:bCs/>
          <w:lang w:val="en-CA"/>
        </w:rPr>
        <w:t xml:space="preserve"> to come into compliance.  Registrars and registries are in a similar predicament.  I leave aside the important issue that the actual count of global data protection laws is now 12</w:t>
      </w:r>
      <w:r w:rsidR="001A4731">
        <w:rPr>
          <w:bCs/>
          <w:lang w:val="en-CA"/>
        </w:rPr>
        <w:t>0</w:t>
      </w:r>
      <w:r>
        <w:rPr>
          <w:bCs/>
          <w:lang w:val="en-CA"/>
        </w:rPr>
        <w:t xml:space="preserve">, 19 more than when I wrote the dissent which follows.  Wasting time on alternative triggers strikes me as whistling past the graveyard.  It is time for ICANN to take its responsibilities seriously with respect to data protection and privacy.  </w:t>
      </w:r>
    </w:p>
    <w:p w14:paraId="5163D176" w14:textId="77777777" w:rsidR="00846502" w:rsidRDefault="00846502" w:rsidP="001A4731">
      <w:pPr>
        <w:pStyle w:val="ListParagraph"/>
        <w:rPr>
          <w:bCs/>
          <w:lang w:val="en-CA"/>
        </w:rPr>
      </w:pPr>
    </w:p>
    <w:p w14:paraId="69FCB587" w14:textId="77777777" w:rsidR="00401582" w:rsidRDefault="00401582" w:rsidP="00401582">
      <w:pPr>
        <w:pStyle w:val="ListParagraph"/>
        <w:numPr>
          <w:ilvl w:val="0"/>
          <w:numId w:val="1"/>
        </w:numPr>
        <w:rPr>
          <w:bCs/>
          <w:lang w:val="en-CA"/>
        </w:rPr>
      </w:pPr>
      <w:r>
        <w:rPr>
          <w:bCs/>
          <w:lang w:val="en-CA"/>
        </w:rPr>
        <w:t>In an effort to reach beyond this ineffective trigger mechanism</w:t>
      </w:r>
      <w:r w:rsidR="008F3445">
        <w:rPr>
          <w:bCs/>
          <w:lang w:val="en-CA"/>
        </w:rPr>
        <w:t xml:space="preserve"> and be helpful, I would suggest the following:</w:t>
      </w:r>
    </w:p>
    <w:p w14:paraId="6A5E3358" w14:textId="77777777" w:rsidR="00846502" w:rsidRPr="00846502" w:rsidRDefault="00846502" w:rsidP="001A4731">
      <w:pPr>
        <w:rPr>
          <w:bCs/>
          <w:lang w:val="en-CA"/>
        </w:rPr>
      </w:pPr>
    </w:p>
    <w:p w14:paraId="1ECCFA60" w14:textId="745018E4" w:rsidR="008F3445" w:rsidRDefault="008F3445" w:rsidP="008F3445">
      <w:pPr>
        <w:pStyle w:val="ListParagraph"/>
        <w:numPr>
          <w:ilvl w:val="0"/>
          <w:numId w:val="2"/>
        </w:numPr>
        <w:rPr>
          <w:bCs/>
          <w:lang w:val="en-CA"/>
        </w:rPr>
      </w:pPr>
      <w:r>
        <w:rPr>
          <w:bCs/>
          <w:lang w:val="en-CA"/>
        </w:rPr>
        <w:t xml:space="preserve">Use the opportunity of the data elements review being done by the recently formed (circa </w:t>
      </w:r>
      <w:r w:rsidR="00AC652C">
        <w:rPr>
          <w:bCs/>
          <w:lang w:val="en-CA"/>
        </w:rPr>
        <w:t xml:space="preserve">29 </w:t>
      </w:r>
      <w:r>
        <w:rPr>
          <w:bCs/>
          <w:lang w:val="en-CA"/>
        </w:rPr>
        <w:t xml:space="preserve">June 2017) </w:t>
      </w:r>
      <w:r w:rsidR="00AC652C">
        <w:rPr>
          <w:bCs/>
          <w:lang w:val="en-CA"/>
        </w:rPr>
        <w:t>task force</w:t>
      </w:r>
      <w:r>
        <w:rPr>
          <w:bCs/>
          <w:lang w:val="en-CA"/>
        </w:rPr>
        <w:t xml:space="preserve"> on GDPR compliance to do a proper dataflow map of personal data under ICANN’s control;</w:t>
      </w:r>
    </w:p>
    <w:p w14:paraId="38ADF1CB" w14:textId="6E2AB8FC" w:rsidR="008F3445" w:rsidRDefault="008F3445" w:rsidP="008F3445">
      <w:pPr>
        <w:pStyle w:val="ListParagraph"/>
        <w:numPr>
          <w:ilvl w:val="0"/>
          <w:numId w:val="2"/>
        </w:numPr>
        <w:rPr>
          <w:bCs/>
          <w:lang w:val="en-CA"/>
        </w:rPr>
      </w:pPr>
      <w:r>
        <w:rPr>
          <w:bCs/>
          <w:lang w:val="en-CA"/>
        </w:rPr>
        <w:t xml:space="preserve">Develop a </w:t>
      </w:r>
      <w:r w:rsidR="00F234CD">
        <w:rPr>
          <w:bCs/>
          <w:lang w:val="en-CA"/>
        </w:rPr>
        <w:t>P</w:t>
      </w:r>
      <w:r>
        <w:rPr>
          <w:bCs/>
          <w:lang w:val="en-CA"/>
        </w:rPr>
        <w:t xml:space="preserve">rivacy </w:t>
      </w:r>
      <w:r w:rsidR="00F234CD">
        <w:rPr>
          <w:bCs/>
          <w:lang w:val="en-CA"/>
        </w:rPr>
        <w:t>I</w:t>
      </w:r>
      <w:r>
        <w:rPr>
          <w:bCs/>
          <w:lang w:val="en-CA"/>
        </w:rPr>
        <w:t xml:space="preserve">mpact </w:t>
      </w:r>
      <w:r w:rsidR="00F234CD">
        <w:rPr>
          <w:bCs/>
          <w:lang w:val="en-CA"/>
        </w:rPr>
        <w:t>A</w:t>
      </w:r>
      <w:r>
        <w:rPr>
          <w:bCs/>
          <w:lang w:val="en-CA"/>
        </w:rPr>
        <w:t>ssessment to use in all P</w:t>
      </w:r>
      <w:r w:rsidR="00F234CD">
        <w:rPr>
          <w:bCs/>
          <w:lang w:val="en-CA"/>
        </w:rPr>
        <w:t xml:space="preserve">olicy </w:t>
      </w:r>
      <w:r>
        <w:rPr>
          <w:bCs/>
          <w:lang w:val="en-CA"/>
        </w:rPr>
        <w:t>D</w:t>
      </w:r>
      <w:r w:rsidR="00F234CD">
        <w:rPr>
          <w:bCs/>
          <w:lang w:val="en-CA"/>
        </w:rPr>
        <w:t xml:space="preserve">evelopment </w:t>
      </w:r>
      <w:r>
        <w:rPr>
          <w:bCs/>
          <w:lang w:val="en-CA"/>
        </w:rPr>
        <w:t>P</w:t>
      </w:r>
      <w:r w:rsidR="00F234CD">
        <w:rPr>
          <w:bCs/>
          <w:lang w:val="en-CA"/>
        </w:rPr>
        <w:t>rocesse</w:t>
      </w:r>
      <w:r>
        <w:rPr>
          <w:bCs/>
          <w:lang w:val="en-CA"/>
        </w:rPr>
        <w:t>s, and hire independent contractors to do them so that the working groups do not spend needless fractious hours arguing about the legal requirements;</w:t>
      </w:r>
    </w:p>
    <w:p w14:paraId="0421C613" w14:textId="20373349" w:rsidR="008F3445" w:rsidRDefault="008F3445" w:rsidP="008F3445">
      <w:pPr>
        <w:pStyle w:val="ListParagraph"/>
        <w:numPr>
          <w:ilvl w:val="0"/>
          <w:numId w:val="2"/>
        </w:numPr>
        <w:rPr>
          <w:bCs/>
          <w:lang w:val="en-CA"/>
        </w:rPr>
      </w:pPr>
      <w:r>
        <w:rPr>
          <w:bCs/>
          <w:lang w:val="en-CA"/>
        </w:rPr>
        <w:t xml:space="preserve">Develop a privacy policy that meets accepted </w:t>
      </w:r>
      <w:r w:rsidR="00F234CD">
        <w:rPr>
          <w:bCs/>
          <w:lang w:val="en-CA"/>
        </w:rPr>
        <w:t xml:space="preserve">known </w:t>
      </w:r>
      <w:r>
        <w:rPr>
          <w:bCs/>
          <w:lang w:val="en-CA"/>
        </w:rPr>
        <w:t>best practice, and hire a Chief Privacy Officer (CPO) to enforce it.</w:t>
      </w:r>
    </w:p>
    <w:p w14:paraId="1EB88BC4" w14:textId="77766902" w:rsidR="008F3445" w:rsidRDefault="008F3445" w:rsidP="008F3445">
      <w:pPr>
        <w:pStyle w:val="ListParagraph"/>
        <w:numPr>
          <w:ilvl w:val="0"/>
          <w:numId w:val="2"/>
        </w:numPr>
        <w:rPr>
          <w:bCs/>
          <w:lang w:val="en-CA"/>
        </w:rPr>
      </w:pPr>
      <w:r>
        <w:rPr>
          <w:bCs/>
          <w:lang w:val="en-CA"/>
        </w:rPr>
        <w:lastRenderedPageBreak/>
        <w:t>Trust the contracted parties to figure out</w:t>
      </w:r>
      <w:r w:rsidR="001A4731">
        <w:rPr>
          <w:bCs/>
          <w:lang w:val="en-CA"/>
        </w:rPr>
        <w:t xml:space="preserve"> </w:t>
      </w:r>
      <w:r>
        <w:rPr>
          <w:bCs/>
          <w:lang w:val="en-CA"/>
        </w:rPr>
        <w:t>their own liability on this issue.  If they</w:t>
      </w:r>
      <w:r w:rsidR="00F234CD">
        <w:rPr>
          <w:bCs/>
          <w:lang w:val="en-CA"/>
        </w:rPr>
        <w:t xml:space="preserve"> or their Counsel</w:t>
      </w:r>
      <w:r>
        <w:rPr>
          <w:bCs/>
          <w:lang w:val="en-CA"/>
        </w:rPr>
        <w:t xml:space="preserve"> </w:t>
      </w:r>
      <w:r w:rsidR="00F234CD">
        <w:rPr>
          <w:bCs/>
          <w:lang w:val="en-CA"/>
        </w:rPr>
        <w:t xml:space="preserve">determine </w:t>
      </w:r>
      <w:r>
        <w:rPr>
          <w:bCs/>
          <w:lang w:val="en-CA"/>
        </w:rPr>
        <w:t xml:space="preserve">their contract is not in compliance with data protection law, and have obtained legal advice on the matter, that ought to be </w:t>
      </w:r>
      <w:r w:rsidR="00AC652C">
        <w:rPr>
          <w:bCs/>
          <w:lang w:val="en-CA"/>
        </w:rPr>
        <w:t xml:space="preserve">the </w:t>
      </w:r>
      <w:r>
        <w:rPr>
          <w:bCs/>
          <w:lang w:val="en-CA"/>
        </w:rPr>
        <w:t xml:space="preserve">end of it.  </w:t>
      </w:r>
    </w:p>
    <w:p w14:paraId="28D68EE9" w14:textId="77777777" w:rsidR="008F3445" w:rsidRDefault="008F3445" w:rsidP="008F3445">
      <w:pPr>
        <w:pStyle w:val="ListParagraph"/>
        <w:numPr>
          <w:ilvl w:val="0"/>
          <w:numId w:val="2"/>
        </w:numPr>
        <w:rPr>
          <w:bCs/>
          <w:lang w:val="en-CA"/>
        </w:rPr>
      </w:pPr>
      <w:r>
        <w:rPr>
          <w:bCs/>
          <w:lang w:val="en-CA"/>
        </w:rPr>
        <w:t>Trust the data protection authorities when they write and tell ICANN that it is not in compliance with law.  They are the ones who will be enforcing the data protection laws in</w:t>
      </w:r>
      <w:r w:rsidR="00AC652C">
        <w:rPr>
          <w:bCs/>
          <w:lang w:val="en-CA"/>
        </w:rPr>
        <w:t xml:space="preserve"> their jurisdictions in</w:t>
      </w:r>
      <w:r>
        <w:rPr>
          <w:bCs/>
          <w:lang w:val="en-CA"/>
        </w:rPr>
        <w:t xml:space="preserve"> most cases.</w:t>
      </w:r>
    </w:p>
    <w:p w14:paraId="4A3536AB" w14:textId="77777777" w:rsidR="008F3445" w:rsidRDefault="008F3445" w:rsidP="008F3445">
      <w:pPr>
        <w:rPr>
          <w:bCs/>
          <w:lang w:val="en-CA"/>
        </w:rPr>
      </w:pPr>
    </w:p>
    <w:p w14:paraId="767F1689" w14:textId="179E06D2" w:rsidR="008F3445" w:rsidRDefault="008F3445" w:rsidP="008F3445">
      <w:pPr>
        <w:rPr>
          <w:bCs/>
          <w:lang w:val="en-CA"/>
        </w:rPr>
      </w:pPr>
      <w:r>
        <w:rPr>
          <w:bCs/>
          <w:lang w:val="en-CA"/>
        </w:rPr>
        <w:t>I hope</w:t>
      </w:r>
      <w:r w:rsidR="00595656">
        <w:rPr>
          <w:bCs/>
          <w:lang w:val="en-CA"/>
        </w:rPr>
        <w:t xml:space="preserve"> </w:t>
      </w:r>
      <w:r>
        <w:rPr>
          <w:bCs/>
          <w:lang w:val="en-CA"/>
        </w:rPr>
        <w:t xml:space="preserve">these remarks are helpful.  I would </w:t>
      </w:r>
      <w:r w:rsidR="00E267AC">
        <w:rPr>
          <w:bCs/>
          <w:lang w:val="en-CA"/>
        </w:rPr>
        <w:t xml:space="preserve">also like to </w:t>
      </w:r>
      <w:r>
        <w:rPr>
          <w:bCs/>
          <w:lang w:val="en-CA"/>
        </w:rPr>
        <w:t>endorse the</w:t>
      </w:r>
      <w:r w:rsidR="00AC652C">
        <w:rPr>
          <w:bCs/>
          <w:lang w:val="en-CA"/>
        </w:rPr>
        <w:t xml:space="preserve"> comments of the</w:t>
      </w:r>
      <w:r>
        <w:rPr>
          <w:bCs/>
          <w:lang w:val="en-CA"/>
        </w:rPr>
        <w:t xml:space="preserve"> NCSG</w:t>
      </w:r>
      <w:r w:rsidR="00E267AC">
        <w:rPr>
          <w:bCs/>
          <w:lang w:val="en-CA"/>
        </w:rPr>
        <w:t>, Council of Europe</w:t>
      </w:r>
      <w:r w:rsidR="00AC652C">
        <w:rPr>
          <w:bCs/>
          <w:lang w:val="en-CA"/>
        </w:rPr>
        <w:t>,</w:t>
      </w:r>
      <w:r>
        <w:rPr>
          <w:bCs/>
          <w:lang w:val="en-CA"/>
        </w:rPr>
        <w:t xml:space="preserve"> and ALAC</w:t>
      </w:r>
      <w:r w:rsidR="00595656">
        <w:rPr>
          <w:bCs/>
          <w:lang w:val="en-CA"/>
        </w:rPr>
        <w:t xml:space="preserve"> on this matter</w:t>
      </w:r>
      <w:r>
        <w:rPr>
          <w:bCs/>
          <w:lang w:val="en-CA"/>
        </w:rPr>
        <w:t>.</w:t>
      </w:r>
    </w:p>
    <w:p w14:paraId="5DC68ADA" w14:textId="77777777" w:rsidR="00595656" w:rsidRDefault="00595656" w:rsidP="008F3445">
      <w:pPr>
        <w:rPr>
          <w:bCs/>
          <w:lang w:val="en-CA"/>
        </w:rPr>
      </w:pPr>
    </w:p>
    <w:p w14:paraId="04906C80" w14:textId="77777777" w:rsidR="008F3445" w:rsidRDefault="008F3445" w:rsidP="008F3445">
      <w:pPr>
        <w:rPr>
          <w:bCs/>
          <w:lang w:val="en-CA"/>
        </w:rPr>
      </w:pPr>
      <w:r>
        <w:rPr>
          <w:bCs/>
          <w:lang w:val="en-CA"/>
        </w:rPr>
        <w:t>Stephanie Perrin</w:t>
      </w:r>
    </w:p>
    <w:p w14:paraId="339F1F2D" w14:textId="77777777" w:rsidR="008F3445" w:rsidRDefault="008F3445" w:rsidP="008F3445">
      <w:pPr>
        <w:rPr>
          <w:bCs/>
          <w:lang w:val="en-CA"/>
        </w:rPr>
      </w:pPr>
    </w:p>
    <w:p w14:paraId="7A7BCF6B" w14:textId="77777777" w:rsidR="008F3445" w:rsidRPr="008F3445" w:rsidRDefault="008F3445" w:rsidP="008F3445">
      <w:pPr>
        <w:rPr>
          <w:bCs/>
          <w:lang w:val="en-CA"/>
        </w:rPr>
      </w:pPr>
    </w:p>
    <w:p w14:paraId="7AD14669" w14:textId="77777777" w:rsidR="00401582" w:rsidRPr="00401582" w:rsidRDefault="00401582" w:rsidP="00401582">
      <w:pPr>
        <w:rPr>
          <w:bCs/>
          <w:lang w:val="en-CA"/>
        </w:rPr>
      </w:pPr>
    </w:p>
    <w:p w14:paraId="498724CD" w14:textId="77777777" w:rsidR="00401582" w:rsidRPr="00401582" w:rsidRDefault="00401582"/>
    <w:p w14:paraId="609BB3A6" w14:textId="77777777" w:rsidR="00401582" w:rsidRDefault="00401582">
      <w:pPr>
        <w:rPr>
          <w:b/>
        </w:rPr>
      </w:pPr>
    </w:p>
    <w:p w14:paraId="5047C5B7" w14:textId="77777777" w:rsidR="005F0694" w:rsidRPr="00E07655" w:rsidRDefault="00BD5447" w:rsidP="00AC652C">
      <w:pPr>
        <w:outlineLvl w:val="0"/>
        <w:rPr>
          <w:b/>
        </w:rPr>
      </w:pPr>
      <w:r w:rsidRPr="00E07655">
        <w:rPr>
          <w:b/>
        </w:rPr>
        <w:t>Appendix 4:  Statement of Stephanie Perrin</w:t>
      </w:r>
    </w:p>
    <w:p w14:paraId="6C78D239" w14:textId="77777777" w:rsidR="00BD5447" w:rsidRDefault="00BD5447"/>
    <w:p w14:paraId="7225BF41" w14:textId="77777777" w:rsidR="00BD5447" w:rsidRDefault="00E07655">
      <w:r>
        <w:t>I have requested that</w:t>
      </w:r>
      <w:r w:rsidR="009F407E">
        <w:t xml:space="preserve"> this statement </w:t>
      </w:r>
      <w:r>
        <w:t xml:space="preserve">be </w:t>
      </w:r>
      <w:r w:rsidR="009F407E">
        <w:t xml:space="preserve">included in the report, because it is my view that the </w:t>
      </w:r>
      <w:r w:rsidR="00A34451">
        <w:t xml:space="preserve">report does not reflect even rough consensus of how to proceed on the matter of WHOIS conflicts with law.  </w:t>
      </w:r>
      <w:r w:rsidR="00BD5447">
        <w:t xml:space="preserve">The statement of Christopher Wilkinson (Appendix 3) makes many of the same points which I feel compelled to raise.  I will try </w:t>
      </w:r>
      <w:r w:rsidR="00A34451">
        <w:t xml:space="preserve">to </w:t>
      </w:r>
      <w:r w:rsidR="00BD5447">
        <w:t>avoid unnecessary repetition.</w:t>
      </w:r>
    </w:p>
    <w:p w14:paraId="2D2705D8" w14:textId="77777777" w:rsidR="00BD5447" w:rsidRDefault="00BD5447"/>
    <w:p w14:paraId="4D17F23B" w14:textId="77777777" w:rsidR="00BD5447" w:rsidRDefault="00BD5447" w:rsidP="00AC652C">
      <w:pPr>
        <w:outlineLvl w:val="0"/>
        <w:rPr>
          <w:b/>
        </w:rPr>
      </w:pPr>
      <w:r>
        <w:rPr>
          <w:b/>
        </w:rPr>
        <w:t>Operations of the WHOIS conflicts WG</w:t>
      </w:r>
    </w:p>
    <w:p w14:paraId="2AB49534" w14:textId="77777777" w:rsidR="00BD5447" w:rsidRDefault="00BD5447">
      <w:r>
        <w:t>It is bizarre that we are tasked with discussing how to improve a process that has never been invoked, without addressing the fundamentally flawed policy which the process seeks to implement.  A tremendous amount of discussion was held in which many stakeholders (I would agree with Christopher Wilkinson, and say the majority) pointed out the flaws in the policy.</w:t>
      </w:r>
    </w:p>
    <w:p w14:paraId="6CCCC893" w14:textId="77777777" w:rsidR="00BD5447" w:rsidRDefault="00BD5447"/>
    <w:p w14:paraId="0737A3B2" w14:textId="77777777" w:rsidR="00DF3970" w:rsidRDefault="00BD5447">
      <w:r>
        <w:t xml:space="preserve">The process has not been invoked largely, in my view, because the pressure has been taken off data protection law as a mechanism for registrants to protect their privacy.  Registrants make use of privacy proxy services to protect their data.  If the </w:t>
      </w:r>
      <w:r w:rsidR="00E07655">
        <w:t xml:space="preserve">current </w:t>
      </w:r>
      <w:r>
        <w:t xml:space="preserve">work of the Privacy Proxy Services Accreditation Issues Working Group (PPSAI-WG) comes to fruition, there will be more requirements demanded of service providers, and it may become more difficult/expensive for registrants to keep their personal data out of the WHOIS directory.  If this were to transpire, it seems likely to me </w:t>
      </w:r>
      <w:r w:rsidR="009F407E">
        <w:t xml:space="preserve">(and I will admit that this is speculation at this point) </w:t>
      </w:r>
      <w:r>
        <w:t xml:space="preserve">that registrants may take an interest in complaining about the failure of registrars to comply with data protection law.  The fact that this situation does not apply in the US </w:t>
      </w:r>
      <w:r w:rsidR="00A34451">
        <w:t xml:space="preserve">because of the lack of applicable data protection law </w:t>
      </w:r>
      <w:r>
        <w:t>does not make it irrelevant, despite the fact that ICANN is a California corp</w:t>
      </w:r>
      <w:r w:rsidR="00A34451">
        <w:t>oration.  Data protection law now</w:t>
      </w:r>
      <w:r w:rsidR="00DF3970">
        <w:t xml:space="preserve"> applies in over 101</w:t>
      </w:r>
      <w:r>
        <w:t xml:space="preserve"> countries</w:t>
      </w:r>
      <w:r>
        <w:rPr>
          <w:rStyle w:val="FootnoteReference"/>
        </w:rPr>
        <w:footnoteReference w:id="1"/>
      </w:r>
      <w:r w:rsidR="00DF3970">
        <w:t xml:space="preserve">, and it seems far more logical, and compliant with ICANN’s obligations to act in the public interest, to comply with law rather than persist in demanding the disclosure of personal information in a public directory unless a competent authority threatens to enforce the law. </w:t>
      </w:r>
      <w:r w:rsidR="00E07655">
        <w:t xml:space="preserve"> To insist on a policy that does not acko</w:t>
      </w:r>
    </w:p>
    <w:p w14:paraId="7C8F938A" w14:textId="77777777" w:rsidR="00DF3970" w:rsidRDefault="00DF3970"/>
    <w:p w14:paraId="2B1C17F6" w14:textId="77777777" w:rsidR="00BD5447" w:rsidRDefault="00DF3970">
      <w:r>
        <w:t>The question immediately arises, and of course has been debated at length in our group, “How do you know that the practice of putting the data in WHOIS is not in compliance with law, absent an enforceable order?”</w:t>
      </w:r>
      <w:r w:rsidR="00A616F7">
        <w:t xml:space="preserve">  Quite simply, the two most relevant associations of global data protection authorities, the Article 29 Working Party on Data Protection</w:t>
      </w:r>
      <w:r w:rsidR="00B2242E">
        <w:rPr>
          <w:rStyle w:val="FootnoteReference"/>
        </w:rPr>
        <w:footnoteReference w:id="2"/>
      </w:r>
      <w:r w:rsidR="00A616F7">
        <w:t>, and the International Working Group on Data Protection in Telecommunications and Media (IWGDPT) have said so.  They have been expressing their concerns about WHOIS to ICANN since 1998.</w:t>
      </w:r>
      <w:r w:rsidR="00BD5447">
        <w:t xml:space="preserve"> </w:t>
      </w:r>
      <w:r w:rsidR="00A616F7">
        <w:t xml:space="preserve"> The following table outlines their</w:t>
      </w:r>
      <w:r w:rsidR="007844FE">
        <w:t xml:space="preserve"> publications and letters on various WHOIS-related</w:t>
      </w:r>
      <w:r w:rsidR="00A616F7">
        <w:t xml:space="preserve"> matter</w:t>
      </w:r>
      <w:r w:rsidR="007844FE">
        <w:t>s</w:t>
      </w:r>
      <w:r w:rsidR="00A616F7">
        <w:t>.</w:t>
      </w:r>
    </w:p>
    <w:p w14:paraId="6FCFF189" w14:textId="77777777" w:rsidR="00A616F7" w:rsidRDefault="00A616F7"/>
    <w:tbl>
      <w:tblPr>
        <w:tblStyle w:val="TableGrid"/>
        <w:tblW w:w="9464" w:type="dxa"/>
        <w:tblLook w:val="04A0" w:firstRow="1" w:lastRow="0" w:firstColumn="1" w:lastColumn="0" w:noHBand="0" w:noVBand="1"/>
      </w:tblPr>
      <w:tblGrid>
        <w:gridCol w:w="1097"/>
        <w:gridCol w:w="1270"/>
        <w:gridCol w:w="2758"/>
        <w:gridCol w:w="4339"/>
      </w:tblGrid>
      <w:tr w:rsidR="009F407E" w14:paraId="0C42A150" w14:textId="77777777" w:rsidTr="009F407E">
        <w:tc>
          <w:tcPr>
            <w:tcW w:w="9464" w:type="dxa"/>
            <w:gridSpan w:val="4"/>
            <w:shd w:val="clear" w:color="auto" w:fill="auto"/>
          </w:tcPr>
          <w:p w14:paraId="17720551" w14:textId="77777777" w:rsidR="009F407E" w:rsidRPr="007D25F4" w:rsidRDefault="009F407E" w:rsidP="00A616F7">
            <w:pPr>
              <w:rPr>
                <w:b/>
              </w:rPr>
            </w:pPr>
            <w:r>
              <w:rPr>
                <w:b/>
              </w:rPr>
              <w:t>Interventions of international Data Protection Authorities relating to ICANN</w:t>
            </w:r>
          </w:p>
        </w:tc>
      </w:tr>
      <w:tr w:rsidR="00A616F7" w14:paraId="7B8073FB" w14:textId="77777777" w:rsidTr="00A616F7">
        <w:tc>
          <w:tcPr>
            <w:tcW w:w="1097" w:type="dxa"/>
            <w:shd w:val="clear" w:color="auto" w:fill="auto"/>
          </w:tcPr>
          <w:p w14:paraId="733325F8" w14:textId="77777777" w:rsidR="00A616F7" w:rsidRPr="009F7200" w:rsidRDefault="00A616F7" w:rsidP="00A616F7">
            <w:pPr>
              <w:rPr>
                <w:b/>
              </w:rPr>
            </w:pPr>
            <w:r w:rsidRPr="009F7200">
              <w:rPr>
                <w:b/>
              </w:rPr>
              <w:t>DATE</w:t>
            </w:r>
          </w:p>
        </w:tc>
        <w:tc>
          <w:tcPr>
            <w:tcW w:w="1270" w:type="dxa"/>
            <w:shd w:val="clear" w:color="auto" w:fill="auto"/>
          </w:tcPr>
          <w:p w14:paraId="0C4485DF" w14:textId="77777777" w:rsidR="00A616F7" w:rsidRPr="007D25F4" w:rsidRDefault="00A616F7" w:rsidP="00A616F7">
            <w:pPr>
              <w:rPr>
                <w:b/>
              </w:rPr>
            </w:pPr>
            <w:r w:rsidRPr="007D25F4">
              <w:rPr>
                <w:b/>
              </w:rPr>
              <w:t>AUTHOR</w:t>
            </w:r>
          </w:p>
        </w:tc>
        <w:tc>
          <w:tcPr>
            <w:tcW w:w="2758" w:type="dxa"/>
            <w:shd w:val="clear" w:color="auto" w:fill="auto"/>
          </w:tcPr>
          <w:p w14:paraId="3BD06958" w14:textId="77777777" w:rsidR="00A616F7" w:rsidRPr="007D25F4" w:rsidRDefault="00A616F7" w:rsidP="00A616F7">
            <w:pPr>
              <w:rPr>
                <w:b/>
              </w:rPr>
            </w:pPr>
            <w:r w:rsidRPr="007D25F4">
              <w:rPr>
                <w:b/>
              </w:rPr>
              <w:t>TITLE</w:t>
            </w:r>
          </w:p>
        </w:tc>
        <w:tc>
          <w:tcPr>
            <w:tcW w:w="4339" w:type="dxa"/>
            <w:shd w:val="clear" w:color="auto" w:fill="auto"/>
          </w:tcPr>
          <w:p w14:paraId="45662AB0" w14:textId="77777777" w:rsidR="00A616F7" w:rsidRPr="007D25F4" w:rsidRDefault="00A616F7" w:rsidP="00A616F7">
            <w:pPr>
              <w:rPr>
                <w:b/>
              </w:rPr>
            </w:pPr>
            <w:r w:rsidRPr="007D25F4">
              <w:rPr>
                <w:b/>
              </w:rPr>
              <w:t>DESCRIPTION</w:t>
            </w:r>
          </w:p>
        </w:tc>
      </w:tr>
      <w:tr w:rsidR="00A616F7" w14:paraId="0F276D5B" w14:textId="77777777" w:rsidTr="00A616F7">
        <w:tc>
          <w:tcPr>
            <w:tcW w:w="1097" w:type="dxa"/>
            <w:shd w:val="clear" w:color="auto" w:fill="auto"/>
          </w:tcPr>
          <w:p w14:paraId="09EE606B" w14:textId="77777777" w:rsidR="00A616F7" w:rsidRDefault="00A616F7" w:rsidP="00A616F7">
            <w:r>
              <w:t>1998</w:t>
            </w:r>
          </w:p>
        </w:tc>
        <w:tc>
          <w:tcPr>
            <w:tcW w:w="1270" w:type="dxa"/>
            <w:shd w:val="clear" w:color="auto" w:fill="auto"/>
          </w:tcPr>
          <w:p w14:paraId="18F5A2A5" w14:textId="77777777" w:rsidR="00A616F7" w:rsidRDefault="00A616F7" w:rsidP="00A616F7">
            <w:r>
              <w:t>IWGDPT</w:t>
            </w:r>
          </w:p>
        </w:tc>
        <w:tc>
          <w:tcPr>
            <w:tcW w:w="2758" w:type="dxa"/>
            <w:shd w:val="clear" w:color="auto" w:fill="auto"/>
          </w:tcPr>
          <w:p w14:paraId="226D4925" w14:textId="77777777" w:rsidR="00A616F7" w:rsidRDefault="00A616F7" w:rsidP="00A616F7">
            <w:r>
              <w:t>Common position on Reverse Directories</w:t>
            </w:r>
          </w:p>
        </w:tc>
        <w:tc>
          <w:tcPr>
            <w:tcW w:w="4339" w:type="dxa"/>
            <w:shd w:val="clear" w:color="auto" w:fill="auto"/>
          </w:tcPr>
          <w:p w14:paraId="559BC291" w14:textId="77777777" w:rsidR="00A616F7" w:rsidRDefault="00A616F7" w:rsidP="00A616F7">
            <w:r>
              <w:t>Consent and transparency required</w:t>
            </w:r>
          </w:p>
          <w:p w14:paraId="5384225F" w14:textId="77777777" w:rsidR="00A616F7" w:rsidRDefault="00A616F7" w:rsidP="00A616F7">
            <w:r>
              <w:t>Referenced in Art 29 re WHOIS</w:t>
            </w:r>
          </w:p>
        </w:tc>
      </w:tr>
      <w:tr w:rsidR="00A616F7" w14:paraId="30D905F6" w14:textId="77777777" w:rsidTr="00A616F7">
        <w:tc>
          <w:tcPr>
            <w:tcW w:w="1097" w:type="dxa"/>
            <w:shd w:val="clear" w:color="auto" w:fill="auto"/>
          </w:tcPr>
          <w:p w14:paraId="769B038A" w14:textId="77777777" w:rsidR="00A616F7" w:rsidRDefault="00A616F7" w:rsidP="00A616F7">
            <w:r>
              <w:t>2000</w:t>
            </w:r>
          </w:p>
        </w:tc>
        <w:tc>
          <w:tcPr>
            <w:tcW w:w="1270" w:type="dxa"/>
            <w:shd w:val="clear" w:color="auto" w:fill="auto"/>
          </w:tcPr>
          <w:p w14:paraId="33E3A9EA" w14:textId="77777777" w:rsidR="00A616F7" w:rsidRDefault="00A616F7" w:rsidP="00A616F7">
            <w:r>
              <w:t>IWGDPT</w:t>
            </w:r>
          </w:p>
        </w:tc>
        <w:tc>
          <w:tcPr>
            <w:tcW w:w="2758" w:type="dxa"/>
            <w:shd w:val="clear" w:color="auto" w:fill="auto"/>
          </w:tcPr>
          <w:p w14:paraId="3FFA3553" w14:textId="77777777" w:rsidR="00A616F7" w:rsidRDefault="00A616F7" w:rsidP="00A616F7">
            <w:r>
              <w:t>Common position on WHOIS</w:t>
            </w:r>
          </w:p>
        </w:tc>
        <w:tc>
          <w:tcPr>
            <w:tcW w:w="4339" w:type="dxa"/>
            <w:shd w:val="clear" w:color="auto" w:fill="auto"/>
          </w:tcPr>
          <w:p w14:paraId="7CDC7748" w14:textId="77777777" w:rsidR="00A616F7" w:rsidRDefault="00A616F7" w:rsidP="00A616F7">
            <w:r>
              <w:t>State purpose, restrict data published, restrict marketing and secondary use</w:t>
            </w:r>
          </w:p>
        </w:tc>
      </w:tr>
      <w:tr w:rsidR="00A616F7" w14:paraId="7F37925E" w14:textId="77777777" w:rsidTr="00A616F7">
        <w:tc>
          <w:tcPr>
            <w:tcW w:w="1097" w:type="dxa"/>
            <w:shd w:val="clear" w:color="auto" w:fill="auto"/>
          </w:tcPr>
          <w:p w14:paraId="10C66B23" w14:textId="77777777" w:rsidR="00A616F7" w:rsidRDefault="00A616F7" w:rsidP="00A616F7">
            <w:r>
              <w:t>2000</w:t>
            </w:r>
          </w:p>
          <w:p w14:paraId="2708DD1B" w14:textId="77777777" w:rsidR="00A616F7" w:rsidRDefault="00A616F7" w:rsidP="00A616F7"/>
        </w:tc>
        <w:tc>
          <w:tcPr>
            <w:tcW w:w="1270" w:type="dxa"/>
            <w:shd w:val="clear" w:color="auto" w:fill="auto"/>
          </w:tcPr>
          <w:p w14:paraId="1A1721EA" w14:textId="77777777" w:rsidR="00A616F7" w:rsidRDefault="00A616F7" w:rsidP="00A616F7">
            <w:r>
              <w:t>IWGDPT</w:t>
            </w:r>
          </w:p>
        </w:tc>
        <w:tc>
          <w:tcPr>
            <w:tcW w:w="2758" w:type="dxa"/>
            <w:shd w:val="clear" w:color="auto" w:fill="auto"/>
          </w:tcPr>
          <w:p w14:paraId="047CBDF7" w14:textId="77777777" w:rsidR="00A616F7" w:rsidRDefault="00A616F7" w:rsidP="00A616F7">
            <w:r>
              <w:t>Ten commandments for privacy on the Internet</w:t>
            </w:r>
          </w:p>
        </w:tc>
        <w:tc>
          <w:tcPr>
            <w:tcW w:w="4339" w:type="dxa"/>
            <w:shd w:val="clear" w:color="auto" w:fill="auto"/>
          </w:tcPr>
          <w:p w14:paraId="409069CC" w14:textId="77777777" w:rsidR="00A616F7" w:rsidRDefault="00A616F7" w:rsidP="00A616F7">
            <w:r>
              <w:t>Virtual right to be let alone restricts directory listings</w:t>
            </w:r>
          </w:p>
        </w:tc>
      </w:tr>
      <w:tr w:rsidR="00A616F7" w14:paraId="596FBA47" w14:textId="77777777" w:rsidTr="00A616F7">
        <w:tc>
          <w:tcPr>
            <w:tcW w:w="1097" w:type="dxa"/>
            <w:shd w:val="clear" w:color="auto" w:fill="auto"/>
          </w:tcPr>
          <w:p w14:paraId="11F7297F" w14:textId="77777777" w:rsidR="00A616F7" w:rsidRDefault="00A616F7" w:rsidP="00A616F7">
            <w:r>
              <w:t>2001</w:t>
            </w:r>
          </w:p>
          <w:p w14:paraId="51FF9EAA" w14:textId="77777777" w:rsidR="00A616F7" w:rsidRDefault="00A616F7" w:rsidP="00A616F7"/>
        </w:tc>
        <w:tc>
          <w:tcPr>
            <w:tcW w:w="1270" w:type="dxa"/>
            <w:shd w:val="clear" w:color="auto" w:fill="auto"/>
          </w:tcPr>
          <w:p w14:paraId="5676BC12" w14:textId="77777777" w:rsidR="00A616F7" w:rsidRDefault="00A616F7" w:rsidP="00A616F7">
            <w:r>
              <w:t>Art 29</w:t>
            </w:r>
            <w:r w:rsidR="00A34451">
              <w:t xml:space="preserve"> WP</w:t>
            </w:r>
          </w:p>
        </w:tc>
        <w:tc>
          <w:tcPr>
            <w:tcW w:w="2758" w:type="dxa"/>
            <w:shd w:val="clear" w:color="auto" w:fill="auto"/>
          </w:tcPr>
          <w:p w14:paraId="2419CFFD" w14:textId="77777777" w:rsidR="00A616F7" w:rsidRDefault="00A616F7" w:rsidP="00A616F7">
            <w:r>
              <w:t>Comments to EC on WHOIS</w:t>
            </w:r>
          </w:p>
        </w:tc>
        <w:tc>
          <w:tcPr>
            <w:tcW w:w="4339" w:type="dxa"/>
            <w:shd w:val="clear" w:color="auto" w:fill="auto"/>
          </w:tcPr>
          <w:p w14:paraId="0D4CE166" w14:textId="77777777" w:rsidR="00A616F7" w:rsidRDefault="00A616F7" w:rsidP="00A616F7">
            <w:r>
              <w:t>EC requested comments on WIPO issues and WHOIS</w:t>
            </w:r>
          </w:p>
        </w:tc>
      </w:tr>
      <w:tr w:rsidR="00A616F7" w14:paraId="2C7EF4B8" w14:textId="77777777" w:rsidTr="00A616F7">
        <w:tc>
          <w:tcPr>
            <w:tcW w:w="1097" w:type="dxa"/>
            <w:shd w:val="clear" w:color="auto" w:fill="auto"/>
          </w:tcPr>
          <w:p w14:paraId="2E4A26C9" w14:textId="77777777" w:rsidR="00A616F7" w:rsidRDefault="00A616F7" w:rsidP="00A616F7">
            <w:r>
              <w:t>2003</w:t>
            </w:r>
          </w:p>
        </w:tc>
        <w:tc>
          <w:tcPr>
            <w:tcW w:w="1270" w:type="dxa"/>
            <w:shd w:val="clear" w:color="auto" w:fill="auto"/>
          </w:tcPr>
          <w:p w14:paraId="6DBEC38F" w14:textId="77777777" w:rsidR="00A616F7" w:rsidRDefault="00A616F7" w:rsidP="00A616F7">
            <w:r>
              <w:t>EC DG15</w:t>
            </w:r>
            <w:r w:rsidR="00A34451">
              <w:rPr>
                <w:rStyle w:val="FootnoteReference"/>
              </w:rPr>
              <w:footnoteReference w:id="3"/>
            </w:r>
          </w:p>
        </w:tc>
        <w:tc>
          <w:tcPr>
            <w:tcW w:w="2758" w:type="dxa"/>
            <w:shd w:val="clear" w:color="auto" w:fill="auto"/>
          </w:tcPr>
          <w:p w14:paraId="4A613D49" w14:textId="77777777" w:rsidR="00A616F7" w:rsidRDefault="00A616F7" w:rsidP="00A616F7">
            <w:r>
              <w:t>Comments on WHOIS</w:t>
            </w:r>
          </w:p>
        </w:tc>
        <w:tc>
          <w:tcPr>
            <w:tcW w:w="4339" w:type="dxa"/>
            <w:shd w:val="clear" w:color="auto" w:fill="auto"/>
          </w:tcPr>
          <w:p w14:paraId="0F78E892" w14:textId="77777777" w:rsidR="00A616F7" w:rsidRDefault="00A616F7" w:rsidP="00A616F7">
            <w:r>
              <w:t>Notes reverse directories, purpose</w:t>
            </w:r>
          </w:p>
        </w:tc>
      </w:tr>
      <w:tr w:rsidR="00A616F7" w14:paraId="232A02C5" w14:textId="77777777" w:rsidTr="00A616F7">
        <w:tc>
          <w:tcPr>
            <w:tcW w:w="1097" w:type="dxa"/>
            <w:shd w:val="clear" w:color="auto" w:fill="auto"/>
          </w:tcPr>
          <w:p w14:paraId="1D7EFBDB" w14:textId="77777777" w:rsidR="00A616F7" w:rsidRDefault="00A616F7" w:rsidP="00A616F7">
            <w:r>
              <w:t>2003</w:t>
            </w:r>
          </w:p>
          <w:p w14:paraId="2B90BF33" w14:textId="77777777" w:rsidR="00A616F7" w:rsidRDefault="00A616F7" w:rsidP="00A616F7"/>
        </w:tc>
        <w:tc>
          <w:tcPr>
            <w:tcW w:w="1270" w:type="dxa"/>
            <w:shd w:val="clear" w:color="auto" w:fill="auto"/>
          </w:tcPr>
          <w:p w14:paraId="6B03DBAB" w14:textId="77777777" w:rsidR="00A616F7" w:rsidRDefault="00A616F7" w:rsidP="00A616F7">
            <w:r>
              <w:t>IWGDPT</w:t>
            </w:r>
          </w:p>
        </w:tc>
        <w:tc>
          <w:tcPr>
            <w:tcW w:w="2758" w:type="dxa"/>
            <w:shd w:val="clear" w:color="auto" w:fill="auto"/>
          </w:tcPr>
          <w:p w14:paraId="0E0F2EA7" w14:textId="77777777" w:rsidR="00A616F7" w:rsidRDefault="00A616F7" w:rsidP="00A616F7">
            <w:r>
              <w:t>Letter to ICANN re Names Council WHOIS task force</w:t>
            </w:r>
          </w:p>
        </w:tc>
        <w:tc>
          <w:tcPr>
            <w:tcW w:w="4339" w:type="dxa"/>
            <w:shd w:val="clear" w:color="auto" w:fill="auto"/>
          </w:tcPr>
          <w:p w14:paraId="777D7623" w14:textId="77777777" w:rsidR="00A616F7" w:rsidRDefault="00A616F7" w:rsidP="00A616F7">
            <w:r>
              <w:t>Notes earlier interventions, purpose</w:t>
            </w:r>
          </w:p>
        </w:tc>
      </w:tr>
      <w:tr w:rsidR="00A616F7" w14:paraId="62085B1A" w14:textId="77777777" w:rsidTr="00A616F7">
        <w:tc>
          <w:tcPr>
            <w:tcW w:w="1097" w:type="dxa"/>
            <w:shd w:val="clear" w:color="auto" w:fill="auto"/>
          </w:tcPr>
          <w:p w14:paraId="1DB90254" w14:textId="77777777" w:rsidR="00A616F7" w:rsidRDefault="00A616F7" w:rsidP="00A616F7">
            <w:r>
              <w:t>2003</w:t>
            </w:r>
          </w:p>
          <w:p w14:paraId="5D9B2449" w14:textId="77777777" w:rsidR="00A616F7" w:rsidRDefault="00A616F7" w:rsidP="00A616F7"/>
        </w:tc>
        <w:tc>
          <w:tcPr>
            <w:tcW w:w="1270" w:type="dxa"/>
            <w:shd w:val="clear" w:color="auto" w:fill="auto"/>
          </w:tcPr>
          <w:p w14:paraId="23CBE135" w14:textId="77777777" w:rsidR="00A616F7" w:rsidRDefault="00A616F7" w:rsidP="00A616F7">
            <w:r>
              <w:t>Art 29</w:t>
            </w:r>
            <w:r w:rsidR="00A34451">
              <w:t xml:space="preserve"> WP</w:t>
            </w:r>
          </w:p>
        </w:tc>
        <w:tc>
          <w:tcPr>
            <w:tcW w:w="2758" w:type="dxa"/>
            <w:shd w:val="clear" w:color="auto" w:fill="auto"/>
          </w:tcPr>
          <w:p w14:paraId="5F8B7C2D" w14:textId="77777777" w:rsidR="00A616F7" w:rsidRDefault="00A616F7" w:rsidP="00A616F7">
            <w:r>
              <w:t>Opinion on WHOIS 2/2003</w:t>
            </w:r>
          </w:p>
        </w:tc>
        <w:tc>
          <w:tcPr>
            <w:tcW w:w="4339" w:type="dxa"/>
            <w:shd w:val="clear" w:color="auto" w:fill="auto"/>
          </w:tcPr>
          <w:p w14:paraId="0527C6F5" w14:textId="77777777" w:rsidR="00A616F7" w:rsidRDefault="00A616F7" w:rsidP="00A616F7">
            <w:r>
              <w:t>Summary of views</w:t>
            </w:r>
          </w:p>
        </w:tc>
      </w:tr>
      <w:tr w:rsidR="00A616F7" w14:paraId="448B4B8E" w14:textId="77777777" w:rsidTr="00A616F7">
        <w:tc>
          <w:tcPr>
            <w:tcW w:w="1097" w:type="dxa"/>
            <w:shd w:val="clear" w:color="auto" w:fill="auto"/>
          </w:tcPr>
          <w:p w14:paraId="759BD3D3" w14:textId="77777777" w:rsidR="00A616F7" w:rsidRDefault="00A616F7" w:rsidP="00A616F7">
            <w:r>
              <w:t>2005</w:t>
            </w:r>
          </w:p>
          <w:p w14:paraId="761A4E9E" w14:textId="77777777" w:rsidR="00A616F7" w:rsidRDefault="00A616F7" w:rsidP="00A616F7"/>
        </w:tc>
        <w:tc>
          <w:tcPr>
            <w:tcW w:w="1270" w:type="dxa"/>
            <w:shd w:val="clear" w:color="auto" w:fill="auto"/>
          </w:tcPr>
          <w:p w14:paraId="6A470519" w14:textId="77777777" w:rsidR="00A616F7" w:rsidRDefault="00A616F7" w:rsidP="00A616F7">
            <w:r>
              <w:t>IWGDPT</w:t>
            </w:r>
          </w:p>
        </w:tc>
        <w:tc>
          <w:tcPr>
            <w:tcW w:w="2758" w:type="dxa"/>
            <w:shd w:val="clear" w:color="auto" w:fill="auto"/>
          </w:tcPr>
          <w:p w14:paraId="419B7A1B" w14:textId="77777777" w:rsidR="00A616F7" w:rsidRDefault="00A616F7" w:rsidP="00A616F7">
            <w:r>
              <w:t>Letter to IWGIG</w:t>
            </w:r>
            <w:r w:rsidR="00A34451">
              <w:rPr>
                <w:rStyle w:val="FootnoteReference"/>
              </w:rPr>
              <w:footnoteReference w:id="4"/>
            </w:r>
            <w:r>
              <w:t xml:space="preserve"> to express interest in cooperation</w:t>
            </w:r>
          </w:p>
        </w:tc>
        <w:tc>
          <w:tcPr>
            <w:tcW w:w="4339" w:type="dxa"/>
            <w:shd w:val="clear" w:color="auto" w:fill="auto"/>
          </w:tcPr>
          <w:p w14:paraId="04A8387A" w14:textId="77777777" w:rsidR="00A616F7" w:rsidRDefault="00A616F7" w:rsidP="00A616F7">
            <w:pPr>
              <w:ind w:right="-391"/>
            </w:pPr>
            <w:r>
              <w:t>Explains who they are and that they are interested in Internet issues</w:t>
            </w:r>
          </w:p>
        </w:tc>
      </w:tr>
      <w:tr w:rsidR="00A616F7" w14:paraId="4795662D" w14:textId="77777777" w:rsidTr="00A616F7">
        <w:tc>
          <w:tcPr>
            <w:tcW w:w="1097" w:type="dxa"/>
            <w:shd w:val="clear" w:color="auto" w:fill="auto"/>
          </w:tcPr>
          <w:p w14:paraId="2EDE5902" w14:textId="77777777" w:rsidR="00A616F7" w:rsidRDefault="00A616F7" w:rsidP="00A616F7">
            <w:r>
              <w:t>2006</w:t>
            </w:r>
          </w:p>
          <w:p w14:paraId="23097413" w14:textId="77777777" w:rsidR="00A616F7" w:rsidRDefault="00A616F7" w:rsidP="00A616F7"/>
        </w:tc>
        <w:tc>
          <w:tcPr>
            <w:tcW w:w="1270" w:type="dxa"/>
            <w:shd w:val="clear" w:color="auto" w:fill="auto"/>
          </w:tcPr>
          <w:p w14:paraId="3CB6C848" w14:textId="77777777" w:rsidR="00A616F7" w:rsidRDefault="00A616F7" w:rsidP="00A616F7">
            <w:r>
              <w:t>Art 29</w:t>
            </w:r>
            <w:r w:rsidR="00A34451">
              <w:t xml:space="preserve"> WP</w:t>
            </w:r>
          </w:p>
        </w:tc>
        <w:tc>
          <w:tcPr>
            <w:tcW w:w="2758" w:type="dxa"/>
            <w:shd w:val="clear" w:color="auto" w:fill="auto"/>
          </w:tcPr>
          <w:p w14:paraId="4B2E41A8" w14:textId="77777777" w:rsidR="00A616F7" w:rsidRDefault="00A616F7" w:rsidP="00A616F7">
            <w:r>
              <w:t>Letter to ICANN (Cerf) re WHOIS review</w:t>
            </w:r>
          </w:p>
        </w:tc>
        <w:tc>
          <w:tcPr>
            <w:tcW w:w="4339" w:type="dxa"/>
            <w:shd w:val="clear" w:color="auto" w:fill="auto"/>
          </w:tcPr>
          <w:p w14:paraId="48999928" w14:textId="77777777" w:rsidR="00A616F7" w:rsidRDefault="00A616F7" w:rsidP="00A616F7">
            <w:r>
              <w:t>Expresses same concerns</w:t>
            </w:r>
          </w:p>
        </w:tc>
      </w:tr>
      <w:tr w:rsidR="00A616F7" w14:paraId="70DAD7D8" w14:textId="77777777" w:rsidTr="00A616F7">
        <w:tc>
          <w:tcPr>
            <w:tcW w:w="1097" w:type="dxa"/>
            <w:shd w:val="clear" w:color="auto" w:fill="auto"/>
          </w:tcPr>
          <w:p w14:paraId="497DB399" w14:textId="77777777" w:rsidR="00A616F7" w:rsidRDefault="00A616F7" w:rsidP="00A616F7">
            <w:r>
              <w:t>2013</w:t>
            </w:r>
          </w:p>
          <w:p w14:paraId="765FD9F5" w14:textId="77777777" w:rsidR="00A616F7" w:rsidRDefault="00A616F7" w:rsidP="00A616F7"/>
        </w:tc>
        <w:tc>
          <w:tcPr>
            <w:tcW w:w="1270" w:type="dxa"/>
            <w:shd w:val="clear" w:color="auto" w:fill="auto"/>
          </w:tcPr>
          <w:p w14:paraId="563982FD" w14:textId="77777777" w:rsidR="00A616F7" w:rsidRDefault="00A616F7" w:rsidP="00A616F7">
            <w:r>
              <w:t>Art 29</w:t>
            </w:r>
            <w:r w:rsidR="00A34451">
              <w:t xml:space="preserve"> WP</w:t>
            </w:r>
          </w:p>
        </w:tc>
        <w:tc>
          <w:tcPr>
            <w:tcW w:w="2758" w:type="dxa"/>
            <w:shd w:val="clear" w:color="auto" w:fill="auto"/>
          </w:tcPr>
          <w:p w14:paraId="77630ED4" w14:textId="77777777" w:rsidR="00A616F7" w:rsidRDefault="00A616F7" w:rsidP="00A616F7">
            <w:r>
              <w:t>Letter to Crocker re 2013 RAA &amp; waivers</w:t>
            </w:r>
          </w:p>
        </w:tc>
        <w:tc>
          <w:tcPr>
            <w:tcW w:w="4339" w:type="dxa"/>
            <w:shd w:val="clear" w:color="auto" w:fill="auto"/>
          </w:tcPr>
          <w:p w14:paraId="2E3CE2F0" w14:textId="77777777" w:rsidR="00A616F7" w:rsidRDefault="00A616F7" w:rsidP="00A616F7">
            <w:r>
              <w:t>All 26 data commissioners agree that their registrars will require a waiver of RAA requirements re WHOIS</w:t>
            </w:r>
          </w:p>
        </w:tc>
      </w:tr>
      <w:tr w:rsidR="00A616F7" w14:paraId="374E3321" w14:textId="77777777" w:rsidTr="00A616F7">
        <w:tc>
          <w:tcPr>
            <w:tcW w:w="1097" w:type="dxa"/>
            <w:shd w:val="clear" w:color="auto" w:fill="auto"/>
          </w:tcPr>
          <w:p w14:paraId="16975E53" w14:textId="77777777" w:rsidR="00A616F7" w:rsidRDefault="00A616F7" w:rsidP="00A616F7">
            <w:r>
              <w:t>2014</w:t>
            </w:r>
          </w:p>
          <w:p w14:paraId="480A5C83" w14:textId="77777777" w:rsidR="00A616F7" w:rsidRDefault="00A616F7" w:rsidP="00A616F7"/>
        </w:tc>
        <w:tc>
          <w:tcPr>
            <w:tcW w:w="1270" w:type="dxa"/>
            <w:shd w:val="clear" w:color="auto" w:fill="auto"/>
          </w:tcPr>
          <w:p w14:paraId="508BD692" w14:textId="77777777" w:rsidR="00A616F7" w:rsidRDefault="00A616F7" w:rsidP="00A616F7">
            <w:r>
              <w:t>Art 29</w:t>
            </w:r>
            <w:r w:rsidR="00A34451">
              <w:t xml:space="preserve"> WP</w:t>
            </w:r>
          </w:p>
        </w:tc>
        <w:tc>
          <w:tcPr>
            <w:tcW w:w="2758" w:type="dxa"/>
            <w:shd w:val="clear" w:color="auto" w:fill="auto"/>
          </w:tcPr>
          <w:p w14:paraId="1FB375BC" w14:textId="77777777" w:rsidR="00A616F7" w:rsidRDefault="00A616F7" w:rsidP="00A616F7">
            <w:r>
              <w:t>Letter to ICANN re their status and 2013 RAA</w:t>
            </w:r>
          </w:p>
        </w:tc>
        <w:tc>
          <w:tcPr>
            <w:tcW w:w="4339" w:type="dxa"/>
            <w:shd w:val="clear" w:color="auto" w:fill="auto"/>
          </w:tcPr>
          <w:p w14:paraId="42B866D8" w14:textId="77777777" w:rsidR="00A616F7" w:rsidRDefault="00A616F7" w:rsidP="00A616F7">
            <w:r>
              <w:t>Reaffirms that Art 29 group has authority, all DPAs represented and can sign</w:t>
            </w:r>
          </w:p>
        </w:tc>
      </w:tr>
      <w:tr w:rsidR="00A616F7" w14:paraId="11E5CE5E" w14:textId="77777777" w:rsidTr="00A616F7">
        <w:tc>
          <w:tcPr>
            <w:tcW w:w="1097" w:type="dxa"/>
            <w:shd w:val="clear" w:color="auto" w:fill="auto"/>
          </w:tcPr>
          <w:p w14:paraId="4E0C377A" w14:textId="77777777" w:rsidR="00A616F7" w:rsidRDefault="00A616F7" w:rsidP="00A616F7">
            <w:r>
              <w:t xml:space="preserve">2014 </w:t>
            </w:r>
          </w:p>
          <w:p w14:paraId="45B92FE4" w14:textId="77777777" w:rsidR="00A616F7" w:rsidRDefault="00A616F7" w:rsidP="00A616F7"/>
        </w:tc>
        <w:tc>
          <w:tcPr>
            <w:tcW w:w="1270" w:type="dxa"/>
            <w:shd w:val="clear" w:color="auto" w:fill="auto"/>
          </w:tcPr>
          <w:p w14:paraId="6C6F1F3C" w14:textId="77777777" w:rsidR="00A616F7" w:rsidRDefault="00A616F7" w:rsidP="00A616F7">
            <w:r>
              <w:t>EDPS</w:t>
            </w:r>
            <w:r w:rsidR="00B2242E">
              <w:rPr>
                <w:rStyle w:val="FootnoteReference"/>
              </w:rPr>
              <w:footnoteReference w:id="5"/>
            </w:r>
          </w:p>
        </w:tc>
        <w:tc>
          <w:tcPr>
            <w:tcW w:w="2758" w:type="dxa"/>
            <w:shd w:val="clear" w:color="auto" w:fill="auto"/>
          </w:tcPr>
          <w:p w14:paraId="7E0E1FBA" w14:textId="77777777" w:rsidR="00A616F7" w:rsidRDefault="00A616F7" w:rsidP="00A616F7">
            <w:r>
              <w:t>Letter to ICANN re data retention and recent decision of ECJ</w:t>
            </w:r>
          </w:p>
        </w:tc>
        <w:tc>
          <w:tcPr>
            <w:tcW w:w="4339" w:type="dxa"/>
            <w:shd w:val="clear" w:color="auto" w:fill="auto"/>
          </w:tcPr>
          <w:p w14:paraId="7EE4282A" w14:textId="77777777" w:rsidR="00A616F7" w:rsidRDefault="00A616F7" w:rsidP="00A616F7">
            <w:r>
              <w:t>Data retention practices required by RAA are not in compliance with EU Charter of Rights</w:t>
            </w:r>
          </w:p>
        </w:tc>
      </w:tr>
    </w:tbl>
    <w:p w14:paraId="382AB069" w14:textId="77777777" w:rsidR="00A616F7" w:rsidRDefault="00A616F7"/>
    <w:p w14:paraId="58BE71D4" w14:textId="77777777" w:rsidR="00A616F7" w:rsidRDefault="00A616F7"/>
    <w:p w14:paraId="1D21A903" w14:textId="77777777" w:rsidR="00A616F7" w:rsidRDefault="00A616F7">
      <w:r>
        <w:t xml:space="preserve">To the best of my knowledge, ICANN has not responded to the last letter from the elected Chairman of the Article 29 Working party, assuring ICANN that it has the authority to speak for all of the data commissioners in the EU and that they all agree that their registrars require a waiver.  Why, in the face of this evidence, would ICANN persist in having a working group debate how to improve the trigger mechanisms? </w:t>
      </w:r>
      <w:r w:rsidR="00C57BF6">
        <w:t>Why not harmonize around this response, and change the policy?  Why create unfair competitive advantage in the registrar community?  Given the importance of privacy to most Internet users, why would ICANN not level the playing field and make the default privacy?</w:t>
      </w:r>
    </w:p>
    <w:p w14:paraId="2F5D8725" w14:textId="77777777" w:rsidR="00A616F7" w:rsidRDefault="00A616F7"/>
    <w:p w14:paraId="321672FB" w14:textId="77777777" w:rsidR="00A616F7" w:rsidRDefault="00A616F7" w:rsidP="00AC652C">
      <w:pPr>
        <w:outlineLvl w:val="0"/>
        <w:rPr>
          <w:b/>
        </w:rPr>
      </w:pPr>
      <w:r w:rsidRPr="00A616F7">
        <w:rPr>
          <w:b/>
        </w:rPr>
        <w:t>The Trigger Mechanisms</w:t>
      </w:r>
    </w:p>
    <w:p w14:paraId="2245C72D" w14:textId="77777777" w:rsidR="00A616F7" w:rsidRDefault="00A616F7">
      <w:pPr>
        <w:rPr>
          <w:b/>
        </w:rPr>
      </w:pPr>
    </w:p>
    <w:p w14:paraId="69F6C177" w14:textId="77777777" w:rsidR="00A616F7" w:rsidRDefault="00C57BF6">
      <w:r>
        <w:t>The existing policy and trigger mechanisms reflect</w:t>
      </w:r>
      <w:r w:rsidR="00474ACD">
        <w:t xml:space="preserve"> at best</w:t>
      </w:r>
      <w:r>
        <w:t xml:space="preserve"> a basic failure to comprehend the way data protection law works</w:t>
      </w:r>
      <w:r w:rsidR="00474ACD">
        <w:t>, at worst a determination to be as difficult and intransigent as possible</w:t>
      </w:r>
      <w:r>
        <w:t xml:space="preserve">.  Most data protection authorities do not provide advice as to how they view a data protection issue, they issue findings upon receipt of a complaint.  Requiring that a registrar produce a letter from a data protection authority indicating that compliance with contractual requirements is against the law in most situations means they would have to break the law, get someone to complain, and be found guilty (and liable to fines).  </w:t>
      </w:r>
      <w:r w:rsidR="00474ACD">
        <w:t>This w</w:t>
      </w:r>
      <w:r w:rsidR="008A0184">
        <w:t xml:space="preserve">ould produce a letter of finding, from a competent authority, with details as to how the matter would be enforced.  </w:t>
      </w:r>
      <w:r>
        <w:t xml:space="preserve">This can hardly be a satisfactory situation for the registrar stakeholder group, </w:t>
      </w:r>
      <w:r w:rsidR="008A0184">
        <w:t>howeve</w:t>
      </w:r>
      <w:r w:rsidR="00474ACD">
        <w:t>r</w:t>
      </w:r>
      <w:r w:rsidR="008A0184">
        <w:t xml:space="preserve">, </w:t>
      </w:r>
      <w:r>
        <w:t xml:space="preserve">particularly </w:t>
      </w:r>
      <w:r w:rsidR="008A0184">
        <w:t>given the fact that</w:t>
      </w:r>
      <w:r>
        <w:t xml:space="preserve"> if there is publicity about the case, many more complaints may ensue.</w:t>
      </w:r>
    </w:p>
    <w:p w14:paraId="3A68F44F" w14:textId="77777777" w:rsidR="00C57BF6" w:rsidRDefault="00C57BF6"/>
    <w:p w14:paraId="67713AC3" w14:textId="77777777" w:rsidR="00C57BF6" w:rsidRDefault="00C57BF6">
      <w:r>
        <w:t xml:space="preserve">This is not at all satisfactory from the perspective of the client or registrant, she whom </w:t>
      </w:r>
      <w:r w:rsidR="008A0184">
        <w:t xml:space="preserve">(I would argue) </w:t>
      </w:r>
      <w:r>
        <w:t xml:space="preserve">ICANN has a fiduciary responsibility to protect.  Once the data is out, even without the many </w:t>
      </w:r>
      <w:r w:rsidR="008A0184">
        <w:t xml:space="preserve">value added service providers who feed off WHOIS data, the privacy breach is permanent because of the nature of the Internet. </w:t>
      </w:r>
    </w:p>
    <w:p w14:paraId="7DE8304A" w14:textId="77777777" w:rsidR="008A0184" w:rsidRDefault="008A0184"/>
    <w:p w14:paraId="4F9184D6" w14:textId="77777777" w:rsidR="008A0184" w:rsidRDefault="008A0184">
      <w:r>
        <w:t>All of the new proposed trigger mechanisms which we canvassed within the group, in my view, are inadequate.</w:t>
      </w:r>
      <w:r w:rsidR="00474ACD">
        <w:t xml:space="preserve">  A letter from a competent nationally recognized law firm could work, if it were simply taken at face value.  However, unless ICANN is in the business of keeping global law firms financially sound, there is no reason whatsoever to insist that every registrar go through this.  Surely the law applies equally to all?</w:t>
      </w:r>
    </w:p>
    <w:p w14:paraId="1CA1EC9F" w14:textId="77777777" w:rsidR="00474ACD" w:rsidRDefault="00474ACD"/>
    <w:p w14:paraId="0AFF524D" w14:textId="77777777" w:rsidR="00474ACD" w:rsidRDefault="00474ACD">
      <w:r>
        <w:t xml:space="preserve">There is a suggestion that the opinions of the GAC representatives of the countries ought to be sought.  With all due respect to the GAC, it seems quite clear that </w:t>
      </w:r>
      <w:r w:rsidR="00B62C32">
        <w:t xml:space="preserve">the representatives of the various governments who attend ICANN are rarely the relevant data protection authorities, or the relevant constitutional and data protection lawyers in the ministries of justice who could </w:t>
      </w:r>
      <w:r w:rsidR="00D21979">
        <w:t xml:space="preserve">knowledgeably </w:t>
      </w:r>
      <w:r w:rsidR="00B62C32">
        <w:t xml:space="preserve">opine on the </w:t>
      </w:r>
      <w:r w:rsidR="00D21979">
        <w:t>matter.</w:t>
      </w:r>
      <w:r w:rsidR="009F407E">
        <w:t xml:space="preserve">  Furthermore, the data commissioners are often in the position of oversight and enforcement on their governments, so it is problematic to ask the advice of GAC members who represent those interests, as to whether the opinion or finding of an independent data protection authority is to be believed.  Once again, if the views of the data commissioners are not considered to be sufficient authority, the matter must be taken to a higher Court.</w:t>
      </w:r>
    </w:p>
    <w:p w14:paraId="000512D7" w14:textId="77777777" w:rsidR="009F407E" w:rsidRDefault="009F407E"/>
    <w:p w14:paraId="5DB084CA" w14:textId="77777777" w:rsidR="009F407E" w:rsidRPr="00A616F7" w:rsidRDefault="009F407E">
      <w:r>
        <w:t>In my view, ICANN should not be pushing matters relating to national or regional law to the relevant higher courts in each jurisdiction.  This strikes me as an abuse of its power as a contracting authority charged with administering the DNS.</w:t>
      </w:r>
    </w:p>
    <w:sectPr w:rsidR="009F407E" w:rsidRPr="00A616F7" w:rsidSect="005F0694">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FA09E" w14:textId="77777777" w:rsidR="00B20EFC" w:rsidRDefault="00B20EFC" w:rsidP="00BD5447">
      <w:r>
        <w:separator/>
      </w:r>
    </w:p>
  </w:endnote>
  <w:endnote w:type="continuationSeparator" w:id="0">
    <w:p w14:paraId="389468C9" w14:textId="77777777" w:rsidR="00B20EFC" w:rsidRDefault="00B20EFC" w:rsidP="00BD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AC4F8" w14:textId="77777777" w:rsidR="008F3445" w:rsidRDefault="008F3445" w:rsidP="00E07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730D86" w14:textId="77777777" w:rsidR="008F3445" w:rsidRDefault="008F3445" w:rsidP="00E0765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9CC6A" w14:textId="77777777" w:rsidR="008F3445" w:rsidRDefault="008F3445" w:rsidP="00E07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2495">
      <w:rPr>
        <w:rStyle w:val="PageNumber"/>
        <w:noProof/>
      </w:rPr>
      <w:t>1</w:t>
    </w:r>
    <w:r>
      <w:rPr>
        <w:rStyle w:val="PageNumber"/>
      </w:rPr>
      <w:fldChar w:fldCharType="end"/>
    </w:r>
  </w:p>
  <w:p w14:paraId="2163B881" w14:textId="77777777" w:rsidR="008F3445" w:rsidRDefault="008F3445" w:rsidP="00E0765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2D0EF" w14:textId="77777777" w:rsidR="00B20EFC" w:rsidRDefault="00B20EFC" w:rsidP="00BD5447">
      <w:r>
        <w:separator/>
      </w:r>
    </w:p>
  </w:footnote>
  <w:footnote w:type="continuationSeparator" w:id="0">
    <w:p w14:paraId="2F09E41A" w14:textId="77777777" w:rsidR="00B20EFC" w:rsidRDefault="00B20EFC" w:rsidP="00BD5447">
      <w:r>
        <w:continuationSeparator/>
      </w:r>
    </w:p>
  </w:footnote>
  <w:footnote w:id="1">
    <w:p w14:paraId="03891351" w14:textId="77777777" w:rsidR="008F3445" w:rsidRDefault="008F3445">
      <w:pPr>
        <w:pStyle w:val="FootnoteText"/>
      </w:pPr>
      <w:r>
        <w:rPr>
          <w:rStyle w:val="FootnoteReference"/>
        </w:rPr>
        <w:footnoteRef/>
      </w:r>
      <w:r>
        <w:t xml:space="preserve"> Greenleaf, Graham.  2015.  Asian Data Protection Law:  Trade and Human rights Perspectives, p. 6-7.  Citing his footnote 7, “The geographical distribution of the current 101 laws by region is:  EU (28); other European (27); Asia (12); Latin America (9); Africa (11); North Africa/Middle East (6); Caribbean (4); North America (2); Australasia (2); Central Asia (2); Pacific Islands (0).”</w:t>
      </w:r>
    </w:p>
  </w:footnote>
  <w:footnote w:id="2">
    <w:p w14:paraId="3CB6B0CA" w14:textId="77777777" w:rsidR="008F3445" w:rsidRDefault="008F3445">
      <w:pPr>
        <w:pStyle w:val="FootnoteText"/>
      </w:pPr>
      <w:r>
        <w:rPr>
          <w:rStyle w:val="FootnoteReference"/>
        </w:rPr>
        <w:footnoteRef/>
      </w:r>
      <w:r>
        <w:t xml:space="preserve"> The Article 29 Working Party was established through the authority of Article 29 of the European Data Protection Directive 95/46.  It is supported by the European Commission, elects its Chairman, meets regularly, and is tasked with harmonizing the approach to the determination of adequacy of relevant data protection law, for the purposes of onward transfers of the data of EU citizens.  The group also attempts to reach common positions on the interpretation of data protection law with respect to critical issues.</w:t>
      </w:r>
    </w:p>
  </w:footnote>
  <w:footnote w:id="3">
    <w:p w14:paraId="47A90F39" w14:textId="77777777" w:rsidR="008F3445" w:rsidRDefault="008F3445">
      <w:pPr>
        <w:pStyle w:val="FootnoteText"/>
      </w:pPr>
      <w:r>
        <w:rPr>
          <w:rStyle w:val="FootnoteReference"/>
        </w:rPr>
        <w:footnoteRef/>
      </w:r>
      <w:r>
        <w:t xml:space="preserve"> European Commission, DG 15 or Internal Market, responsible for the Data Protection Directive 95/46</w:t>
      </w:r>
    </w:p>
  </w:footnote>
  <w:footnote w:id="4">
    <w:p w14:paraId="3BB9CF61" w14:textId="77777777" w:rsidR="008F3445" w:rsidRDefault="008F3445">
      <w:pPr>
        <w:pStyle w:val="FootnoteText"/>
      </w:pPr>
      <w:r>
        <w:rPr>
          <w:rStyle w:val="FootnoteReference"/>
        </w:rPr>
        <w:footnoteRef/>
      </w:r>
      <w:r>
        <w:t xml:space="preserve"> International Working Group on Internet Governance</w:t>
      </w:r>
    </w:p>
  </w:footnote>
  <w:footnote w:id="5">
    <w:p w14:paraId="625595A0" w14:textId="77777777" w:rsidR="008F3445" w:rsidRDefault="008F3445">
      <w:pPr>
        <w:pStyle w:val="FootnoteText"/>
      </w:pPr>
      <w:r>
        <w:rPr>
          <w:rStyle w:val="FootnoteReference"/>
        </w:rPr>
        <w:footnoteRef/>
      </w:r>
      <w:r>
        <w:t xml:space="preserve"> European Data Protection Supervisor, responsible for oversight of the European Commission, the European Parliament and related European institutions with respect to their compliance with applicable data protection law.  The Office also has a key role in consultation and cooperation to ensure a harmonized approach to compliance with applicable data protection law.</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2E0"/>
    <w:multiLevelType w:val="hybridMultilevel"/>
    <w:tmpl w:val="048CB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341604"/>
    <w:multiLevelType w:val="hybridMultilevel"/>
    <w:tmpl w:val="A9B63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den Ferdeline">
    <w15:presenceInfo w15:providerId="Windows Live" w15:userId="7d4c87b5a2fa9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47"/>
    <w:rsid w:val="000849F5"/>
    <w:rsid w:val="001A4731"/>
    <w:rsid w:val="00401582"/>
    <w:rsid w:val="00446EFC"/>
    <w:rsid w:val="00474ACD"/>
    <w:rsid w:val="00595656"/>
    <w:rsid w:val="005F0694"/>
    <w:rsid w:val="00671555"/>
    <w:rsid w:val="007844FE"/>
    <w:rsid w:val="00846502"/>
    <w:rsid w:val="008A0184"/>
    <w:rsid w:val="008F3445"/>
    <w:rsid w:val="00951FD5"/>
    <w:rsid w:val="009F407E"/>
    <w:rsid w:val="00A34451"/>
    <w:rsid w:val="00A616F7"/>
    <w:rsid w:val="00AC652C"/>
    <w:rsid w:val="00AE33AB"/>
    <w:rsid w:val="00B20EFC"/>
    <w:rsid w:val="00B2242E"/>
    <w:rsid w:val="00B62C32"/>
    <w:rsid w:val="00BD5447"/>
    <w:rsid w:val="00C57BF6"/>
    <w:rsid w:val="00D02495"/>
    <w:rsid w:val="00D21979"/>
    <w:rsid w:val="00DF3970"/>
    <w:rsid w:val="00E07655"/>
    <w:rsid w:val="00E267AC"/>
    <w:rsid w:val="00F077EB"/>
    <w:rsid w:val="00F23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16DA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158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D5447"/>
  </w:style>
  <w:style w:type="character" w:customStyle="1" w:styleId="FootnoteTextChar">
    <w:name w:val="Footnote Text Char"/>
    <w:basedOn w:val="DefaultParagraphFont"/>
    <w:link w:val="FootnoteText"/>
    <w:uiPriority w:val="99"/>
    <w:rsid w:val="00BD5447"/>
  </w:style>
  <w:style w:type="character" w:styleId="FootnoteReference">
    <w:name w:val="footnote reference"/>
    <w:basedOn w:val="DefaultParagraphFont"/>
    <w:uiPriority w:val="99"/>
    <w:unhideWhenUsed/>
    <w:rsid w:val="00BD5447"/>
    <w:rPr>
      <w:vertAlign w:val="superscript"/>
    </w:rPr>
  </w:style>
  <w:style w:type="table" w:styleId="TableGrid">
    <w:name w:val="Table Grid"/>
    <w:basedOn w:val="TableNormal"/>
    <w:uiPriority w:val="59"/>
    <w:rsid w:val="00A61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07655"/>
    <w:pPr>
      <w:tabs>
        <w:tab w:val="center" w:pos="4320"/>
        <w:tab w:val="right" w:pos="8640"/>
      </w:tabs>
    </w:pPr>
  </w:style>
  <w:style w:type="character" w:customStyle="1" w:styleId="FooterChar">
    <w:name w:val="Footer Char"/>
    <w:basedOn w:val="DefaultParagraphFont"/>
    <w:link w:val="Footer"/>
    <w:uiPriority w:val="99"/>
    <w:rsid w:val="00E07655"/>
  </w:style>
  <w:style w:type="character" w:styleId="PageNumber">
    <w:name w:val="page number"/>
    <w:basedOn w:val="DefaultParagraphFont"/>
    <w:uiPriority w:val="99"/>
    <w:semiHidden/>
    <w:unhideWhenUsed/>
    <w:rsid w:val="00E07655"/>
  </w:style>
  <w:style w:type="character" w:customStyle="1" w:styleId="Heading1Char">
    <w:name w:val="Heading 1 Char"/>
    <w:basedOn w:val="DefaultParagraphFont"/>
    <w:link w:val="Heading1"/>
    <w:uiPriority w:val="9"/>
    <w:rsid w:val="00401582"/>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401582"/>
    <w:pPr>
      <w:ind w:left="720"/>
      <w:contextualSpacing/>
    </w:pPr>
  </w:style>
  <w:style w:type="paragraph" w:styleId="Revision">
    <w:name w:val="Revision"/>
    <w:hidden/>
    <w:uiPriority w:val="99"/>
    <w:semiHidden/>
    <w:rsid w:val="00AC652C"/>
  </w:style>
  <w:style w:type="paragraph" w:styleId="BalloonText">
    <w:name w:val="Balloon Text"/>
    <w:basedOn w:val="Normal"/>
    <w:link w:val="BalloonTextChar"/>
    <w:uiPriority w:val="99"/>
    <w:semiHidden/>
    <w:unhideWhenUsed/>
    <w:rsid w:val="00AC65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652C"/>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158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D5447"/>
  </w:style>
  <w:style w:type="character" w:customStyle="1" w:styleId="FootnoteTextChar">
    <w:name w:val="Footnote Text Char"/>
    <w:basedOn w:val="DefaultParagraphFont"/>
    <w:link w:val="FootnoteText"/>
    <w:uiPriority w:val="99"/>
    <w:rsid w:val="00BD5447"/>
  </w:style>
  <w:style w:type="character" w:styleId="FootnoteReference">
    <w:name w:val="footnote reference"/>
    <w:basedOn w:val="DefaultParagraphFont"/>
    <w:uiPriority w:val="99"/>
    <w:unhideWhenUsed/>
    <w:rsid w:val="00BD5447"/>
    <w:rPr>
      <w:vertAlign w:val="superscript"/>
    </w:rPr>
  </w:style>
  <w:style w:type="table" w:styleId="TableGrid">
    <w:name w:val="Table Grid"/>
    <w:basedOn w:val="TableNormal"/>
    <w:uiPriority w:val="59"/>
    <w:rsid w:val="00A61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07655"/>
    <w:pPr>
      <w:tabs>
        <w:tab w:val="center" w:pos="4320"/>
        <w:tab w:val="right" w:pos="8640"/>
      </w:tabs>
    </w:pPr>
  </w:style>
  <w:style w:type="character" w:customStyle="1" w:styleId="FooterChar">
    <w:name w:val="Footer Char"/>
    <w:basedOn w:val="DefaultParagraphFont"/>
    <w:link w:val="Footer"/>
    <w:uiPriority w:val="99"/>
    <w:rsid w:val="00E07655"/>
  </w:style>
  <w:style w:type="character" w:styleId="PageNumber">
    <w:name w:val="page number"/>
    <w:basedOn w:val="DefaultParagraphFont"/>
    <w:uiPriority w:val="99"/>
    <w:semiHidden/>
    <w:unhideWhenUsed/>
    <w:rsid w:val="00E07655"/>
  </w:style>
  <w:style w:type="character" w:customStyle="1" w:styleId="Heading1Char">
    <w:name w:val="Heading 1 Char"/>
    <w:basedOn w:val="DefaultParagraphFont"/>
    <w:link w:val="Heading1"/>
    <w:uiPriority w:val="9"/>
    <w:rsid w:val="00401582"/>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401582"/>
    <w:pPr>
      <w:ind w:left="720"/>
      <w:contextualSpacing/>
    </w:pPr>
  </w:style>
  <w:style w:type="paragraph" w:styleId="Revision">
    <w:name w:val="Revision"/>
    <w:hidden/>
    <w:uiPriority w:val="99"/>
    <w:semiHidden/>
    <w:rsid w:val="00AC652C"/>
  </w:style>
  <w:style w:type="paragraph" w:styleId="BalloonText">
    <w:name w:val="Balloon Text"/>
    <w:basedOn w:val="Normal"/>
    <w:link w:val="BalloonTextChar"/>
    <w:uiPriority w:val="99"/>
    <w:semiHidden/>
    <w:unhideWhenUsed/>
    <w:rsid w:val="00AC65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652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6905">
      <w:bodyDiv w:val="1"/>
      <w:marLeft w:val="0"/>
      <w:marRight w:val="0"/>
      <w:marTop w:val="0"/>
      <w:marBottom w:val="0"/>
      <w:divBdr>
        <w:top w:val="none" w:sz="0" w:space="0" w:color="auto"/>
        <w:left w:val="none" w:sz="0" w:space="0" w:color="auto"/>
        <w:bottom w:val="none" w:sz="0" w:space="0" w:color="auto"/>
        <w:right w:val="none" w:sz="0" w:space="0" w:color="auto"/>
      </w:divBdr>
      <w:divsChild>
        <w:div w:id="1755125678">
          <w:marLeft w:val="0"/>
          <w:marRight w:val="0"/>
          <w:marTop w:val="0"/>
          <w:marBottom w:val="0"/>
          <w:divBdr>
            <w:top w:val="none" w:sz="0" w:space="0" w:color="auto"/>
            <w:left w:val="none" w:sz="0" w:space="0" w:color="auto"/>
            <w:bottom w:val="none" w:sz="0" w:space="0" w:color="auto"/>
            <w:right w:val="none" w:sz="0" w:space="0" w:color="auto"/>
          </w:divBdr>
        </w:div>
      </w:divsChild>
    </w:div>
    <w:div w:id="1361273443">
      <w:bodyDiv w:val="1"/>
      <w:marLeft w:val="0"/>
      <w:marRight w:val="0"/>
      <w:marTop w:val="0"/>
      <w:marBottom w:val="0"/>
      <w:divBdr>
        <w:top w:val="none" w:sz="0" w:space="0" w:color="auto"/>
        <w:left w:val="none" w:sz="0" w:space="0" w:color="auto"/>
        <w:bottom w:val="none" w:sz="0" w:space="0" w:color="auto"/>
        <w:right w:val="none" w:sz="0" w:space="0" w:color="auto"/>
      </w:divBdr>
      <w:divsChild>
        <w:div w:id="5541279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1639</Words>
  <Characters>9344</Characters>
  <Application>Microsoft Macintosh Word</Application>
  <DocSecurity>0</DocSecurity>
  <Lines>77</Lines>
  <Paragraphs>21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Appendix 4:  Statement of Stephanie Perrin</vt:lpstr>
      <vt:lpstr>Operations of the WHOIS conflicts WG</vt:lpstr>
      <vt:lpstr>The Trigger Mechanisms</vt:lpstr>
    </vt:vector>
  </TitlesOfParts>
  <Company/>
  <LinksUpToDate>false</LinksUpToDate>
  <CharactersWithSpaces>10962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Perrin</dc:creator>
  <cp:keywords/>
  <dc:description/>
  <cp:lastModifiedBy>Stephanie Perrin</cp:lastModifiedBy>
  <cp:revision>2</cp:revision>
  <dcterms:created xsi:type="dcterms:W3CDTF">2017-07-07T15:50:00Z</dcterms:created>
  <dcterms:modified xsi:type="dcterms:W3CDTF">2017-07-07T15:50:00Z</dcterms:modified>
</cp:coreProperties>
</file>