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C034B" w14:textId="5FF391A4" w:rsidR="00946754" w:rsidRPr="00241248" w:rsidRDefault="00946754" w:rsidP="00304ECF">
      <w:pPr>
        <w:pBdr>
          <w:bottom w:val="single" w:sz="4" w:space="1" w:color="auto"/>
        </w:pBdr>
        <w:rPr>
          <w:rFonts w:asciiTheme="majorHAnsi" w:hAnsiTheme="majorHAnsi"/>
          <w:b/>
          <w:sz w:val="22"/>
          <w:szCs w:val="22"/>
          <w:lang w:val="en-GB"/>
        </w:rPr>
      </w:pPr>
      <w:bookmarkStart w:id="0" w:name="_GoBack"/>
      <w:bookmarkEnd w:id="0"/>
      <w:r w:rsidRPr="00241248">
        <w:rPr>
          <w:rFonts w:asciiTheme="majorHAnsi" w:hAnsiTheme="majorHAnsi"/>
          <w:b/>
          <w:sz w:val="22"/>
          <w:szCs w:val="22"/>
          <w:lang w:val="en-GB"/>
        </w:rPr>
        <w:t>GNSO PDP IMPROVEMENTS - #3 and #5</w:t>
      </w:r>
    </w:p>
    <w:p w14:paraId="10709D20" w14:textId="0AA1D99C" w:rsidR="00304ECF" w:rsidRPr="00241248" w:rsidRDefault="00946754" w:rsidP="00304ECF">
      <w:pPr>
        <w:pBdr>
          <w:bottom w:val="single" w:sz="4" w:space="1" w:color="auto"/>
        </w:pBdr>
        <w:rPr>
          <w:rFonts w:asciiTheme="majorHAnsi" w:hAnsiTheme="majorHAnsi"/>
          <w:b/>
          <w:sz w:val="22"/>
          <w:szCs w:val="22"/>
          <w:lang w:val="en-GB"/>
        </w:rPr>
      </w:pPr>
      <w:r w:rsidRPr="00241248">
        <w:rPr>
          <w:rFonts w:asciiTheme="majorHAnsi" w:hAnsiTheme="majorHAnsi"/>
          <w:b/>
          <w:sz w:val="22"/>
          <w:szCs w:val="22"/>
          <w:lang w:val="en-GB"/>
        </w:rPr>
        <w:t>PDP Working Group Member Onboarding</w:t>
      </w:r>
      <w:r w:rsidR="00304ECF" w:rsidRPr="00241248">
        <w:rPr>
          <w:rFonts w:asciiTheme="majorHAnsi" w:hAnsiTheme="majorHAnsi"/>
          <w:b/>
          <w:sz w:val="22"/>
          <w:szCs w:val="22"/>
          <w:lang w:val="en-GB"/>
        </w:rPr>
        <w:t xml:space="preserve"> </w:t>
      </w:r>
      <w:r w:rsidR="00123410" w:rsidRPr="00241248">
        <w:rPr>
          <w:rFonts w:asciiTheme="majorHAnsi" w:hAnsiTheme="majorHAnsi"/>
          <w:b/>
          <w:sz w:val="22"/>
          <w:szCs w:val="22"/>
          <w:lang w:val="en-GB"/>
        </w:rPr>
        <w:t>Programme</w:t>
      </w:r>
    </w:p>
    <w:p w14:paraId="0B1278DD" w14:textId="77777777" w:rsidR="007D37AA" w:rsidRPr="00241248" w:rsidRDefault="007D37AA" w:rsidP="007D37AA">
      <w:pPr>
        <w:rPr>
          <w:rFonts w:asciiTheme="majorHAnsi" w:hAnsiTheme="majorHAnsi"/>
          <w:b/>
          <w:sz w:val="22"/>
          <w:szCs w:val="22"/>
          <w:lang w:val="en-GB"/>
        </w:rPr>
      </w:pPr>
    </w:p>
    <w:p w14:paraId="5EB36EDB" w14:textId="77777777" w:rsidR="00666914" w:rsidRPr="00241248" w:rsidRDefault="00666914" w:rsidP="007D37AA">
      <w:pPr>
        <w:rPr>
          <w:rFonts w:asciiTheme="majorHAnsi" w:hAnsiTheme="majorHAnsi"/>
          <w:b/>
          <w:sz w:val="22"/>
          <w:szCs w:val="22"/>
          <w:lang w:val="en-GB"/>
        </w:rPr>
      </w:pPr>
      <w:r w:rsidRPr="00241248">
        <w:rPr>
          <w:rFonts w:asciiTheme="majorHAnsi" w:hAnsiTheme="majorHAnsi"/>
          <w:b/>
          <w:sz w:val="22"/>
          <w:szCs w:val="22"/>
          <w:lang w:val="en-GB"/>
        </w:rPr>
        <w:t>Introduction</w:t>
      </w:r>
    </w:p>
    <w:p w14:paraId="01B98A71" w14:textId="1A3C462A" w:rsidR="0048606E" w:rsidRPr="00241248" w:rsidRDefault="0048606E" w:rsidP="007D37AA">
      <w:pPr>
        <w:rPr>
          <w:rFonts w:asciiTheme="majorHAnsi" w:hAnsiTheme="majorHAnsi"/>
          <w:sz w:val="22"/>
          <w:szCs w:val="22"/>
          <w:lang w:val="en-GB"/>
        </w:rPr>
      </w:pPr>
      <w:r w:rsidRPr="00241248">
        <w:rPr>
          <w:rFonts w:asciiTheme="majorHAnsi" w:hAnsiTheme="majorHAnsi"/>
          <w:sz w:val="22"/>
          <w:szCs w:val="22"/>
          <w:lang w:val="en-GB"/>
        </w:rPr>
        <w:t xml:space="preserve">The GNSO Council identified a number of possible improvements to streamline the GNSO Policy Development Process (see </w:t>
      </w:r>
      <w:hyperlink r:id="rId8" w:history="1">
        <w:r w:rsidRPr="00241248">
          <w:rPr>
            <w:rStyle w:val="Hyperlink"/>
            <w:rFonts w:asciiTheme="majorHAnsi" w:hAnsiTheme="majorHAnsi"/>
            <w:sz w:val="22"/>
            <w:szCs w:val="22"/>
            <w:lang w:val="en-GB"/>
          </w:rPr>
          <w:t>http://gnso.icann.org/en/drafts/pdp-improvements-table-16jan14-en.pdf</w:t>
        </w:r>
      </w:hyperlink>
      <w:r w:rsidRPr="00241248">
        <w:rPr>
          <w:rFonts w:asciiTheme="majorHAnsi" w:hAnsiTheme="majorHAnsi"/>
          <w:sz w:val="22"/>
          <w:szCs w:val="22"/>
          <w:lang w:val="en-GB"/>
        </w:rPr>
        <w:t>). Two of those propo</w:t>
      </w:r>
      <w:r w:rsidR="00946754" w:rsidRPr="00241248">
        <w:rPr>
          <w:rFonts w:asciiTheme="majorHAnsi" w:hAnsiTheme="majorHAnsi"/>
          <w:sz w:val="22"/>
          <w:szCs w:val="22"/>
          <w:lang w:val="en-GB"/>
        </w:rPr>
        <w:t xml:space="preserve">sed improvements related to increasing the pool of WG volunteers </w:t>
      </w:r>
      <w:r w:rsidRPr="00241248">
        <w:rPr>
          <w:rFonts w:asciiTheme="majorHAnsi" w:hAnsiTheme="majorHAnsi"/>
          <w:sz w:val="22"/>
          <w:szCs w:val="22"/>
          <w:lang w:val="en-GB"/>
        </w:rPr>
        <w:t>(</w:t>
      </w:r>
      <w:r w:rsidR="005446DF">
        <w:rPr>
          <w:rFonts w:asciiTheme="majorHAnsi" w:hAnsiTheme="majorHAnsi"/>
          <w:sz w:val="22"/>
          <w:szCs w:val="22"/>
          <w:lang w:val="en-GB"/>
        </w:rPr>
        <w:t xml:space="preserve">Proposed Improvement </w:t>
      </w:r>
      <w:r w:rsidRPr="00241248">
        <w:rPr>
          <w:rFonts w:asciiTheme="majorHAnsi" w:hAnsiTheme="majorHAnsi"/>
          <w:sz w:val="22"/>
          <w:szCs w:val="22"/>
          <w:lang w:val="en-GB"/>
        </w:rPr>
        <w:t>#</w:t>
      </w:r>
      <w:r w:rsidR="00946754" w:rsidRPr="00241248">
        <w:rPr>
          <w:rFonts w:asciiTheme="majorHAnsi" w:hAnsiTheme="majorHAnsi"/>
          <w:sz w:val="22"/>
          <w:szCs w:val="22"/>
          <w:lang w:val="en-GB"/>
        </w:rPr>
        <w:t>3</w:t>
      </w:r>
      <w:r w:rsidRPr="00241248">
        <w:rPr>
          <w:rFonts w:asciiTheme="majorHAnsi" w:hAnsiTheme="majorHAnsi"/>
          <w:sz w:val="22"/>
          <w:szCs w:val="22"/>
          <w:lang w:val="en-GB"/>
        </w:rPr>
        <w:t xml:space="preserve">) and </w:t>
      </w:r>
      <w:r w:rsidR="00946754" w:rsidRPr="00241248">
        <w:rPr>
          <w:rFonts w:asciiTheme="majorHAnsi" w:hAnsiTheme="majorHAnsi"/>
          <w:sz w:val="22"/>
          <w:szCs w:val="22"/>
          <w:lang w:val="en-GB"/>
        </w:rPr>
        <w:t>improved online tools &amp; training</w:t>
      </w:r>
      <w:r w:rsidRPr="00241248">
        <w:rPr>
          <w:rFonts w:asciiTheme="majorHAnsi" w:hAnsiTheme="majorHAnsi"/>
          <w:sz w:val="22"/>
          <w:szCs w:val="22"/>
          <w:lang w:val="en-GB"/>
        </w:rPr>
        <w:t xml:space="preserve"> (</w:t>
      </w:r>
      <w:r w:rsidR="005446DF">
        <w:rPr>
          <w:rFonts w:asciiTheme="majorHAnsi" w:hAnsiTheme="majorHAnsi"/>
          <w:sz w:val="22"/>
          <w:szCs w:val="22"/>
          <w:lang w:val="en-GB"/>
        </w:rPr>
        <w:t xml:space="preserve">Proposed Improvement </w:t>
      </w:r>
      <w:r w:rsidRPr="00241248">
        <w:rPr>
          <w:rFonts w:asciiTheme="majorHAnsi" w:hAnsiTheme="majorHAnsi"/>
          <w:sz w:val="22"/>
          <w:szCs w:val="22"/>
          <w:lang w:val="en-GB"/>
        </w:rPr>
        <w:t>#</w:t>
      </w:r>
      <w:r w:rsidR="00946754" w:rsidRPr="00241248">
        <w:rPr>
          <w:rFonts w:asciiTheme="majorHAnsi" w:hAnsiTheme="majorHAnsi"/>
          <w:sz w:val="22"/>
          <w:szCs w:val="22"/>
          <w:lang w:val="en-GB"/>
        </w:rPr>
        <w:t>5</w:t>
      </w:r>
      <w:r w:rsidRPr="00241248">
        <w:rPr>
          <w:rFonts w:asciiTheme="majorHAnsi" w:hAnsiTheme="majorHAnsi"/>
          <w:sz w:val="22"/>
          <w:szCs w:val="22"/>
          <w:lang w:val="en-GB"/>
        </w:rPr>
        <w:t>). These areas for possible improvement also closely align with the recommendations of the Accountability &amp; Transparency Review Team 2 (</w:t>
      </w:r>
      <w:r w:rsidR="005446DF">
        <w:rPr>
          <w:rFonts w:asciiTheme="majorHAnsi" w:hAnsiTheme="majorHAnsi"/>
          <w:sz w:val="22"/>
          <w:szCs w:val="22"/>
          <w:lang w:val="en-GB"/>
        </w:rPr>
        <w:t xml:space="preserve">Recommendation </w:t>
      </w:r>
      <w:r w:rsidRPr="00241248">
        <w:rPr>
          <w:rFonts w:asciiTheme="majorHAnsi" w:hAnsiTheme="majorHAnsi"/>
          <w:sz w:val="22"/>
          <w:szCs w:val="22"/>
          <w:lang w:val="en-GB"/>
        </w:rPr>
        <w:t xml:space="preserve">#10.1). </w:t>
      </w:r>
      <w:r w:rsidR="005446DF">
        <w:rPr>
          <w:rFonts w:asciiTheme="majorHAnsi" w:hAnsiTheme="majorHAnsi"/>
          <w:sz w:val="22"/>
          <w:szCs w:val="22"/>
          <w:lang w:val="en-GB"/>
        </w:rPr>
        <w:t>To address these two areas of possible improvement, t</w:t>
      </w:r>
      <w:r w:rsidR="005446DF" w:rsidRPr="00241248">
        <w:rPr>
          <w:rFonts w:asciiTheme="majorHAnsi" w:hAnsiTheme="majorHAnsi"/>
          <w:sz w:val="22"/>
          <w:szCs w:val="22"/>
          <w:lang w:val="en-GB"/>
        </w:rPr>
        <w:t xml:space="preserve">his </w:t>
      </w:r>
      <w:r w:rsidRPr="00241248">
        <w:rPr>
          <w:rFonts w:asciiTheme="majorHAnsi" w:hAnsiTheme="majorHAnsi"/>
          <w:sz w:val="22"/>
          <w:szCs w:val="22"/>
          <w:lang w:val="en-GB"/>
        </w:rPr>
        <w:t xml:space="preserve">paper outlines the proposed </w:t>
      </w:r>
      <w:r w:rsidR="00123410" w:rsidRPr="00241248">
        <w:rPr>
          <w:rFonts w:asciiTheme="majorHAnsi" w:hAnsiTheme="majorHAnsi"/>
          <w:sz w:val="22"/>
          <w:szCs w:val="22"/>
          <w:lang w:val="en-GB"/>
        </w:rPr>
        <w:t>development of a</w:t>
      </w:r>
      <w:r w:rsidR="00F33DE0">
        <w:rPr>
          <w:rFonts w:asciiTheme="majorHAnsi" w:hAnsiTheme="majorHAnsi"/>
          <w:sz w:val="22"/>
          <w:szCs w:val="22"/>
          <w:lang w:val="en-GB"/>
        </w:rPr>
        <w:t xml:space="preserve"> GNSO Learn Videos track</w:t>
      </w:r>
      <w:r w:rsidR="005446DF">
        <w:rPr>
          <w:rFonts w:asciiTheme="majorHAnsi" w:hAnsiTheme="majorHAnsi"/>
          <w:sz w:val="22"/>
          <w:szCs w:val="22"/>
          <w:lang w:val="en-GB"/>
        </w:rPr>
        <w:t>, designed to</w:t>
      </w:r>
      <w:r w:rsidR="00F33DE0">
        <w:rPr>
          <w:rFonts w:asciiTheme="majorHAnsi" w:hAnsiTheme="majorHAnsi"/>
          <w:sz w:val="22"/>
          <w:szCs w:val="22"/>
          <w:lang w:val="en-GB"/>
        </w:rPr>
        <w:t xml:space="preserve"> become part of an</w:t>
      </w:r>
      <w:r w:rsidR="00123410" w:rsidRPr="00241248">
        <w:rPr>
          <w:rFonts w:asciiTheme="majorHAnsi" w:hAnsiTheme="majorHAnsi"/>
          <w:sz w:val="22"/>
          <w:szCs w:val="22"/>
          <w:lang w:val="en-GB"/>
        </w:rPr>
        <w:t xml:space="preserve"> integrated PDP Working Group Member onboarding programme</w:t>
      </w:r>
      <w:r w:rsidR="00F33DE0">
        <w:rPr>
          <w:rFonts w:asciiTheme="majorHAnsi" w:hAnsiTheme="majorHAnsi"/>
          <w:sz w:val="22"/>
          <w:szCs w:val="22"/>
          <w:lang w:val="en-GB"/>
        </w:rPr>
        <w:t xml:space="preserve">, which would also include amongst others the GNSO Newcomer Webinars. The GNSO Learn Videos as well as </w:t>
      </w:r>
      <w:r w:rsidR="005446DF">
        <w:rPr>
          <w:rFonts w:asciiTheme="majorHAnsi" w:hAnsiTheme="majorHAnsi"/>
          <w:sz w:val="22"/>
          <w:szCs w:val="22"/>
          <w:lang w:val="en-GB"/>
        </w:rPr>
        <w:t xml:space="preserve">the overall </w:t>
      </w:r>
      <w:r w:rsidR="00F33DE0">
        <w:rPr>
          <w:rFonts w:asciiTheme="majorHAnsi" w:hAnsiTheme="majorHAnsi"/>
          <w:sz w:val="22"/>
          <w:szCs w:val="22"/>
          <w:lang w:val="en-GB"/>
        </w:rPr>
        <w:t>onboarding programme</w:t>
      </w:r>
      <w:r w:rsidR="00123410" w:rsidRPr="00241248">
        <w:rPr>
          <w:rFonts w:asciiTheme="majorHAnsi" w:hAnsiTheme="majorHAnsi"/>
          <w:sz w:val="22"/>
          <w:szCs w:val="22"/>
          <w:lang w:val="en-GB"/>
        </w:rPr>
        <w:t xml:space="preserve"> is intended to facilitate the participation and integration of (new) PDP WG volunteers</w:t>
      </w:r>
      <w:r w:rsidR="00241248">
        <w:rPr>
          <w:rFonts w:asciiTheme="majorHAnsi" w:hAnsiTheme="majorHAnsi"/>
          <w:sz w:val="22"/>
          <w:szCs w:val="22"/>
          <w:lang w:val="en-GB"/>
        </w:rPr>
        <w:t>, which is expected to contribute to these two proposed improvements</w:t>
      </w:r>
      <w:r w:rsidR="00123410" w:rsidRPr="00241248">
        <w:rPr>
          <w:rFonts w:asciiTheme="majorHAnsi" w:hAnsiTheme="majorHAnsi"/>
          <w:sz w:val="22"/>
          <w:szCs w:val="22"/>
          <w:lang w:val="en-GB"/>
        </w:rPr>
        <w:t xml:space="preserve">. </w:t>
      </w:r>
    </w:p>
    <w:p w14:paraId="5AA3FE65" w14:textId="77777777" w:rsidR="00D760E6" w:rsidRPr="00241248" w:rsidRDefault="00D760E6" w:rsidP="007D37AA">
      <w:pPr>
        <w:rPr>
          <w:rFonts w:asciiTheme="majorHAnsi" w:hAnsiTheme="majorHAnsi"/>
          <w:sz w:val="22"/>
          <w:szCs w:val="22"/>
          <w:lang w:val="en-GB"/>
        </w:rPr>
      </w:pPr>
    </w:p>
    <w:p w14:paraId="606351AA" w14:textId="5D40D2F4" w:rsidR="00D760E6" w:rsidRPr="00241248" w:rsidRDefault="00D760E6" w:rsidP="007D37AA">
      <w:pPr>
        <w:rPr>
          <w:rFonts w:asciiTheme="majorHAnsi" w:hAnsiTheme="majorHAnsi"/>
          <w:b/>
          <w:sz w:val="22"/>
          <w:szCs w:val="22"/>
          <w:lang w:val="en-GB"/>
        </w:rPr>
      </w:pPr>
      <w:r w:rsidRPr="00241248">
        <w:rPr>
          <w:rFonts w:asciiTheme="majorHAnsi" w:hAnsiTheme="majorHAnsi"/>
          <w:b/>
          <w:sz w:val="22"/>
          <w:szCs w:val="22"/>
          <w:lang w:val="en-GB"/>
        </w:rPr>
        <w:t>Rationale</w:t>
      </w:r>
    </w:p>
    <w:p w14:paraId="70FCD729" w14:textId="77407402" w:rsidR="00241248" w:rsidRDefault="00241248" w:rsidP="007D37AA">
      <w:p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When volunteers join a GNSO PDP WG, some basic information is provided in relation to the background of the WG effort</w:t>
      </w:r>
      <w:r w:rsidR="005446DF">
        <w:rPr>
          <w:rFonts w:asciiTheme="majorHAnsi" w:hAnsiTheme="majorHAnsi"/>
          <w:sz w:val="22"/>
          <w:szCs w:val="22"/>
          <w:lang w:val="en-GB"/>
        </w:rPr>
        <w:t xml:space="preserve">: </w:t>
      </w:r>
      <w:r w:rsidR="0000331D">
        <w:rPr>
          <w:rFonts w:asciiTheme="majorHAnsi" w:hAnsiTheme="majorHAnsi"/>
          <w:sz w:val="22"/>
          <w:szCs w:val="22"/>
          <w:lang w:val="en-GB"/>
        </w:rPr>
        <w:t>such as</w:t>
      </w:r>
      <w:r w:rsidR="005446DF">
        <w:rPr>
          <w:rFonts w:asciiTheme="majorHAnsi" w:hAnsiTheme="majorHAnsi"/>
          <w:sz w:val="22"/>
          <w:szCs w:val="22"/>
          <w:lang w:val="en-GB"/>
        </w:rPr>
        <w:t xml:space="preserve"> </w:t>
      </w:r>
      <w:r>
        <w:rPr>
          <w:rFonts w:asciiTheme="majorHAnsi" w:hAnsiTheme="majorHAnsi"/>
          <w:sz w:val="22"/>
          <w:szCs w:val="22"/>
          <w:lang w:val="en-GB"/>
        </w:rPr>
        <w:t>the GNSO PDP Manual and GNSO Working G</w:t>
      </w:r>
      <w:r w:rsidR="003C7765">
        <w:rPr>
          <w:rFonts w:asciiTheme="majorHAnsi" w:hAnsiTheme="majorHAnsi"/>
          <w:sz w:val="22"/>
          <w:szCs w:val="22"/>
          <w:lang w:val="en-GB"/>
        </w:rPr>
        <w:t>roup guidelines</w:t>
      </w:r>
      <w:r w:rsidR="005446DF">
        <w:rPr>
          <w:rFonts w:asciiTheme="majorHAnsi" w:hAnsiTheme="majorHAnsi"/>
          <w:sz w:val="22"/>
          <w:szCs w:val="22"/>
          <w:lang w:val="en-GB"/>
        </w:rPr>
        <w:t xml:space="preserve">; </w:t>
      </w:r>
      <w:r w:rsidR="003C7765">
        <w:rPr>
          <w:rFonts w:asciiTheme="majorHAnsi" w:hAnsiTheme="majorHAnsi"/>
          <w:sz w:val="22"/>
          <w:szCs w:val="22"/>
          <w:lang w:val="en-GB"/>
        </w:rPr>
        <w:t xml:space="preserve">however, currently no integrated effort exists that guides a new WG member through the intricacies of a PDP WG or allow for further learning and training. </w:t>
      </w:r>
      <w:r w:rsidR="00491880">
        <w:rPr>
          <w:rFonts w:asciiTheme="majorHAnsi" w:hAnsiTheme="majorHAnsi"/>
          <w:sz w:val="22"/>
          <w:szCs w:val="22"/>
          <w:lang w:val="en-GB"/>
        </w:rPr>
        <w:t>By starting the development of an integrated PDP Working Group Member onboarding programme, which is easily extensible / adaptable to allow for modification based on the community</w:t>
      </w:r>
      <w:r w:rsidR="005446DF">
        <w:rPr>
          <w:rFonts w:asciiTheme="majorHAnsi" w:hAnsiTheme="majorHAnsi"/>
          <w:sz w:val="22"/>
          <w:szCs w:val="22"/>
          <w:lang w:val="en-GB"/>
        </w:rPr>
        <w:t>’s</w:t>
      </w:r>
      <w:r w:rsidR="00491880">
        <w:rPr>
          <w:rFonts w:asciiTheme="majorHAnsi" w:hAnsiTheme="majorHAnsi"/>
          <w:sz w:val="22"/>
          <w:szCs w:val="22"/>
          <w:lang w:val="en-GB"/>
        </w:rPr>
        <w:t xml:space="preserve"> needs, it is the hope that this current gap can be closed and it will become easier for new volunteers to participate and take an active role in GNSO policy development activities.</w:t>
      </w:r>
    </w:p>
    <w:p w14:paraId="2ED727F9" w14:textId="77777777" w:rsidR="00241248" w:rsidRPr="00241248" w:rsidRDefault="00241248" w:rsidP="007D37AA">
      <w:pPr>
        <w:rPr>
          <w:rFonts w:asciiTheme="majorHAnsi" w:hAnsiTheme="majorHAnsi"/>
          <w:sz w:val="22"/>
          <w:szCs w:val="22"/>
          <w:lang w:val="en-GB"/>
        </w:rPr>
      </w:pPr>
    </w:p>
    <w:p w14:paraId="2D363548" w14:textId="536F9378" w:rsidR="00387102" w:rsidRPr="00241248" w:rsidRDefault="00CF4A19" w:rsidP="007D37AA">
      <w:pPr>
        <w:rPr>
          <w:rFonts w:asciiTheme="majorHAnsi" w:hAnsiTheme="majorHAnsi"/>
          <w:b/>
          <w:sz w:val="22"/>
          <w:szCs w:val="22"/>
          <w:lang w:val="en-GB"/>
        </w:rPr>
      </w:pPr>
      <w:r>
        <w:rPr>
          <w:rFonts w:asciiTheme="majorHAnsi" w:hAnsiTheme="majorHAnsi"/>
          <w:b/>
          <w:sz w:val="22"/>
          <w:szCs w:val="22"/>
          <w:lang w:val="en-GB"/>
        </w:rPr>
        <w:t>Existing Tools / Training</w:t>
      </w:r>
    </w:p>
    <w:p w14:paraId="2D6FEE91" w14:textId="4C06A58D" w:rsidR="00CF4A19" w:rsidRDefault="00CF4A19" w:rsidP="00CF4A19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GNSO Web-site </w:t>
      </w:r>
      <w:r w:rsidR="0000331D">
        <w:rPr>
          <w:rFonts w:asciiTheme="majorHAnsi" w:hAnsiTheme="majorHAnsi"/>
          <w:sz w:val="22"/>
          <w:szCs w:val="22"/>
        </w:rPr>
        <w:t xml:space="preserve">currently </w:t>
      </w:r>
      <w:r>
        <w:rPr>
          <w:rFonts w:asciiTheme="majorHAnsi" w:hAnsiTheme="majorHAnsi"/>
          <w:sz w:val="22"/>
          <w:szCs w:val="22"/>
        </w:rPr>
        <w:t xml:space="preserve">hosts a ‘basics’ section (see </w:t>
      </w:r>
      <w:hyperlink r:id="rId9" w:history="1">
        <w:r w:rsidRPr="00726583">
          <w:rPr>
            <w:rStyle w:val="Hyperlink"/>
            <w:rFonts w:asciiTheme="majorHAnsi" w:hAnsiTheme="majorHAnsi"/>
            <w:sz w:val="22"/>
            <w:szCs w:val="22"/>
          </w:rPr>
          <w:t>http://gnso.icann.org/en/basics</w:t>
        </w:r>
      </w:hyperlink>
      <w:r>
        <w:rPr>
          <w:rFonts w:asciiTheme="majorHAnsi" w:hAnsiTheme="majorHAnsi"/>
          <w:sz w:val="22"/>
          <w:szCs w:val="22"/>
        </w:rPr>
        <w:t>) in which information materials concerning the following topics can be found:</w:t>
      </w:r>
    </w:p>
    <w:p w14:paraId="3A1FE8F3" w14:textId="77777777" w:rsidR="00CF4A19" w:rsidRPr="00FB6496" w:rsidRDefault="00CF4A19" w:rsidP="00CF4A1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FB6496">
        <w:rPr>
          <w:rFonts w:asciiTheme="majorHAnsi" w:hAnsiTheme="majorHAnsi"/>
          <w:sz w:val="22"/>
          <w:szCs w:val="22"/>
        </w:rPr>
        <w:t>What does ICANN do</w:t>
      </w:r>
    </w:p>
    <w:p w14:paraId="7538758F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GNSO &amp; ccNSO Comparison Overview</w:t>
      </w:r>
    </w:p>
    <w:p w14:paraId="1202F380" w14:textId="77777777" w:rsidR="00CF4A19" w:rsidRDefault="00CF4A19" w:rsidP="00CF4A1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GNSO 101</w:t>
      </w:r>
    </w:p>
    <w:p w14:paraId="1644356B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Module 1 – Role of a GNSO Council member</w:t>
      </w:r>
    </w:p>
    <w:p w14:paraId="51C1FB06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Module 2a – Working Group Operations</w:t>
      </w:r>
    </w:p>
    <w:p w14:paraId="19C7F504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Module 2b – Working Group Formation</w:t>
      </w:r>
    </w:p>
    <w:p w14:paraId="270F5A25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Module 2c – Working Groups Chair’s Guide</w:t>
      </w:r>
    </w:p>
    <w:p w14:paraId="1302000E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Module 3 – New Policy Development Process</w:t>
      </w:r>
    </w:p>
    <w:p w14:paraId="4EC8DEEB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Module 4 – Communication Tools</w:t>
      </w:r>
    </w:p>
    <w:p w14:paraId="0B1CC24E" w14:textId="77777777" w:rsidR="00CF4A19" w:rsidRDefault="00CF4A19" w:rsidP="00CF4A1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GNSO Policy Development Introduction</w:t>
      </w:r>
    </w:p>
    <w:p w14:paraId="6956D126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About Consensus Policy</w:t>
      </w:r>
    </w:p>
    <w:p w14:paraId="42A27C17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Policy Development Process</w:t>
      </w:r>
    </w:p>
    <w:p w14:paraId="6E7F5DA9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Working Group Guidelines</w:t>
      </w:r>
    </w:p>
    <w:p w14:paraId="27391E66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Policy Update Archive</w:t>
      </w:r>
    </w:p>
    <w:p w14:paraId="554FE839" w14:textId="77777777" w:rsidR="00CF4A19" w:rsidRDefault="00CF4A19" w:rsidP="00CF4A1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DNS Infrastructure Basics</w:t>
      </w:r>
    </w:p>
    <w:p w14:paraId="758CC33F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Country Code Top Level Domains</w:t>
      </w:r>
    </w:p>
    <w:p w14:paraId="342B4159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DNS Computer Emergency Response Team</w:t>
      </w:r>
    </w:p>
    <w:p w14:paraId="7A76B7BD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Internet Protocols (IPv4 – Ipv6)</w:t>
      </w:r>
    </w:p>
    <w:p w14:paraId="3773C7A5" w14:textId="77777777" w:rsidR="00CF4A19" w:rsidRDefault="00CF4A19" w:rsidP="00CF4A1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Redirecting and Wildcarding</w:t>
      </w:r>
    </w:p>
    <w:p w14:paraId="6FBED3B0" w14:textId="77777777" w:rsidR="00CF4A19" w:rsidRDefault="00CF4A19" w:rsidP="00CF4A1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Learning on ICANN.org</w:t>
      </w:r>
    </w:p>
    <w:p w14:paraId="06CC0379" w14:textId="77777777" w:rsidR="00CF4A19" w:rsidRDefault="00CF4A19" w:rsidP="00CF4A1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ICANN Glossary</w:t>
      </w:r>
    </w:p>
    <w:p w14:paraId="5BADE83C" w14:textId="77777777" w:rsidR="00CF4A19" w:rsidRDefault="00CF4A19" w:rsidP="00CF4A19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39B3373D" w14:textId="284A91B7" w:rsidR="00CF4A19" w:rsidRDefault="00CF4A19" w:rsidP="00CF4A19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Prior to the first meeting of a PDP WG, </w:t>
      </w:r>
      <w:r w:rsidR="0000331D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>aterials</w:t>
      </w:r>
      <w:r w:rsidR="0000331D">
        <w:rPr>
          <w:rFonts w:asciiTheme="majorHAnsi" w:hAnsiTheme="majorHAnsi"/>
          <w:sz w:val="22"/>
          <w:szCs w:val="22"/>
        </w:rPr>
        <w:t xml:space="preserve"> deemed relevant</w:t>
      </w:r>
      <w:r>
        <w:rPr>
          <w:rFonts w:asciiTheme="majorHAnsi" w:hAnsiTheme="majorHAnsi"/>
          <w:sz w:val="22"/>
          <w:szCs w:val="22"/>
        </w:rPr>
        <w:t xml:space="preserve"> are sent to WG participants for review. Furthermore, most of the first PDP WG meeting is dedicated to reviewing these materials and answering any questions.</w:t>
      </w:r>
    </w:p>
    <w:p w14:paraId="2B5AF927" w14:textId="77777777" w:rsidR="00CF4A19" w:rsidRDefault="00CF4A19" w:rsidP="00CF4A19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1DF9D08C" w14:textId="781E0416" w:rsidR="002F1A4C" w:rsidRPr="002F1A4C" w:rsidRDefault="00CF4A19" w:rsidP="00A30314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BB0995">
        <w:rPr>
          <w:rFonts w:asciiTheme="majorHAnsi" w:hAnsiTheme="majorHAnsi"/>
          <w:sz w:val="22"/>
          <w:szCs w:val="22"/>
        </w:rPr>
        <w:t xml:space="preserve">ICANN recently launched ICANN Learn (see </w:t>
      </w:r>
      <w:hyperlink r:id="rId10" w:history="1">
        <w:r w:rsidRPr="00BB0995">
          <w:rPr>
            <w:rStyle w:val="Hyperlink"/>
            <w:rFonts w:asciiTheme="majorHAnsi" w:hAnsiTheme="majorHAnsi"/>
            <w:sz w:val="22"/>
            <w:szCs w:val="22"/>
          </w:rPr>
          <w:t>http://learn.icann.org/</w:t>
        </w:r>
      </w:hyperlink>
      <w:r w:rsidRPr="00BB0995">
        <w:rPr>
          <w:rFonts w:asciiTheme="majorHAnsi" w:hAnsiTheme="majorHAnsi"/>
          <w:sz w:val="22"/>
          <w:szCs w:val="22"/>
        </w:rPr>
        <w:t>) which</w:t>
      </w:r>
      <w:r w:rsidRPr="00BB0995">
        <w:rPr>
          <w:rFonts w:asciiTheme="majorHAnsi" w:eastAsia="Times New Roman" w:hAnsiTheme="majorHAnsi" w:cs="Times New Roman"/>
          <w:sz w:val="22"/>
          <w:szCs w:val="22"/>
        </w:rPr>
        <w:t xml:space="preserve"> is </w:t>
      </w:r>
      <w:r>
        <w:rPr>
          <w:rFonts w:asciiTheme="majorHAnsi" w:eastAsia="Times New Roman" w:hAnsiTheme="majorHAnsi" w:cs="Times New Roman"/>
          <w:sz w:val="22"/>
          <w:szCs w:val="22"/>
        </w:rPr>
        <w:t>‘</w:t>
      </w:r>
      <w:r w:rsidRPr="00BB0995">
        <w:rPr>
          <w:rFonts w:asciiTheme="majorHAnsi" w:eastAsia="Times New Roman" w:hAnsiTheme="majorHAnsi" w:cs="Times New Roman"/>
          <w:sz w:val="22"/>
          <w:szCs w:val="22"/>
        </w:rPr>
        <w:t>an online learning platform built for the global community. It's designed to be an effective way to maintain institutional knowledge, connect peers, and unlock a new level of understanding</w:t>
      </w:r>
      <w:r>
        <w:rPr>
          <w:rFonts w:asciiTheme="majorHAnsi" w:eastAsia="Times New Roman" w:hAnsiTheme="majorHAnsi" w:cs="Times New Roman"/>
          <w:sz w:val="22"/>
          <w:szCs w:val="22"/>
        </w:rPr>
        <w:t>’</w:t>
      </w:r>
      <w:r w:rsidRPr="00BB0995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BB0995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It also provides the option for the ICANN community to develop training modules.</w:t>
      </w:r>
      <w:r w:rsidR="00A30314">
        <w:rPr>
          <w:rFonts w:asciiTheme="majorHAnsi" w:hAnsiTheme="majorHAnsi"/>
          <w:sz w:val="22"/>
          <w:szCs w:val="22"/>
        </w:rPr>
        <w:t xml:space="preserve"> </w:t>
      </w:r>
      <w:r w:rsidR="00A30314">
        <w:rPr>
          <w:rFonts w:asciiTheme="majorHAnsi" w:hAnsiTheme="majorHAnsi"/>
          <w:sz w:val="22"/>
          <w:szCs w:val="22"/>
          <w:lang w:val="en-GB"/>
        </w:rPr>
        <w:t>S</w:t>
      </w:r>
      <w:r w:rsidR="007834E9">
        <w:rPr>
          <w:rFonts w:asciiTheme="majorHAnsi" w:hAnsiTheme="majorHAnsi"/>
          <w:sz w:val="22"/>
          <w:szCs w:val="22"/>
          <w:lang w:val="en-GB"/>
        </w:rPr>
        <w:t xml:space="preserve">taff evaluated the available courses there in order to determine if a possible curriculum </w:t>
      </w:r>
      <w:r w:rsidR="002F1A4C">
        <w:rPr>
          <w:rFonts w:asciiTheme="majorHAnsi" w:hAnsiTheme="majorHAnsi"/>
          <w:sz w:val="22"/>
          <w:szCs w:val="22"/>
          <w:lang w:val="en-GB"/>
        </w:rPr>
        <w:t>suitable for new GNSO PDP WG volunteers could be buil</w:t>
      </w:r>
      <w:r w:rsidR="005446DF">
        <w:rPr>
          <w:rFonts w:asciiTheme="majorHAnsi" w:hAnsiTheme="majorHAnsi"/>
          <w:sz w:val="22"/>
          <w:szCs w:val="22"/>
          <w:lang w:val="en-GB"/>
        </w:rPr>
        <w:t>t</w:t>
      </w:r>
      <w:r w:rsidR="002F1A4C">
        <w:rPr>
          <w:rFonts w:asciiTheme="majorHAnsi" w:hAnsiTheme="majorHAnsi"/>
          <w:sz w:val="22"/>
          <w:szCs w:val="22"/>
          <w:lang w:val="en-GB"/>
        </w:rPr>
        <w:t xml:space="preserve"> from there</w:t>
      </w:r>
      <w:r w:rsidR="002F1A4C" w:rsidRPr="002F1A4C">
        <w:rPr>
          <w:rFonts w:asciiTheme="majorHAnsi" w:hAnsiTheme="majorHAnsi"/>
          <w:sz w:val="22"/>
          <w:szCs w:val="22"/>
          <w:lang w:val="en-GB"/>
        </w:rPr>
        <w:t xml:space="preserve">. </w:t>
      </w:r>
      <w:r w:rsidR="002F1A4C" w:rsidRPr="002F1A4C">
        <w:rPr>
          <w:rFonts w:asciiTheme="majorHAnsi" w:hAnsiTheme="majorHAnsi"/>
          <w:sz w:val="22"/>
          <w:szCs w:val="22"/>
        </w:rPr>
        <w:t xml:space="preserve">The </w:t>
      </w:r>
      <w:r w:rsidR="005446DF">
        <w:rPr>
          <w:rFonts w:asciiTheme="majorHAnsi" w:hAnsiTheme="majorHAnsi"/>
          <w:sz w:val="22"/>
          <w:szCs w:val="22"/>
        </w:rPr>
        <w:t>current c</w:t>
      </w:r>
      <w:r w:rsidR="005446DF" w:rsidRPr="002F1A4C">
        <w:rPr>
          <w:rFonts w:asciiTheme="majorHAnsi" w:hAnsiTheme="majorHAnsi"/>
          <w:sz w:val="22"/>
          <w:szCs w:val="22"/>
        </w:rPr>
        <w:t>ourses</w:t>
      </w:r>
      <w:r w:rsidR="005446DF">
        <w:rPr>
          <w:rFonts w:asciiTheme="majorHAnsi" w:hAnsiTheme="majorHAnsi"/>
          <w:sz w:val="22"/>
          <w:szCs w:val="22"/>
        </w:rPr>
        <w:t xml:space="preserve"> offered</w:t>
      </w:r>
      <w:r w:rsidR="005446DF" w:rsidRPr="002F1A4C">
        <w:rPr>
          <w:rFonts w:asciiTheme="majorHAnsi" w:hAnsiTheme="majorHAnsi"/>
          <w:sz w:val="22"/>
          <w:szCs w:val="22"/>
        </w:rPr>
        <w:t xml:space="preserve"> </w:t>
      </w:r>
      <w:r w:rsidR="002F1A4C" w:rsidRPr="002F1A4C">
        <w:rPr>
          <w:rFonts w:asciiTheme="majorHAnsi" w:hAnsiTheme="majorHAnsi"/>
          <w:sz w:val="22"/>
          <w:szCs w:val="22"/>
        </w:rPr>
        <w:t xml:space="preserve">on ICANN Learn are a mix of downloadable PowerPoint presentations, professional videos/animations (presumably produced by Communications), lecture style videos, webinar recordings, and flow-charts. For example, the </w:t>
      </w:r>
      <w:hyperlink r:id="rId11" w:history="1">
        <w:r w:rsidR="002F1A4C" w:rsidRPr="002F1A4C">
          <w:rPr>
            <w:rStyle w:val="Hyperlink"/>
            <w:rFonts w:asciiTheme="majorHAnsi" w:hAnsiTheme="majorHAnsi"/>
            <w:sz w:val="22"/>
            <w:szCs w:val="22"/>
          </w:rPr>
          <w:t>ICANN 101</w:t>
        </w:r>
      </w:hyperlink>
      <w:r w:rsidR="002F1A4C" w:rsidRPr="002F1A4C">
        <w:rPr>
          <w:rFonts w:asciiTheme="majorHAnsi" w:hAnsiTheme="majorHAnsi"/>
          <w:sz w:val="22"/>
          <w:szCs w:val="22"/>
        </w:rPr>
        <w:t xml:space="preserve"> ‘course’ (requires login) is a mix of all of these with some material on the learn.icann.org page and others linked across to icann.org.</w:t>
      </w:r>
    </w:p>
    <w:p w14:paraId="13C25E42" w14:textId="77777777" w:rsidR="002F1A4C" w:rsidRDefault="002F1A4C" w:rsidP="002F1A4C">
      <w:pPr>
        <w:tabs>
          <w:tab w:val="left" w:pos="1440"/>
        </w:tabs>
      </w:pPr>
    </w:p>
    <w:p w14:paraId="22A6C3D3" w14:textId="328FA60C" w:rsidR="002F1A4C" w:rsidRPr="00CF4A19" w:rsidRDefault="002F1A4C" w:rsidP="002F1A4C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 xml:space="preserve">The </w:t>
      </w:r>
      <w:r w:rsidR="005446DF">
        <w:rPr>
          <w:rFonts w:asciiTheme="majorHAnsi" w:hAnsiTheme="majorHAnsi"/>
          <w:sz w:val="22"/>
          <w:szCs w:val="22"/>
        </w:rPr>
        <w:t xml:space="preserve">general </w:t>
      </w:r>
      <w:r w:rsidRPr="00CF4A19">
        <w:rPr>
          <w:rFonts w:asciiTheme="majorHAnsi" w:hAnsiTheme="majorHAnsi"/>
          <w:sz w:val="22"/>
          <w:szCs w:val="22"/>
        </w:rPr>
        <w:t xml:space="preserve">feeling </w:t>
      </w:r>
      <w:r w:rsidR="005446DF">
        <w:rPr>
          <w:rFonts w:asciiTheme="majorHAnsi" w:hAnsiTheme="majorHAnsi"/>
          <w:sz w:val="22"/>
          <w:szCs w:val="22"/>
        </w:rPr>
        <w:t>from</w:t>
      </w:r>
      <w:r w:rsidR="005446DF" w:rsidRPr="00CF4A19">
        <w:rPr>
          <w:rFonts w:asciiTheme="majorHAnsi" w:hAnsiTheme="majorHAnsi"/>
          <w:sz w:val="22"/>
          <w:szCs w:val="22"/>
        </w:rPr>
        <w:t xml:space="preserve"> </w:t>
      </w:r>
      <w:r w:rsidRPr="00CF4A19">
        <w:rPr>
          <w:rFonts w:asciiTheme="majorHAnsi" w:hAnsiTheme="majorHAnsi"/>
          <w:sz w:val="22"/>
          <w:szCs w:val="22"/>
        </w:rPr>
        <w:t>many of these courses is that they are an amalgamation of existing information rather than a custom-made course, which means that they seem rather cumbersome and not as appealing as they could otherwise be.</w:t>
      </w:r>
    </w:p>
    <w:p w14:paraId="72B331D1" w14:textId="77777777" w:rsidR="002F1A4C" w:rsidRPr="00CF4A19" w:rsidRDefault="002F1A4C" w:rsidP="002F1A4C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5F8B19A8" w14:textId="77777777" w:rsidR="002F1A4C" w:rsidRDefault="002F1A4C" w:rsidP="002F1A4C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The information provided is also a mix of very basic information that nevertheless assumes existing knowledge – e.g. at no point are terms like ‘registrant’, ‘registrar’, ‘registry’, or ‘top level domain’ explained.</w:t>
      </w:r>
    </w:p>
    <w:p w14:paraId="09A1C1B1" w14:textId="77777777" w:rsidR="00CF4A19" w:rsidRDefault="00CF4A19" w:rsidP="002F1A4C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44D9A7EA" w14:textId="4CB9F0A0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b/>
          <w:sz w:val="22"/>
          <w:szCs w:val="22"/>
        </w:rPr>
      </w:pPr>
      <w:r w:rsidRPr="00CF4A19">
        <w:rPr>
          <w:rFonts w:asciiTheme="majorHAnsi" w:hAnsiTheme="majorHAnsi"/>
          <w:b/>
          <w:sz w:val="22"/>
          <w:szCs w:val="22"/>
        </w:rPr>
        <w:t xml:space="preserve">GOALS FOR </w:t>
      </w:r>
      <w:r>
        <w:rPr>
          <w:rFonts w:asciiTheme="majorHAnsi" w:hAnsiTheme="majorHAnsi"/>
          <w:b/>
          <w:sz w:val="22"/>
          <w:szCs w:val="22"/>
        </w:rPr>
        <w:t>GNSO</w:t>
      </w:r>
      <w:r w:rsidRPr="00CF4A19">
        <w:rPr>
          <w:rFonts w:asciiTheme="majorHAnsi" w:hAnsiTheme="majorHAnsi"/>
          <w:b/>
          <w:sz w:val="22"/>
          <w:szCs w:val="22"/>
        </w:rPr>
        <w:t xml:space="preserve"> LEARN VIDEOS</w:t>
      </w:r>
    </w:p>
    <w:p w14:paraId="6D0B9326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b/>
          <w:sz w:val="22"/>
          <w:szCs w:val="22"/>
        </w:rPr>
      </w:pPr>
    </w:p>
    <w:p w14:paraId="7018FC28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b/>
          <w:sz w:val="22"/>
          <w:szCs w:val="22"/>
        </w:rPr>
      </w:pPr>
      <w:r w:rsidRPr="00CF4A19">
        <w:rPr>
          <w:rFonts w:asciiTheme="majorHAnsi" w:hAnsiTheme="majorHAnsi"/>
          <w:b/>
          <w:sz w:val="22"/>
          <w:szCs w:val="22"/>
        </w:rPr>
        <w:t>A Need for Audience-tailored Courses</w:t>
      </w:r>
    </w:p>
    <w:p w14:paraId="098E8558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3B9E295B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There are at least two different audiences for GNSO-related ‘online learning courses’: a) newcomers who would like to become active in the multi-stakeholder model, and b) active community members that want to fine-tune their knowledge and understanding of facts and processes.</w:t>
      </w:r>
    </w:p>
    <w:p w14:paraId="3DA55E3A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0C1CAC91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b/>
          <w:sz w:val="22"/>
          <w:szCs w:val="22"/>
        </w:rPr>
      </w:pPr>
      <w:r w:rsidRPr="00CF4A19">
        <w:rPr>
          <w:rFonts w:asciiTheme="majorHAnsi" w:hAnsiTheme="majorHAnsi"/>
          <w:b/>
          <w:sz w:val="22"/>
          <w:szCs w:val="22"/>
        </w:rPr>
        <w:t>An Illustrative List of Issues for Newcomers</w:t>
      </w:r>
    </w:p>
    <w:p w14:paraId="4314F3D1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ab/>
      </w:r>
    </w:p>
    <w:p w14:paraId="15DA7B29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  <w:u w:val="single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a) </w:t>
      </w:r>
      <w:r w:rsidRPr="00CF4A19">
        <w:rPr>
          <w:rFonts w:asciiTheme="majorHAnsi" w:hAnsiTheme="majorHAnsi"/>
          <w:sz w:val="22"/>
          <w:szCs w:val="22"/>
          <w:u w:val="single"/>
        </w:rPr>
        <w:t xml:space="preserve">Terminology and Acronyms </w:t>
      </w:r>
    </w:p>
    <w:p w14:paraId="79B38C63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What is a registrant, registrar, registry, ccTLD v gTLD (ie the basic structure of the ICANN community)</w:t>
      </w:r>
    </w:p>
    <w:p w14:paraId="781DB084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 xml:space="preserve">Video + powerpoint (done via AC recording?) </w:t>
      </w:r>
    </w:p>
    <w:p w14:paraId="2609B037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Could either be a frontal video by staff or it could be a compilation of various community members explaining these terms and usages</w:t>
      </w:r>
    </w:p>
    <w:p w14:paraId="5CB9F5FC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651EB3BD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  <w:u w:val="single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b) </w:t>
      </w:r>
      <w:r w:rsidRPr="00CF4A19">
        <w:rPr>
          <w:rFonts w:asciiTheme="majorHAnsi" w:hAnsiTheme="majorHAnsi"/>
          <w:sz w:val="22"/>
          <w:szCs w:val="22"/>
          <w:u w:val="single"/>
        </w:rPr>
        <w:t>Who are the different ICANN SO/ACs and GNSO SG/Cs</w:t>
      </w:r>
    </w:p>
    <w:p w14:paraId="65E248C7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1-2 min instruction (each) by the various Chairs on who the SO/AC represent and how the contribute to the MSM (ie how each stakeholder fits into the ICANN structure/model/groups)</w:t>
      </w:r>
    </w:p>
    <w:p w14:paraId="350EE272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Video only with a link to the ICANN and GNSO websites for more information</w:t>
      </w:r>
    </w:p>
    <w:p w14:paraId="1711F553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26FD36B0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  <w:u w:val="single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c) </w:t>
      </w:r>
      <w:r w:rsidRPr="00CF4A19">
        <w:rPr>
          <w:rFonts w:asciiTheme="majorHAnsi" w:hAnsiTheme="majorHAnsi"/>
          <w:sz w:val="22"/>
          <w:szCs w:val="22"/>
          <w:u w:val="single"/>
        </w:rPr>
        <w:t>What is consensus policy</w:t>
      </w:r>
    </w:p>
    <w:p w14:paraId="5B27C6FE" w14:textId="77777777" w:rsidR="00CF4A19" w:rsidRPr="00CF4A19" w:rsidRDefault="00CF4A19" w:rsidP="00CF4A19">
      <w:pPr>
        <w:tabs>
          <w:tab w:val="left" w:pos="1440"/>
        </w:tabs>
        <w:ind w:left="1440"/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- Explain what the role and purpose of consensus policy and the ‘picket fence’ is (emphasize the nature of the MSM)</w:t>
      </w:r>
    </w:p>
    <w:p w14:paraId="2009DBF0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ab/>
        <w:t>- Frontal video with links to relevant info on ICANN website</w:t>
      </w:r>
    </w:p>
    <w:p w14:paraId="35473B9D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08C6BD12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  <w:u w:val="single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d) </w:t>
      </w:r>
      <w:r w:rsidRPr="00CF4A19">
        <w:rPr>
          <w:rFonts w:asciiTheme="majorHAnsi" w:hAnsiTheme="majorHAnsi"/>
          <w:sz w:val="22"/>
          <w:szCs w:val="22"/>
          <w:u w:val="single"/>
        </w:rPr>
        <w:t>How does a PDP work</w:t>
      </w:r>
    </w:p>
    <w:p w14:paraId="4B501682" w14:textId="77777777" w:rsidR="00CF4A19" w:rsidRPr="00CF4A19" w:rsidRDefault="00CF4A19" w:rsidP="00CF4A19">
      <w:pPr>
        <w:tabs>
          <w:tab w:val="left" w:pos="1440"/>
        </w:tabs>
        <w:ind w:left="1440"/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 xml:space="preserve">- Some basic information about the life-cycle of a PDP from issue report to Board adoption </w:t>
      </w:r>
    </w:p>
    <w:p w14:paraId="5A7C5131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ab/>
        <w:t>- Frontal video with relevant links (to the ‘snake’ and the Bylaws)</w:t>
      </w:r>
    </w:p>
    <w:p w14:paraId="6E43A814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ab/>
        <w:t>- Include one or two real examples</w:t>
      </w:r>
    </w:p>
    <w:p w14:paraId="3493FAF5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2C0F4DDD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  <w:u w:val="single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e) </w:t>
      </w:r>
      <w:r w:rsidRPr="00CF4A19">
        <w:rPr>
          <w:rFonts w:asciiTheme="majorHAnsi" w:hAnsiTheme="majorHAnsi"/>
          <w:sz w:val="22"/>
          <w:szCs w:val="22"/>
          <w:u w:val="single"/>
        </w:rPr>
        <w:t>How to join a Working Group</w:t>
      </w:r>
    </w:p>
    <w:p w14:paraId="622AEE5A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This should be about the sign-up logistics and an introduction to the wiki</w:t>
      </w:r>
    </w:p>
    <w:p w14:paraId="2406CF15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 xml:space="preserve">Screen-shot video with voice-over </w:t>
      </w:r>
    </w:p>
    <w:p w14:paraId="3443310C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ab/>
      </w:r>
    </w:p>
    <w:p w14:paraId="10BD59BA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f) </w:t>
      </w:r>
      <w:r w:rsidRPr="00CF4A19">
        <w:rPr>
          <w:rFonts w:asciiTheme="majorHAnsi" w:hAnsiTheme="majorHAnsi"/>
          <w:sz w:val="22"/>
          <w:szCs w:val="22"/>
          <w:u w:val="single"/>
        </w:rPr>
        <w:t>What is involved in taking part in a Working Group</w:t>
      </w:r>
    </w:p>
    <w:p w14:paraId="4B27E92B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Expectations in terms of time-commitment and prior knowledge, advertising the newcomer webinar</w:t>
      </w:r>
    </w:p>
    <w:p w14:paraId="55290417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Include examples of past WGs to show scope and diversity</w:t>
      </w:r>
    </w:p>
    <w:p w14:paraId="218ECEA8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Frontal video by a community member (maybe a former WG chair) with links to more information on the GNSO and/or ICANN site</w:t>
      </w:r>
    </w:p>
    <w:p w14:paraId="7E9AD6DF" w14:textId="77777777" w:rsidR="00CF4A19" w:rsidRPr="00CF4A19" w:rsidRDefault="00CF4A19" w:rsidP="00CF4A19">
      <w:pPr>
        <w:pStyle w:val="ListParagraph"/>
        <w:tabs>
          <w:tab w:val="left" w:pos="1440"/>
        </w:tabs>
        <w:ind w:left="1800"/>
        <w:rPr>
          <w:rFonts w:asciiTheme="majorHAnsi" w:hAnsiTheme="majorHAnsi"/>
          <w:sz w:val="22"/>
          <w:szCs w:val="22"/>
        </w:rPr>
      </w:pPr>
    </w:p>
    <w:p w14:paraId="15323308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  <w:u w:val="single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g) </w:t>
      </w:r>
      <w:r w:rsidRPr="00CF4A19">
        <w:rPr>
          <w:rFonts w:asciiTheme="majorHAnsi" w:hAnsiTheme="majorHAnsi"/>
          <w:sz w:val="22"/>
          <w:szCs w:val="22"/>
          <w:u w:val="single"/>
        </w:rPr>
        <w:t>How to submit a public comment</w:t>
      </w:r>
    </w:p>
    <w:p w14:paraId="41DC83DC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Convey understanding of how to participate in public comments and what this requires.</w:t>
      </w:r>
    </w:p>
    <w:p w14:paraId="43BB737A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A screen-shot video with voice over could work here.</w:t>
      </w:r>
    </w:p>
    <w:p w14:paraId="0949E006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Emphasize how this is critical to MSM</w:t>
      </w:r>
    </w:p>
    <w:p w14:paraId="7223EB57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ab/>
      </w:r>
    </w:p>
    <w:p w14:paraId="67086C67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  <w:u w:val="single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h) </w:t>
      </w:r>
      <w:r w:rsidRPr="00CF4A19">
        <w:rPr>
          <w:rFonts w:asciiTheme="majorHAnsi" w:hAnsiTheme="majorHAnsi"/>
          <w:sz w:val="22"/>
          <w:szCs w:val="22"/>
          <w:u w:val="single"/>
        </w:rPr>
        <w:t>How to join an ICANN meeting</w:t>
      </w:r>
    </w:p>
    <w:p w14:paraId="493398BD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Provide some information of how many ICANN meetings there are, how to sign up and register and generally encourage people to join (in person and remotely).</w:t>
      </w:r>
    </w:p>
    <w:p w14:paraId="5B776506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Screen shot video plus frontal ‘invite to join’ by a community member</w:t>
      </w:r>
    </w:p>
    <w:p w14:paraId="0E6B7345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4B31DA9C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i) </w:t>
      </w:r>
      <w:r w:rsidRPr="00CF4A19">
        <w:rPr>
          <w:rFonts w:asciiTheme="majorHAnsi" w:hAnsiTheme="majorHAnsi"/>
          <w:sz w:val="22"/>
          <w:szCs w:val="22"/>
          <w:u w:val="single"/>
        </w:rPr>
        <w:t>How can I keep up-to date with the latest policy developments</w:t>
      </w:r>
      <w:r w:rsidRPr="00CF4A19">
        <w:rPr>
          <w:rFonts w:asciiTheme="majorHAnsi" w:hAnsiTheme="majorHAnsi"/>
          <w:sz w:val="22"/>
          <w:szCs w:val="22"/>
        </w:rPr>
        <w:t>?</w:t>
      </w:r>
    </w:p>
    <w:p w14:paraId="529C6385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Give information about the policy update, the various announcement sites of the SO/ACs, advertise the pre-ICANN meeting webinars</w:t>
      </w:r>
    </w:p>
    <w:p w14:paraId="54A2BEC8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Mix of frontal video and screen-shot video with voice over.</w:t>
      </w:r>
    </w:p>
    <w:p w14:paraId="027DD3DB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303519D4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  <w:u w:val="single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j) </w:t>
      </w:r>
      <w:r w:rsidRPr="00CF4A19">
        <w:rPr>
          <w:rFonts w:asciiTheme="majorHAnsi" w:hAnsiTheme="majorHAnsi"/>
          <w:sz w:val="22"/>
          <w:szCs w:val="22"/>
          <w:u w:val="single"/>
        </w:rPr>
        <w:t>Who is who – staff and community members</w:t>
      </w:r>
    </w:p>
    <w:p w14:paraId="002CA660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10sec intro by each of the staff – who are they, what do they do, where are they based</w:t>
      </w:r>
    </w:p>
    <w:p w14:paraId="4BF75883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Introduction by GNSO Chair, maybe also SG/C chairs?</w:t>
      </w:r>
    </w:p>
    <w:p w14:paraId="6B0B76CD" w14:textId="77777777" w:rsidR="00CF4A19" w:rsidRPr="00CF4A19" w:rsidRDefault="00CF4A19" w:rsidP="00CF4A19">
      <w:pPr>
        <w:pStyle w:val="ListParagraph"/>
        <w:tabs>
          <w:tab w:val="left" w:pos="1440"/>
        </w:tabs>
        <w:ind w:left="1800"/>
        <w:rPr>
          <w:rFonts w:asciiTheme="majorHAnsi" w:hAnsiTheme="majorHAnsi"/>
          <w:sz w:val="22"/>
          <w:szCs w:val="22"/>
        </w:rPr>
      </w:pPr>
    </w:p>
    <w:p w14:paraId="31D97D33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7FA4E890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b/>
          <w:sz w:val="22"/>
          <w:szCs w:val="22"/>
        </w:rPr>
      </w:pPr>
      <w:r w:rsidRPr="00CF4A19">
        <w:rPr>
          <w:rFonts w:asciiTheme="majorHAnsi" w:hAnsiTheme="majorHAnsi"/>
          <w:b/>
          <w:sz w:val="22"/>
          <w:szCs w:val="22"/>
        </w:rPr>
        <w:t>An Illustrative List of Issues for Existing Community Members</w:t>
      </w:r>
    </w:p>
    <w:p w14:paraId="747AD0C0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26A73A15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  <w:u w:val="single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a) </w:t>
      </w:r>
      <w:r w:rsidRPr="00CF4A19">
        <w:rPr>
          <w:rFonts w:asciiTheme="majorHAnsi" w:hAnsiTheme="majorHAnsi"/>
          <w:sz w:val="22"/>
          <w:szCs w:val="22"/>
          <w:u w:val="single"/>
        </w:rPr>
        <w:t>Introduction to key consensus policies</w:t>
      </w:r>
    </w:p>
    <w:p w14:paraId="786BF37E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Brief overview of the URS, the UDRP and the IRTP (for examples)</w:t>
      </w:r>
    </w:p>
    <w:p w14:paraId="60692DFF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 xml:space="preserve">Depending on length could be split into three </w:t>
      </w:r>
    </w:p>
    <w:p w14:paraId="3E1667FA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Frontal video with a PowerPoint.</w:t>
      </w:r>
    </w:p>
    <w:p w14:paraId="7C9FC193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ab/>
      </w:r>
    </w:p>
    <w:p w14:paraId="17D229DA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  <w:u w:val="single"/>
        </w:rPr>
      </w:pPr>
      <w:r w:rsidRPr="00CF4A19">
        <w:rPr>
          <w:rFonts w:asciiTheme="majorHAnsi" w:hAnsiTheme="majorHAnsi"/>
          <w:sz w:val="22"/>
          <w:szCs w:val="22"/>
        </w:rPr>
        <w:tab/>
        <w:t xml:space="preserve">b) </w:t>
      </w:r>
      <w:r w:rsidRPr="00CF4A19">
        <w:rPr>
          <w:rFonts w:asciiTheme="majorHAnsi" w:hAnsiTheme="majorHAnsi"/>
          <w:sz w:val="22"/>
          <w:szCs w:val="22"/>
          <w:u w:val="single"/>
        </w:rPr>
        <w:t>What does it take to Chair a Working Group</w:t>
      </w:r>
    </w:p>
    <w:p w14:paraId="749C5700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 xml:space="preserve">Introduction of chairing duties, time commitment and recommended experience </w:t>
      </w:r>
    </w:p>
    <w:p w14:paraId="2CC28DCB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links to the relevant documents on the GNSO site and reference to the newcomer webinar</w:t>
      </w:r>
    </w:p>
    <w:p w14:paraId="3EC662B6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frontal video, ideally by a community member (former or present Chair)</w:t>
      </w:r>
    </w:p>
    <w:p w14:paraId="5BC5C246" w14:textId="77777777" w:rsidR="00CF4A19" w:rsidRPr="00CF4A19" w:rsidRDefault="00CF4A19" w:rsidP="00CF4A19">
      <w:pPr>
        <w:pStyle w:val="ListParagraph"/>
        <w:tabs>
          <w:tab w:val="left" w:pos="1440"/>
        </w:tabs>
        <w:ind w:left="1800"/>
        <w:rPr>
          <w:rFonts w:asciiTheme="majorHAnsi" w:hAnsiTheme="majorHAnsi"/>
          <w:sz w:val="22"/>
          <w:szCs w:val="22"/>
        </w:rPr>
      </w:pPr>
    </w:p>
    <w:p w14:paraId="4CBACF52" w14:textId="77777777" w:rsidR="00CF4A19" w:rsidRPr="00CF4A19" w:rsidRDefault="00CF4A19" w:rsidP="00CF4A19">
      <w:pPr>
        <w:tabs>
          <w:tab w:val="left" w:pos="1440"/>
        </w:tabs>
        <w:ind w:left="1440"/>
        <w:rPr>
          <w:rFonts w:asciiTheme="majorHAnsi" w:hAnsiTheme="majorHAnsi"/>
          <w:sz w:val="22"/>
          <w:szCs w:val="22"/>
          <w:u w:val="single"/>
        </w:rPr>
      </w:pPr>
      <w:r w:rsidRPr="00CF4A19">
        <w:rPr>
          <w:rFonts w:asciiTheme="majorHAnsi" w:hAnsiTheme="majorHAnsi"/>
          <w:sz w:val="22"/>
          <w:szCs w:val="22"/>
          <w:u w:val="single"/>
        </w:rPr>
        <w:t>c) The GNSO’s role compared to other SO/ACs</w:t>
      </w:r>
    </w:p>
    <w:p w14:paraId="35B0591A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 xml:space="preserve">(Re)introduction of the MSM and the role of each SO /AC; this time with emphasis on how the others’ remit/scope differs from the GNSO </w:t>
      </w:r>
    </w:p>
    <w:p w14:paraId="49570BE4" w14:textId="77777777" w:rsidR="00CF4A19" w:rsidRPr="00CF4A19" w:rsidRDefault="00CF4A19" w:rsidP="00CF4A19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Maybe give examples of policies or problems either specific to an SO/AC or that gave rise to different aspects of work in each SO/AC (e.g. how SSAC works on new gTLD problems versus the GNSO’s policy role there)</w:t>
      </w:r>
    </w:p>
    <w:p w14:paraId="05D60B71" w14:textId="11E9118E" w:rsidR="00CF4A19" w:rsidRPr="00A30314" w:rsidRDefault="00CF4A19" w:rsidP="00A30314">
      <w:pPr>
        <w:pStyle w:val="ListParagraph"/>
        <w:numPr>
          <w:ilvl w:val="0"/>
          <w:numId w:val="7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Again, relevant Chairs could provide a 2min overview of how their organization/committee provides input to the MSM and options to participate.</w:t>
      </w:r>
    </w:p>
    <w:p w14:paraId="7F819250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28D703F8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b/>
          <w:sz w:val="22"/>
          <w:szCs w:val="22"/>
        </w:rPr>
      </w:pPr>
      <w:r w:rsidRPr="00CF4A19">
        <w:rPr>
          <w:rFonts w:asciiTheme="majorHAnsi" w:hAnsiTheme="majorHAnsi"/>
          <w:b/>
          <w:sz w:val="22"/>
          <w:szCs w:val="22"/>
        </w:rPr>
        <w:t>Issues to Consider</w:t>
      </w:r>
    </w:p>
    <w:p w14:paraId="5BC01324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72AB21F1" w14:textId="77777777" w:rsidR="00CF4A19" w:rsidRPr="00CF4A19" w:rsidRDefault="00CF4A19" w:rsidP="00CF4A19">
      <w:pPr>
        <w:pStyle w:val="ListParagraph"/>
        <w:numPr>
          <w:ilvl w:val="0"/>
          <w:numId w:val="8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Information on all of these issues (to varying degrees) are already available on the ICANN website but it is not in one place and it comes in a variety of different formats.</w:t>
      </w:r>
    </w:p>
    <w:p w14:paraId="2A4220E6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45F4E541" w14:textId="77777777" w:rsidR="00CF4A19" w:rsidRPr="00CF4A19" w:rsidRDefault="00CF4A19" w:rsidP="00CF4A19">
      <w:pPr>
        <w:pStyle w:val="ListParagraph"/>
        <w:numPr>
          <w:ilvl w:val="0"/>
          <w:numId w:val="8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 xml:space="preserve">Based on the ICANN Learn template, it might be ideal to create small modules that cover these topics – and any other relevant ones. Potentially some of these can/will have to be broken down in smaller, individual segments; e.g. the information on the SO/AC or SG/C or even the various consensus policies. </w:t>
      </w:r>
    </w:p>
    <w:p w14:paraId="5F0BD650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6429A3E3" w14:textId="77777777" w:rsidR="00CF4A19" w:rsidRPr="00CF4A19" w:rsidRDefault="00CF4A19" w:rsidP="00CF4A19">
      <w:pPr>
        <w:pStyle w:val="ListParagraph"/>
        <w:numPr>
          <w:ilvl w:val="0"/>
          <w:numId w:val="8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The format should be flexible to a degree. Whenever possible (feasible) community members should/could present topics as this is more engaging than staff.  However, when this is not possible/feasible, staff and/or screen-short videos could be used.</w:t>
      </w:r>
    </w:p>
    <w:p w14:paraId="2C8119BA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6FC4BB60" w14:textId="189F2722" w:rsidR="00CF4A19" w:rsidRPr="00CF4A19" w:rsidRDefault="00CF4A19" w:rsidP="00CF4A19">
      <w:pPr>
        <w:pStyle w:val="ListParagraph"/>
        <w:numPr>
          <w:ilvl w:val="0"/>
          <w:numId w:val="8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 xml:space="preserve">Ideally, short videos of no more than 3min per topic. The idea is that people can </w:t>
      </w:r>
      <w:r w:rsidR="00870C2B">
        <w:rPr>
          <w:rFonts w:asciiTheme="majorHAnsi" w:hAnsiTheme="majorHAnsi"/>
          <w:sz w:val="22"/>
          <w:szCs w:val="22"/>
        </w:rPr>
        <w:t xml:space="preserve">view just one at a time, but pointers should be </w:t>
      </w:r>
      <w:r w:rsidRPr="00CF4A19">
        <w:rPr>
          <w:rFonts w:asciiTheme="majorHAnsi" w:hAnsiTheme="majorHAnsi"/>
          <w:sz w:val="22"/>
          <w:szCs w:val="22"/>
        </w:rPr>
        <w:t>give</w:t>
      </w:r>
      <w:r w:rsidR="00870C2B">
        <w:rPr>
          <w:rFonts w:asciiTheme="majorHAnsi" w:hAnsiTheme="majorHAnsi"/>
          <w:sz w:val="22"/>
          <w:szCs w:val="22"/>
        </w:rPr>
        <w:t>n</w:t>
      </w:r>
      <w:r w:rsidRPr="00CF4A19">
        <w:rPr>
          <w:rFonts w:asciiTheme="majorHAnsi" w:hAnsiTheme="majorHAnsi"/>
          <w:sz w:val="22"/>
          <w:szCs w:val="22"/>
        </w:rPr>
        <w:t xml:space="preserve"> and/or ways to link to the next “logical” video to view (esp for newcomers)</w:t>
      </w:r>
    </w:p>
    <w:p w14:paraId="695544AA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07381217" w14:textId="77777777" w:rsidR="00CF4A19" w:rsidRPr="00CF4A19" w:rsidRDefault="00CF4A19" w:rsidP="00CF4A19">
      <w:pPr>
        <w:pStyle w:val="ListParagraph"/>
        <w:numPr>
          <w:ilvl w:val="0"/>
          <w:numId w:val="8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Each video should be supported by either the relevant PowerPoint (if used) and/or links to related topics on the ICANN and/or GNSO websites.</w:t>
      </w:r>
    </w:p>
    <w:p w14:paraId="0D1AB827" w14:textId="77777777" w:rsidR="00CF4A19" w:rsidRPr="00CF4A19" w:rsidRDefault="00CF4A19" w:rsidP="00CF4A19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13A6D81C" w14:textId="6B1FC2BA" w:rsidR="00387102" w:rsidRPr="00870C2B" w:rsidRDefault="00CF4A19" w:rsidP="00CF4A19">
      <w:pPr>
        <w:pStyle w:val="ListParagraph"/>
        <w:numPr>
          <w:ilvl w:val="0"/>
          <w:numId w:val="8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 w:rsidRPr="00CF4A19">
        <w:rPr>
          <w:rFonts w:asciiTheme="majorHAnsi" w:hAnsiTheme="majorHAnsi"/>
          <w:sz w:val="22"/>
          <w:szCs w:val="22"/>
        </w:rPr>
        <w:t>We should ensure that the “talking heads” (presenters) are diverse in terms of gender, country, culture etc.</w:t>
      </w:r>
      <w:r w:rsidR="00B92E92" w:rsidRPr="00CF4A19">
        <w:rPr>
          <w:rFonts w:asciiTheme="majorHAnsi" w:hAnsiTheme="majorHAnsi"/>
          <w:sz w:val="22"/>
          <w:szCs w:val="22"/>
          <w:lang w:val="en-GB"/>
        </w:rPr>
        <w:t xml:space="preserve"> </w:t>
      </w:r>
    </w:p>
    <w:p w14:paraId="26104BF0" w14:textId="77777777" w:rsidR="00870C2B" w:rsidRPr="00870C2B" w:rsidRDefault="00870C2B" w:rsidP="00870C2B">
      <w:pPr>
        <w:tabs>
          <w:tab w:val="left" w:pos="1440"/>
        </w:tabs>
        <w:rPr>
          <w:rFonts w:asciiTheme="majorHAnsi" w:hAnsiTheme="majorHAnsi"/>
          <w:sz w:val="22"/>
          <w:szCs w:val="22"/>
        </w:rPr>
      </w:pPr>
    </w:p>
    <w:p w14:paraId="04B16F87" w14:textId="61E3ADCB" w:rsidR="00870C2B" w:rsidRPr="00CF4A19" w:rsidRDefault="00870C2B" w:rsidP="00CF4A19">
      <w:pPr>
        <w:pStyle w:val="ListParagraph"/>
        <w:numPr>
          <w:ilvl w:val="0"/>
          <w:numId w:val="8"/>
        </w:numPr>
        <w:tabs>
          <w:tab w:val="left" w:pos="144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 regular review and assessment of the curriculum offered and use / usefulness should be part of the </w:t>
      </w:r>
      <w:r w:rsidR="00F33DE0">
        <w:rPr>
          <w:rFonts w:asciiTheme="majorHAnsi" w:hAnsiTheme="majorHAnsi"/>
          <w:sz w:val="22"/>
          <w:szCs w:val="22"/>
        </w:rPr>
        <w:t>roll-out of the videos, possibly by requesting immediate feedback after completion of a video</w:t>
      </w:r>
      <w:r>
        <w:rPr>
          <w:rFonts w:asciiTheme="majorHAnsi" w:hAnsiTheme="majorHAnsi"/>
          <w:sz w:val="22"/>
          <w:szCs w:val="22"/>
        </w:rPr>
        <w:t>.</w:t>
      </w:r>
    </w:p>
    <w:p w14:paraId="186F6F26" w14:textId="77777777" w:rsidR="00B92E92" w:rsidRPr="00241248" w:rsidRDefault="00B92E92" w:rsidP="007D37AA">
      <w:pPr>
        <w:rPr>
          <w:rFonts w:asciiTheme="majorHAnsi" w:hAnsiTheme="majorHAnsi"/>
          <w:color w:val="000000"/>
          <w:sz w:val="22"/>
          <w:szCs w:val="22"/>
          <w:lang w:val="en-GB"/>
        </w:rPr>
      </w:pPr>
    </w:p>
    <w:p w14:paraId="03B25338" w14:textId="0C87471D" w:rsidR="00B92E92" w:rsidRPr="00241248" w:rsidRDefault="00B92E92" w:rsidP="007D37AA">
      <w:pPr>
        <w:rPr>
          <w:rFonts w:asciiTheme="majorHAnsi" w:hAnsiTheme="majorHAnsi"/>
          <w:b/>
          <w:color w:val="000000"/>
          <w:sz w:val="22"/>
          <w:szCs w:val="22"/>
          <w:lang w:val="en-GB"/>
        </w:rPr>
      </w:pPr>
      <w:r w:rsidRPr="00241248">
        <w:rPr>
          <w:rFonts w:asciiTheme="majorHAnsi" w:hAnsiTheme="majorHAnsi"/>
          <w:b/>
          <w:color w:val="000000"/>
          <w:sz w:val="22"/>
          <w:szCs w:val="22"/>
          <w:lang w:val="en-GB"/>
        </w:rPr>
        <w:t>Proposed Next Steps</w:t>
      </w:r>
    </w:p>
    <w:p w14:paraId="6B2F3168" w14:textId="1EB09CDD" w:rsidR="00B92E92" w:rsidRPr="00241248" w:rsidRDefault="00B92E92" w:rsidP="00B92E92">
      <w:pPr>
        <w:pStyle w:val="ListParagraph"/>
        <w:numPr>
          <w:ilvl w:val="0"/>
          <w:numId w:val="5"/>
        </w:numPr>
        <w:rPr>
          <w:rFonts w:asciiTheme="majorHAnsi" w:hAnsiTheme="majorHAnsi"/>
          <w:color w:val="000000"/>
          <w:sz w:val="22"/>
          <w:szCs w:val="22"/>
          <w:lang w:val="en-GB"/>
        </w:rPr>
      </w:pPr>
      <w:r w:rsidRPr="00241248">
        <w:rPr>
          <w:rFonts w:asciiTheme="majorHAnsi" w:hAnsiTheme="majorHAnsi"/>
          <w:color w:val="000000"/>
          <w:sz w:val="22"/>
          <w:szCs w:val="22"/>
          <w:lang w:val="en-GB"/>
        </w:rPr>
        <w:t>Obtain Council feedback during the ICANN meeting in London</w:t>
      </w:r>
      <w:r w:rsidR="000F7F1F" w:rsidRPr="00241248">
        <w:rPr>
          <w:rFonts w:asciiTheme="majorHAnsi" w:hAnsiTheme="majorHAnsi"/>
          <w:color w:val="000000"/>
          <w:sz w:val="22"/>
          <w:szCs w:val="22"/>
          <w:lang w:val="en-GB"/>
        </w:rPr>
        <w:t>.</w:t>
      </w:r>
    </w:p>
    <w:p w14:paraId="768F30DD" w14:textId="3A72D53C" w:rsidR="00F33DE0" w:rsidRPr="00F33DE0" w:rsidRDefault="0025540B" w:rsidP="00F33DE0">
      <w:pPr>
        <w:pStyle w:val="ListParagraph"/>
        <w:numPr>
          <w:ilvl w:val="0"/>
          <w:numId w:val="5"/>
        </w:numPr>
        <w:rPr>
          <w:rFonts w:asciiTheme="majorHAnsi" w:hAnsi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/>
          <w:color w:val="000000"/>
          <w:sz w:val="22"/>
          <w:szCs w:val="22"/>
          <w:lang w:val="en-GB"/>
        </w:rPr>
        <w:t>Adjust proposed approach</w:t>
      </w:r>
      <w:r w:rsidR="00F33DE0">
        <w:rPr>
          <w:rFonts w:asciiTheme="majorHAnsi" w:hAnsiTheme="majorHAnsi"/>
          <w:color w:val="000000"/>
          <w:sz w:val="22"/>
          <w:szCs w:val="22"/>
          <w:lang w:val="en-GB"/>
        </w:rPr>
        <w:t xml:space="preserve"> as needed as well as consider other elements that may need to be considered for the onboarding programme</w:t>
      </w:r>
    </w:p>
    <w:p w14:paraId="4C471C7D" w14:textId="48DDF557" w:rsidR="0025540B" w:rsidRPr="00241248" w:rsidRDefault="0025540B" w:rsidP="00B92E92">
      <w:pPr>
        <w:pStyle w:val="ListParagraph"/>
        <w:numPr>
          <w:ilvl w:val="0"/>
          <w:numId w:val="5"/>
        </w:numPr>
        <w:rPr>
          <w:rFonts w:asciiTheme="majorHAnsi" w:hAnsi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/>
          <w:color w:val="000000"/>
          <w:sz w:val="22"/>
          <w:szCs w:val="22"/>
          <w:lang w:val="en-GB"/>
        </w:rPr>
        <w:t>Develop detailed implementation plan for review by ICANN 51 in Los Angeles</w:t>
      </w:r>
    </w:p>
    <w:p w14:paraId="787E9523" w14:textId="5C0E640C" w:rsidR="000F7F1F" w:rsidRPr="0025540B" w:rsidRDefault="000F7F1F" w:rsidP="0025540B">
      <w:pPr>
        <w:rPr>
          <w:rFonts w:asciiTheme="majorHAnsi" w:hAnsiTheme="majorHAnsi"/>
          <w:color w:val="000000"/>
          <w:sz w:val="22"/>
          <w:szCs w:val="22"/>
          <w:lang w:val="en-GB"/>
        </w:rPr>
      </w:pPr>
    </w:p>
    <w:sectPr w:rsidR="000F7F1F" w:rsidRPr="0025540B" w:rsidSect="00CF3027">
      <w:footerReference w:type="even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4B528" w14:textId="77777777" w:rsidR="00870C2B" w:rsidRDefault="00870C2B" w:rsidP="00946754">
      <w:r>
        <w:separator/>
      </w:r>
    </w:p>
  </w:endnote>
  <w:endnote w:type="continuationSeparator" w:id="0">
    <w:p w14:paraId="7CA58C68" w14:textId="77777777" w:rsidR="00870C2B" w:rsidRDefault="00870C2B" w:rsidP="0094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D31E" w14:textId="77777777" w:rsidR="00870C2B" w:rsidRDefault="00870C2B" w:rsidP="001234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23263D" w14:textId="77777777" w:rsidR="00870C2B" w:rsidRDefault="00870C2B" w:rsidP="0094675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8FADE" w14:textId="77777777" w:rsidR="00870C2B" w:rsidRPr="00946754" w:rsidRDefault="00870C2B" w:rsidP="00123410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0"/>
        <w:szCs w:val="20"/>
      </w:rPr>
    </w:pPr>
    <w:r w:rsidRPr="00946754">
      <w:rPr>
        <w:rStyle w:val="PageNumber"/>
        <w:rFonts w:asciiTheme="majorHAnsi" w:hAnsiTheme="majorHAnsi"/>
        <w:sz w:val="20"/>
        <w:szCs w:val="20"/>
      </w:rPr>
      <w:fldChar w:fldCharType="begin"/>
    </w:r>
    <w:r w:rsidRPr="00946754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946754">
      <w:rPr>
        <w:rStyle w:val="PageNumber"/>
        <w:rFonts w:asciiTheme="majorHAnsi" w:hAnsiTheme="majorHAnsi"/>
        <w:sz w:val="20"/>
        <w:szCs w:val="20"/>
      </w:rPr>
      <w:fldChar w:fldCharType="separate"/>
    </w:r>
    <w:r w:rsidR="00FA70C1">
      <w:rPr>
        <w:rStyle w:val="PageNumber"/>
        <w:rFonts w:asciiTheme="majorHAnsi" w:hAnsiTheme="majorHAnsi"/>
        <w:noProof/>
        <w:sz w:val="20"/>
        <w:szCs w:val="20"/>
      </w:rPr>
      <w:t>1</w:t>
    </w:r>
    <w:r w:rsidRPr="00946754">
      <w:rPr>
        <w:rStyle w:val="PageNumber"/>
        <w:rFonts w:asciiTheme="majorHAnsi" w:hAnsiTheme="majorHAnsi"/>
        <w:sz w:val="20"/>
        <w:szCs w:val="20"/>
      </w:rPr>
      <w:fldChar w:fldCharType="end"/>
    </w:r>
  </w:p>
  <w:p w14:paraId="5E20047C" w14:textId="77777777" w:rsidR="00870C2B" w:rsidRDefault="00870C2B" w:rsidP="009467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5B22B" w14:textId="77777777" w:rsidR="00870C2B" w:rsidRDefault="00870C2B" w:rsidP="00946754">
      <w:r>
        <w:separator/>
      </w:r>
    </w:p>
  </w:footnote>
  <w:footnote w:type="continuationSeparator" w:id="0">
    <w:p w14:paraId="1D1BA6DF" w14:textId="77777777" w:rsidR="00870C2B" w:rsidRDefault="00870C2B" w:rsidP="0094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414"/>
    <w:multiLevelType w:val="hybridMultilevel"/>
    <w:tmpl w:val="E2241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2D015D"/>
    <w:multiLevelType w:val="hybridMultilevel"/>
    <w:tmpl w:val="0EF40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643A5A"/>
    <w:multiLevelType w:val="hybridMultilevel"/>
    <w:tmpl w:val="7510794C"/>
    <w:lvl w:ilvl="0" w:tplc="CCB0F506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F4283D"/>
    <w:multiLevelType w:val="hybridMultilevel"/>
    <w:tmpl w:val="1C5AE93E"/>
    <w:lvl w:ilvl="0" w:tplc="736423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E22E0"/>
    <w:multiLevelType w:val="hybridMultilevel"/>
    <w:tmpl w:val="2A1AA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BF27EA"/>
    <w:multiLevelType w:val="hybridMultilevel"/>
    <w:tmpl w:val="C6786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381813"/>
    <w:multiLevelType w:val="hybridMultilevel"/>
    <w:tmpl w:val="2D5EB5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F40090"/>
    <w:multiLevelType w:val="hybridMultilevel"/>
    <w:tmpl w:val="89867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9822D3"/>
    <w:multiLevelType w:val="hybridMultilevel"/>
    <w:tmpl w:val="87C4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3A"/>
    <w:rsid w:val="0000331D"/>
    <w:rsid w:val="00064D3F"/>
    <w:rsid w:val="000F7F1F"/>
    <w:rsid w:val="00113636"/>
    <w:rsid w:val="00123410"/>
    <w:rsid w:val="00205BB0"/>
    <w:rsid w:val="00241248"/>
    <w:rsid w:val="0025540B"/>
    <w:rsid w:val="00256E58"/>
    <w:rsid w:val="002F1A4C"/>
    <w:rsid w:val="00304ECF"/>
    <w:rsid w:val="00387102"/>
    <w:rsid w:val="003C7765"/>
    <w:rsid w:val="0048087E"/>
    <w:rsid w:val="0048606E"/>
    <w:rsid w:val="00491880"/>
    <w:rsid w:val="005446DF"/>
    <w:rsid w:val="005608E0"/>
    <w:rsid w:val="00666914"/>
    <w:rsid w:val="007834E9"/>
    <w:rsid w:val="007D37AA"/>
    <w:rsid w:val="00870C2B"/>
    <w:rsid w:val="008F1C8F"/>
    <w:rsid w:val="00946754"/>
    <w:rsid w:val="0096174A"/>
    <w:rsid w:val="00A30314"/>
    <w:rsid w:val="00AE2E0C"/>
    <w:rsid w:val="00B92E92"/>
    <w:rsid w:val="00C93772"/>
    <w:rsid w:val="00CD54BA"/>
    <w:rsid w:val="00CF3027"/>
    <w:rsid w:val="00CF4A19"/>
    <w:rsid w:val="00D760E6"/>
    <w:rsid w:val="00D81AEF"/>
    <w:rsid w:val="00EB6A9D"/>
    <w:rsid w:val="00F33DE0"/>
    <w:rsid w:val="00FA473A"/>
    <w:rsid w:val="00FA663E"/>
    <w:rsid w:val="00FA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450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A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AE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4EC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67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754"/>
  </w:style>
  <w:style w:type="character" w:styleId="PageNumber">
    <w:name w:val="page number"/>
    <w:basedOn w:val="DefaultParagraphFont"/>
    <w:uiPriority w:val="99"/>
    <w:semiHidden/>
    <w:unhideWhenUsed/>
    <w:rsid w:val="00946754"/>
  </w:style>
  <w:style w:type="paragraph" w:styleId="Header">
    <w:name w:val="header"/>
    <w:basedOn w:val="Normal"/>
    <w:link w:val="HeaderChar"/>
    <w:uiPriority w:val="99"/>
    <w:unhideWhenUsed/>
    <w:rsid w:val="009467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754"/>
  </w:style>
  <w:style w:type="character" w:styleId="CommentReference">
    <w:name w:val="annotation reference"/>
    <w:basedOn w:val="DefaultParagraphFont"/>
    <w:uiPriority w:val="99"/>
    <w:semiHidden/>
    <w:unhideWhenUsed/>
    <w:rsid w:val="005446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6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A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AE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4EC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67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754"/>
  </w:style>
  <w:style w:type="character" w:styleId="PageNumber">
    <w:name w:val="page number"/>
    <w:basedOn w:val="DefaultParagraphFont"/>
    <w:uiPriority w:val="99"/>
    <w:semiHidden/>
    <w:unhideWhenUsed/>
    <w:rsid w:val="00946754"/>
  </w:style>
  <w:style w:type="paragraph" w:styleId="Header">
    <w:name w:val="header"/>
    <w:basedOn w:val="Normal"/>
    <w:link w:val="HeaderChar"/>
    <w:uiPriority w:val="99"/>
    <w:unhideWhenUsed/>
    <w:rsid w:val="009467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754"/>
  </w:style>
  <w:style w:type="character" w:styleId="CommentReference">
    <w:name w:val="annotation reference"/>
    <w:basedOn w:val="DefaultParagraphFont"/>
    <w:uiPriority w:val="99"/>
    <w:semiHidden/>
    <w:unhideWhenUsed/>
    <w:rsid w:val="005446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learn.icann.org/course/view.php?id=5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gnso.icann.org/en/drafts/pdp-improvements-table-16jan14-en.pdf" TargetMode="External"/><Relationship Id="rId9" Type="http://schemas.openxmlformats.org/officeDocument/2006/relationships/hyperlink" Target="http://gnso.icann.org/en/basics" TargetMode="External"/><Relationship Id="rId10" Type="http://schemas.openxmlformats.org/officeDocument/2006/relationships/hyperlink" Target="http://learn.ican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1618</Words>
  <Characters>8434</Characters>
  <Application>Microsoft Macintosh Word</Application>
  <DocSecurity>0</DocSecurity>
  <Lines>165</Lines>
  <Paragraphs>35</Paragraphs>
  <ScaleCrop>false</ScaleCrop>
  <Company>ICANN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dcterms:created xsi:type="dcterms:W3CDTF">2014-06-16T14:20:00Z</dcterms:created>
  <dcterms:modified xsi:type="dcterms:W3CDTF">2014-06-16T14:20:00Z</dcterms:modified>
</cp:coreProperties>
</file>