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50B96" w:rsidRDefault="00364037">
      <w:pPr>
        <w:shd w:val="clear" w:color="auto" w:fill="FFFFFF"/>
        <w:spacing w:before="160"/>
        <w:rPr>
          <w:b/>
          <w:color w:val="172B4D"/>
          <w:sz w:val="21"/>
          <w:szCs w:val="21"/>
        </w:rPr>
      </w:pPr>
      <w:r>
        <w:rPr>
          <w:b/>
          <w:color w:val="172B4D"/>
          <w:sz w:val="21"/>
          <w:szCs w:val="21"/>
        </w:rPr>
        <w:t>Motion to Defer Request for Policy Status Report on Expiration Policies</w:t>
      </w:r>
    </w:p>
    <w:p w14:paraId="00000002" w14:textId="77777777" w:rsidR="00F50B96" w:rsidRDefault="00364037">
      <w:pPr>
        <w:shd w:val="clear" w:color="auto" w:fill="FFFFFF"/>
        <w:spacing w:before="160"/>
        <w:rPr>
          <w:b/>
          <w:color w:val="172B4D"/>
          <w:sz w:val="21"/>
          <w:szCs w:val="21"/>
        </w:rPr>
      </w:pPr>
      <w:r>
        <w:rPr>
          <w:b/>
          <w:color w:val="172B4D"/>
          <w:sz w:val="21"/>
          <w:szCs w:val="21"/>
        </w:rPr>
        <w:t>Submitted by:</w:t>
      </w:r>
    </w:p>
    <w:p w14:paraId="00000003" w14:textId="77777777" w:rsidR="00F50B96" w:rsidRDefault="00364037">
      <w:pPr>
        <w:shd w:val="clear" w:color="auto" w:fill="FFFFFF"/>
        <w:spacing w:before="160"/>
        <w:rPr>
          <w:b/>
          <w:color w:val="172B4D"/>
          <w:sz w:val="21"/>
          <w:szCs w:val="21"/>
        </w:rPr>
      </w:pPr>
      <w:r>
        <w:rPr>
          <w:b/>
          <w:color w:val="172B4D"/>
          <w:sz w:val="21"/>
          <w:szCs w:val="21"/>
        </w:rPr>
        <w:t>Seconded by:</w:t>
      </w:r>
    </w:p>
    <w:p w14:paraId="00000004" w14:textId="77777777" w:rsidR="00F50B96" w:rsidRDefault="00364037">
      <w:pPr>
        <w:shd w:val="clear" w:color="auto" w:fill="FFFFFF"/>
        <w:spacing w:before="160"/>
        <w:rPr>
          <w:color w:val="172B4D"/>
          <w:sz w:val="21"/>
          <w:szCs w:val="21"/>
        </w:rPr>
      </w:pPr>
      <w:r>
        <w:rPr>
          <w:color w:val="172B4D"/>
          <w:sz w:val="21"/>
          <w:szCs w:val="21"/>
        </w:rPr>
        <w:t>WHEREAS,</w:t>
      </w:r>
    </w:p>
    <w:p w14:paraId="00000005" w14:textId="77777777" w:rsidR="00F50B96" w:rsidRDefault="00364037">
      <w:pPr>
        <w:numPr>
          <w:ilvl w:val="0"/>
          <w:numId w:val="1"/>
        </w:numPr>
        <w:shd w:val="clear" w:color="auto" w:fill="FFFFFF"/>
        <w:spacing w:before="240"/>
        <w:rPr>
          <w:rFonts w:ascii="Calibri" w:eastAsia="Calibri" w:hAnsi="Calibri" w:cs="Calibri"/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 xml:space="preserve">In October 2020, the GNSO Council considered the timing to request a Policy Status Report (PSR) to conduct a review of the two Expiration Policies, the </w:t>
      </w:r>
      <w:hyperlink r:id="rId5">
        <w:r>
          <w:rPr>
            <w:color w:val="1155CC"/>
            <w:sz w:val="21"/>
            <w:szCs w:val="21"/>
            <w:u w:val="single"/>
          </w:rPr>
          <w:t xml:space="preserve">Expired Domain </w:t>
        </w:r>
        <w:r>
          <w:rPr>
            <w:color w:val="1155CC"/>
            <w:sz w:val="21"/>
            <w:szCs w:val="21"/>
            <w:u w:val="single"/>
          </w:rPr>
          <w:t>Deletion Policy</w:t>
        </w:r>
      </w:hyperlink>
      <w:r>
        <w:rPr>
          <w:color w:val="172B4D"/>
          <w:sz w:val="21"/>
          <w:szCs w:val="21"/>
        </w:rPr>
        <w:t xml:space="preserve"> (EDDP) and the </w:t>
      </w:r>
      <w:hyperlink r:id="rId6">
        <w:r>
          <w:rPr>
            <w:color w:val="1155CC"/>
            <w:sz w:val="21"/>
            <w:szCs w:val="21"/>
            <w:u w:val="single"/>
          </w:rPr>
          <w:t>Expired Registration Recovery Policy</w:t>
        </w:r>
      </w:hyperlink>
      <w:r>
        <w:rPr>
          <w:color w:val="172B4D"/>
          <w:sz w:val="21"/>
          <w:szCs w:val="21"/>
        </w:rPr>
        <w:t xml:space="preserve"> (ERRP) and</w:t>
      </w:r>
      <w:hyperlink r:id="rId7">
        <w:r>
          <w:rPr>
            <w:color w:val="172B4D"/>
            <w:sz w:val="21"/>
            <w:szCs w:val="21"/>
          </w:rPr>
          <w:t xml:space="preserve"> </w:t>
        </w:r>
      </w:hyperlink>
      <w:hyperlink r:id="rId8">
        <w:r>
          <w:rPr>
            <w:color w:val="0052CC"/>
            <w:sz w:val="21"/>
            <w:szCs w:val="21"/>
            <w:u w:val="single"/>
          </w:rPr>
          <w:t>agreed to defer</w:t>
        </w:r>
      </w:hyperlink>
      <w:r>
        <w:rPr>
          <w:color w:val="172B4D"/>
          <w:sz w:val="21"/>
          <w:szCs w:val="21"/>
        </w:rPr>
        <w:t xml:space="preserve"> consideration for 24 months given concerns about capacity;</w:t>
      </w:r>
    </w:p>
    <w:p w14:paraId="00000006" w14:textId="77777777" w:rsidR="00F50B96" w:rsidRDefault="00364037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In July 2022, the Cou</w:t>
      </w:r>
      <w:r>
        <w:rPr>
          <w:color w:val="172B4D"/>
          <w:sz w:val="21"/>
          <w:szCs w:val="21"/>
        </w:rPr>
        <w:t>ncil revisited the question of when to request a PSR and</w:t>
      </w:r>
      <w:hyperlink r:id="rId9">
        <w:r>
          <w:rPr>
            <w:color w:val="172B4D"/>
            <w:sz w:val="21"/>
            <w:szCs w:val="21"/>
          </w:rPr>
          <w:t xml:space="preserve"> </w:t>
        </w:r>
      </w:hyperlink>
      <w:hyperlink r:id="rId10">
        <w:r>
          <w:rPr>
            <w:color w:val="0052CC"/>
            <w:sz w:val="21"/>
            <w:szCs w:val="21"/>
            <w:u w:val="single"/>
          </w:rPr>
          <w:t>agreed</w:t>
        </w:r>
      </w:hyperlink>
      <w:r>
        <w:rPr>
          <w:color w:val="172B4D"/>
          <w:sz w:val="21"/>
          <w:szCs w:val="21"/>
        </w:rPr>
        <w:t xml:space="preserve"> that, prior to proceeding with a PSR or deferral, the GNSO Council should consult with registrars and ICANN Compliance to determine if there are any known issues or concerns with the two Expiration Policies that </w:t>
      </w:r>
      <w:r>
        <w:rPr>
          <w:color w:val="172B4D"/>
          <w:sz w:val="21"/>
          <w:szCs w:val="21"/>
        </w:rPr>
        <w:t>could warrant requesting a PSR;</w:t>
      </w:r>
    </w:p>
    <w:p w14:paraId="00000007" w14:textId="77777777" w:rsidR="00F50B96" w:rsidRDefault="00364037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On 1 November 2022, ICANN org provided a</w:t>
      </w:r>
      <w:hyperlink r:id="rId11">
        <w:r>
          <w:rPr>
            <w:color w:val="172B4D"/>
            <w:sz w:val="21"/>
            <w:szCs w:val="21"/>
          </w:rPr>
          <w:t xml:space="preserve"> </w:t>
        </w:r>
      </w:hyperlink>
      <w:hyperlink r:id="rId12">
        <w:r>
          <w:rPr>
            <w:color w:val="0052CC"/>
            <w:sz w:val="21"/>
            <w:szCs w:val="21"/>
            <w:u w:val="single"/>
          </w:rPr>
          <w:t>report</w:t>
        </w:r>
      </w:hyperlink>
      <w:r>
        <w:rPr>
          <w:color w:val="172B4D"/>
          <w:sz w:val="21"/>
          <w:szCs w:val="21"/>
        </w:rPr>
        <w:t xml:space="preserve"> on the E</w:t>
      </w:r>
      <w:r>
        <w:rPr>
          <w:color w:val="172B4D"/>
          <w:sz w:val="21"/>
          <w:szCs w:val="21"/>
        </w:rPr>
        <w:t>xpiration Policies and presented the report to the GNSO Council during its</w:t>
      </w:r>
      <w:hyperlink r:id="rId13">
        <w:r>
          <w:rPr>
            <w:color w:val="172B4D"/>
            <w:sz w:val="21"/>
            <w:szCs w:val="21"/>
          </w:rPr>
          <w:t xml:space="preserve"> </w:t>
        </w:r>
      </w:hyperlink>
      <w:hyperlink r:id="rId14">
        <w:r>
          <w:rPr>
            <w:color w:val="0052CC"/>
            <w:sz w:val="21"/>
            <w:szCs w:val="21"/>
            <w:u w:val="single"/>
          </w:rPr>
          <w:t>November 2022 meeting</w:t>
        </w:r>
      </w:hyperlink>
      <w:r>
        <w:rPr>
          <w:color w:val="172B4D"/>
          <w:sz w:val="21"/>
          <w:szCs w:val="21"/>
        </w:rPr>
        <w:t>;</w:t>
      </w:r>
    </w:p>
    <w:p w14:paraId="00000008" w14:textId="77777777" w:rsidR="00F50B96" w:rsidRDefault="00364037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Following discussion of the ICANN org</w:t>
      </w:r>
      <w:hyperlink r:id="rId15">
        <w:r>
          <w:rPr>
            <w:color w:val="172B4D"/>
            <w:sz w:val="21"/>
            <w:szCs w:val="21"/>
          </w:rPr>
          <w:t xml:space="preserve"> </w:t>
        </w:r>
      </w:hyperlink>
      <w:hyperlink r:id="rId16">
        <w:r>
          <w:rPr>
            <w:color w:val="0052CC"/>
            <w:sz w:val="21"/>
            <w:szCs w:val="21"/>
            <w:u w:val="single"/>
          </w:rPr>
          <w:t>report</w:t>
        </w:r>
      </w:hyperlink>
      <w:r>
        <w:rPr>
          <w:color w:val="172B4D"/>
          <w:sz w:val="21"/>
          <w:szCs w:val="21"/>
        </w:rPr>
        <w:t>, a small team of Councilors reviewed the report and the previous feedback from registrars and presented its</w:t>
      </w:r>
      <w:hyperlink r:id="rId17">
        <w:r>
          <w:rPr>
            <w:color w:val="172B4D"/>
            <w:sz w:val="21"/>
            <w:szCs w:val="21"/>
          </w:rPr>
          <w:t xml:space="preserve"> </w:t>
        </w:r>
      </w:hyperlink>
      <w:hyperlink r:id="rId18">
        <w:r>
          <w:rPr>
            <w:color w:val="0052CC"/>
            <w:sz w:val="21"/>
            <w:szCs w:val="21"/>
            <w:u w:val="single"/>
          </w:rPr>
          <w:t>recommendation</w:t>
        </w:r>
      </w:hyperlink>
      <w:r>
        <w:rPr>
          <w:color w:val="172B4D"/>
          <w:sz w:val="21"/>
          <w:szCs w:val="21"/>
        </w:rPr>
        <w:t xml:space="preserve"> to the GNSO Council during its</w:t>
      </w:r>
      <w:hyperlink r:id="rId19">
        <w:r>
          <w:rPr>
            <w:color w:val="172B4D"/>
            <w:sz w:val="21"/>
            <w:szCs w:val="21"/>
          </w:rPr>
          <w:t xml:space="preserve"> </w:t>
        </w:r>
      </w:hyperlink>
      <w:hyperlink r:id="rId20">
        <w:r>
          <w:rPr>
            <w:color w:val="0052CC"/>
            <w:sz w:val="21"/>
            <w:szCs w:val="21"/>
            <w:u w:val="single"/>
          </w:rPr>
          <w:t>March 2023 meeting</w:t>
        </w:r>
      </w:hyperlink>
      <w:r>
        <w:rPr>
          <w:color w:val="172B4D"/>
          <w:sz w:val="21"/>
          <w:szCs w:val="21"/>
        </w:rPr>
        <w:t>;</w:t>
      </w:r>
    </w:p>
    <w:p w14:paraId="00000009" w14:textId="77777777" w:rsidR="00F50B96" w:rsidRDefault="00364037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The GNSO Council agreed to the small team’s recommendation to</w:t>
      </w:r>
      <w:r>
        <w:rPr>
          <w:color w:val="172B4D"/>
          <w:sz w:val="21"/>
          <w:szCs w:val="21"/>
        </w:rPr>
        <w:t xml:space="preserve"> request additional information from ICANN org regarding what expiration-related educational materials are currently published and whether additional information can be provided;</w:t>
      </w:r>
    </w:p>
    <w:p w14:paraId="0000000A" w14:textId="77777777" w:rsidR="00F50B96" w:rsidRDefault="00364037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On 14 February 2024, ICANN org delivered a</w:t>
      </w:r>
      <w:hyperlink r:id="rId21">
        <w:r>
          <w:rPr>
            <w:color w:val="172B4D"/>
            <w:sz w:val="21"/>
            <w:szCs w:val="21"/>
          </w:rPr>
          <w:t xml:space="preserve"> </w:t>
        </w:r>
      </w:hyperlink>
      <w:hyperlink r:id="rId22">
        <w:r>
          <w:rPr>
            <w:color w:val="0000FF"/>
            <w:sz w:val="21"/>
            <w:szCs w:val="21"/>
            <w:u w:val="single"/>
          </w:rPr>
          <w:t>summary</w:t>
        </w:r>
      </w:hyperlink>
      <w:r>
        <w:rPr>
          <w:color w:val="172B4D"/>
          <w:sz w:val="21"/>
          <w:szCs w:val="21"/>
        </w:rPr>
        <w:t xml:space="preserve"> of the current educational materials on domain name renewal and expiration and presented it during the </w:t>
      </w:r>
      <w:hyperlink r:id="rId23">
        <w:r>
          <w:rPr>
            <w:color w:val="1155CC"/>
            <w:sz w:val="21"/>
            <w:szCs w:val="21"/>
            <w:u w:val="single"/>
          </w:rPr>
          <w:t>February 2024 meeting</w:t>
        </w:r>
      </w:hyperlink>
      <w:r>
        <w:rPr>
          <w:rFonts w:ascii="Calibri" w:eastAsia="Calibri" w:hAnsi="Calibri" w:cs="Calibri"/>
          <w:color w:val="172B4D"/>
          <w:sz w:val="24"/>
          <w:szCs w:val="24"/>
        </w:rPr>
        <w:t>;</w:t>
      </w:r>
    </w:p>
    <w:p w14:paraId="0000000B" w14:textId="77777777" w:rsidR="00F50B96" w:rsidRDefault="00364037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Having considered (</w:t>
      </w:r>
      <w:proofErr w:type="spellStart"/>
      <w:r>
        <w:rPr>
          <w:color w:val="172B4D"/>
          <w:sz w:val="21"/>
          <w:szCs w:val="21"/>
        </w:rPr>
        <w:t>i</w:t>
      </w:r>
      <w:proofErr w:type="spellEnd"/>
      <w:r>
        <w:rPr>
          <w:color w:val="172B4D"/>
          <w:sz w:val="21"/>
          <w:szCs w:val="21"/>
        </w:rPr>
        <w:t>) the input from the Registrar Stakeholder Group, who was asked to flag substantial issues with the policies that wo</w:t>
      </w:r>
      <w:r>
        <w:rPr>
          <w:color w:val="172B4D"/>
          <w:sz w:val="21"/>
          <w:szCs w:val="21"/>
        </w:rPr>
        <w:t>uld warrant a near team request for policy status report and did not note any issues, (ii) the</w:t>
      </w:r>
      <w:hyperlink r:id="rId24">
        <w:r>
          <w:rPr>
            <w:color w:val="172B4D"/>
            <w:sz w:val="21"/>
            <w:szCs w:val="21"/>
          </w:rPr>
          <w:t xml:space="preserve"> </w:t>
        </w:r>
      </w:hyperlink>
      <w:hyperlink r:id="rId25">
        <w:r>
          <w:rPr>
            <w:color w:val="0000FF"/>
            <w:sz w:val="21"/>
            <w:szCs w:val="21"/>
            <w:u w:val="single"/>
          </w:rPr>
          <w:t>report</w:t>
        </w:r>
      </w:hyperlink>
      <w:r>
        <w:rPr>
          <w:color w:val="172B4D"/>
          <w:sz w:val="21"/>
          <w:szCs w:val="21"/>
        </w:rPr>
        <w:t xml:space="preserve"> from ICANN org, which </w:t>
      </w:r>
      <w:proofErr w:type="spellStart"/>
      <w:r>
        <w:rPr>
          <w:color w:val="172B4D"/>
          <w:sz w:val="21"/>
          <w:szCs w:val="21"/>
        </w:rPr>
        <w:t>notedz</w:t>
      </w:r>
      <w:proofErr w:type="spellEnd"/>
      <w:r>
        <w:rPr>
          <w:color w:val="172B4D"/>
          <w:sz w:val="21"/>
          <w:szCs w:val="21"/>
        </w:rPr>
        <w:t xml:space="preserve"> confusion with key terms in the policy and registrant confusion with the auto-renew grace period and aftermarket activities, et.al., and (iii) the</w:t>
      </w:r>
      <w:hyperlink r:id="rId26">
        <w:r>
          <w:rPr>
            <w:color w:val="172B4D"/>
            <w:sz w:val="21"/>
            <w:szCs w:val="21"/>
          </w:rPr>
          <w:t xml:space="preserve"> </w:t>
        </w:r>
      </w:hyperlink>
      <w:hyperlink r:id="rId27">
        <w:r>
          <w:rPr>
            <w:color w:val="0000FF"/>
            <w:sz w:val="21"/>
            <w:szCs w:val="21"/>
            <w:u w:val="single"/>
          </w:rPr>
          <w:t>catalog</w:t>
        </w:r>
      </w:hyperlink>
      <w:r>
        <w:rPr>
          <w:color w:val="172B4D"/>
          <w:sz w:val="21"/>
          <w:szCs w:val="21"/>
        </w:rPr>
        <w:t xml:space="preserve"> of available educational resources on domain name expiration and renewal, the GNSO Council determined that the Expiration Policies present no urge</w:t>
      </w:r>
      <w:r>
        <w:rPr>
          <w:color w:val="172B4D"/>
          <w:sz w:val="21"/>
          <w:szCs w:val="21"/>
        </w:rPr>
        <w:t>nt need for policy work, and, accordingly, the Council will revisit the timing for a PSR request in five years, or sooner if the Council is informed that further policy work is needed before the conclusion of five years.</w:t>
      </w:r>
    </w:p>
    <w:p w14:paraId="0000000C" w14:textId="77777777" w:rsidR="00F50B96" w:rsidRDefault="00364037">
      <w:pPr>
        <w:shd w:val="clear" w:color="auto" w:fill="FFFFFF"/>
        <w:spacing w:before="160"/>
        <w:rPr>
          <w:color w:val="172B4D"/>
          <w:sz w:val="21"/>
          <w:szCs w:val="21"/>
        </w:rPr>
      </w:pPr>
      <w:r>
        <w:rPr>
          <w:color w:val="172B4D"/>
          <w:sz w:val="21"/>
          <w:szCs w:val="21"/>
        </w:rPr>
        <w:t xml:space="preserve"> </w:t>
      </w:r>
    </w:p>
    <w:p w14:paraId="0000000D" w14:textId="77777777" w:rsidR="00F50B96" w:rsidRDefault="00364037">
      <w:pPr>
        <w:shd w:val="clear" w:color="auto" w:fill="FFFFFF"/>
        <w:spacing w:before="160"/>
        <w:rPr>
          <w:color w:val="172B4D"/>
          <w:sz w:val="21"/>
          <w:szCs w:val="21"/>
        </w:rPr>
      </w:pPr>
      <w:r>
        <w:rPr>
          <w:color w:val="172B4D"/>
          <w:sz w:val="21"/>
          <w:szCs w:val="21"/>
        </w:rPr>
        <w:t xml:space="preserve">RESOLVED, </w:t>
      </w:r>
    </w:p>
    <w:p w14:paraId="0000000E" w14:textId="77777777" w:rsidR="00F50B96" w:rsidRDefault="00364037">
      <w:pPr>
        <w:numPr>
          <w:ilvl w:val="0"/>
          <w:numId w:val="2"/>
        </w:numPr>
        <w:shd w:val="clear" w:color="auto" w:fill="FFFFFF"/>
        <w:spacing w:before="240"/>
        <w:rPr>
          <w:rFonts w:ascii="Calibri" w:eastAsia="Calibri" w:hAnsi="Calibri" w:cs="Calibri"/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The GNSO Council adopts the motion to defer consideration of a Policy Status Report (PSR) for the Expedited Domain Deletion Policy (EDDP) and Expedited Registration Recovery Policy (ERRP) for five years, noting, however, that if the Council is informed tha</w:t>
      </w:r>
      <w:r>
        <w:rPr>
          <w:color w:val="172B4D"/>
          <w:sz w:val="21"/>
          <w:szCs w:val="21"/>
        </w:rPr>
        <w:t>t further policy work is needed before the conclusion of five years, the Council will reconsider the PSR request at that time.</w:t>
      </w:r>
    </w:p>
    <w:p w14:paraId="0000000F" w14:textId="77777777" w:rsidR="00F50B96" w:rsidRDefault="00364037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The GNSO Council leadership directs GNSO Policy Support Staff to notify ICANN org Global Domains &amp; Services of the deferral of th</w:t>
      </w:r>
      <w:r>
        <w:rPr>
          <w:color w:val="172B4D"/>
          <w:sz w:val="21"/>
          <w:szCs w:val="21"/>
        </w:rPr>
        <w:t>e PSR request on the Expiration Policies.</w:t>
      </w:r>
    </w:p>
    <w:p w14:paraId="00000010" w14:textId="77777777" w:rsidR="00F50B96" w:rsidRDefault="00364037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 </w:t>
      </w:r>
    </w:p>
    <w:p w14:paraId="00000011" w14:textId="77777777" w:rsidR="00F50B96" w:rsidRDefault="00F50B96"/>
    <w:sectPr w:rsidR="00F50B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54922"/>
    <w:multiLevelType w:val="multilevel"/>
    <w:tmpl w:val="D0725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CE29B8"/>
    <w:multiLevelType w:val="multilevel"/>
    <w:tmpl w:val="6D26C2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96"/>
    <w:rsid w:val="00364037"/>
    <w:rsid w:val="00F5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3C305-F736-4F58-A5E5-4FBD3BE3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so.icann.org/sites/default/files/policy/2020/minutes/minutes-gnso-council-21oct20-part1-en.pdf" TargetMode="External"/><Relationship Id="rId13" Type="http://schemas.openxmlformats.org/officeDocument/2006/relationships/hyperlink" Target="https://gnso.icann.org/sites/default/files/policy/2022/minutes/minutes-gnso-council-17nov22-en.pdf" TargetMode="External"/><Relationship Id="rId18" Type="http://schemas.openxmlformats.org/officeDocument/2006/relationships/hyperlink" Target="https://docs.google.com/document/d/1zxxyIsg7HVGtAK7HsaTfw3nMX_zZfY3hUrdiDoaiPa0/edit" TargetMode="External"/><Relationship Id="rId26" Type="http://schemas.openxmlformats.org/officeDocument/2006/relationships/hyperlink" Target="https://mm.icann.org/pipermail/council/2024-February/02777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m.icann.org/pipermail/council/2024-February/027778.html" TargetMode="External"/><Relationship Id="rId7" Type="http://schemas.openxmlformats.org/officeDocument/2006/relationships/hyperlink" Target="https://gnso.icann.org/sites/default/files/policy/2020/minutes/minutes-gnso-council-21oct20-part1-en.pdf" TargetMode="External"/><Relationship Id="rId12" Type="http://schemas.openxmlformats.org/officeDocument/2006/relationships/hyperlink" Target="https://mm.icann.org/pipermail/council/2022-November/026164.html" TargetMode="External"/><Relationship Id="rId17" Type="http://schemas.openxmlformats.org/officeDocument/2006/relationships/hyperlink" Target="https://docs.google.com/document/d/1zxxyIsg7HVGtAK7HsaTfw3nMX_zZfY3hUrdiDoaiPa0/edit" TargetMode="External"/><Relationship Id="rId25" Type="http://schemas.openxmlformats.org/officeDocument/2006/relationships/hyperlink" Target="https://mm.icann.org/pipermail/council/2022-November/02616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m.icann.org/pipermail/council/2022-November/026164.html" TargetMode="External"/><Relationship Id="rId20" Type="http://schemas.openxmlformats.org/officeDocument/2006/relationships/hyperlink" Target="https://gnso.icann.org/sites/default/files/policy/2023/minutes/minutes-gnso-council-15mar23-en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cann.org/en/resources/registrars/consensus-policies/errp" TargetMode="External"/><Relationship Id="rId11" Type="http://schemas.openxmlformats.org/officeDocument/2006/relationships/hyperlink" Target="https://mm.icann.org/pipermail/council/2022-November/026164.html" TargetMode="External"/><Relationship Id="rId24" Type="http://schemas.openxmlformats.org/officeDocument/2006/relationships/hyperlink" Target="https://mm.icann.org/pipermail/council/2022-November/026164.html" TargetMode="External"/><Relationship Id="rId5" Type="http://schemas.openxmlformats.org/officeDocument/2006/relationships/hyperlink" Target="https://www.icann.org/resources/pages/registars/accreditation/eddp-en" TargetMode="External"/><Relationship Id="rId15" Type="http://schemas.openxmlformats.org/officeDocument/2006/relationships/hyperlink" Target="https://mm.icann.org/pipermail/council/2022-November/026164.html" TargetMode="External"/><Relationship Id="rId23" Type="http://schemas.openxmlformats.org/officeDocument/2006/relationships/hyperlink" Target="https://community.icann.org/display/gnsocouncilmeetings/Final+Proposed+Agenda+2024-02-1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nso.icann.org/sites/default/files/policy/2022/minutes/minutes-gnso-council-21jul22-en.pdf" TargetMode="External"/><Relationship Id="rId19" Type="http://schemas.openxmlformats.org/officeDocument/2006/relationships/hyperlink" Target="https://gnso.icann.org/sites/default/files/policy/2023/minutes/minutes-gnso-council-15mar23-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so.icann.org/sites/default/files/policy/2022/minutes/minutes-gnso-council-21jul22-en.pdf" TargetMode="External"/><Relationship Id="rId14" Type="http://schemas.openxmlformats.org/officeDocument/2006/relationships/hyperlink" Target="https://gnso.icann.org/sites/default/files/policy/2022/minutes/minutes-gnso-council-17nov22-en.pdf" TargetMode="External"/><Relationship Id="rId22" Type="http://schemas.openxmlformats.org/officeDocument/2006/relationships/hyperlink" Target="https://mm.icann.org/pipermail/council/2024-February/027778.html" TargetMode="External"/><Relationship Id="rId27" Type="http://schemas.openxmlformats.org/officeDocument/2006/relationships/hyperlink" Target="https://mm.icann.org/pipermail/council/2024-February/0277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4422</Characters>
  <Application>Microsoft Office Word</Application>
  <DocSecurity>0</DocSecurity>
  <Lines>36</Lines>
  <Paragraphs>10</Paragraphs>
  <ScaleCrop>false</ScaleCrop>
  <Company>Amazon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DiBiase, Gregory</dc:creator>
  <cp:lastModifiedBy>DiBiase, Gregory</cp:lastModifiedBy>
  <cp:revision>2</cp:revision>
  <dcterms:created xsi:type="dcterms:W3CDTF">2024-04-05T14:43:00Z</dcterms:created>
  <dcterms:modified xsi:type="dcterms:W3CDTF">2024-04-05T14:43:00Z</dcterms:modified>
</cp:coreProperties>
</file>