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364B" w14:textId="65CBD95C" w:rsidR="001C2706" w:rsidRPr="001C2706" w:rsidRDefault="001C2706" w:rsidP="001C2706">
      <w:pPr>
        <w:shd w:val="clear" w:color="auto" w:fill="FFFFFF"/>
        <w:spacing w:after="150"/>
        <w:rPr>
          <w:rFonts w:ascii="Calibri" w:eastAsia="Times New Roman" w:hAnsi="Calibri" w:cs="Calibri"/>
          <w:color w:val="000000" w:themeColor="text1"/>
          <w:lang w:eastAsia="en-GB"/>
        </w:rPr>
      </w:pPr>
      <w:r w:rsidRPr="001C270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Motion -</w:t>
      </w:r>
      <w:r w:rsidRPr="001C2706">
        <w:rPr>
          <w:rFonts w:ascii="Calibri" w:eastAsia="Times New Roman" w:hAnsi="Calibri" w:cs="Calibri"/>
          <w:color w:val="000000" w:themeColor="text1"/>
          <w:lang w:eastAsia="en-GB"/>
        </w:rPr>
        <w:t> </w:t>
      </w:r>
      <w:r w:rsidRPr="001C270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Approval of a Project Change Request (PCR) to Update</w:t>
      </w:r>
      <w:r w:rsidR="00363321" w:rsidRPr="00363321">
        <w:rPr>
          <w:rFonts w:ascii="Calibri" w:eastAsia="Times New Roman" w:hAnsi="Calibri" w:cs="Calibri"/>
          <w:b/>
          <w:bCs/>
          <w:color w:val="000000" w:themeColor="text1"/>
          <w:lang w:val="en-US" w:eastAsia="en-GB"/>
        </w:rPr>
        <w:t xml:space="preserve"> </w:t>
      </w:r>
      <w:r w:rsidRPr="00363321">
        <w:rPr>
          <w:rFonts w:ascii="Calibri" w:eastAsia="Times New Roman" w:hAnsi="Calibri" w:cs="Calibri"/>
          <w:b/>
          <w:bCs/>
          <w:color w:val="000000" w:themeColor="text1"/>
          <w:lang w:val="en-US" w:eastAsia="en-GB"/>
        </w:rPr>
        <w:t xml:space="preserve">the Project Plan of the </w:t>
      </w:r>
      <w:r w:rsidRPr="001C270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Transfer Policy Review (TPR) Policy Development Process (PDP)</w:t>
      </w:r>
    </w:p>
    <w:p w14:paraId="6E689982" w14:textId="5414C0A5" w:rsidR="001C2706" w:rsidRPr="001C2706" w:rsidRDefault="001C2706" w:rsidP="001C2706">
      <w:pPr>
        <w:shd w:val="clear" w:color="auto" w:fill="FFFFFF"/>
        <w:spacing w:before="150" w:after="150"/>
        <w:rPr>
          <w:rFonts w:ascii="Calibri" w:eastAsia="Times New Roman" w:hAnsi="Calibri" w:cs="Calibri"/>
          <w:color w:val="000000" w:themeColor="text1"/>
          <w:lang w:eastAsia="en-GB"/>
        </w:rPr>
      </w:pPr>
      <w:r w:rsidRPr="001C270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Submitted by:</w:t>
      </w:r>
      <w:r w:rsidRPr="001C2706">
        <w:rPr>
          <w:rFonts w:ascii="Calibri" w:eastAsia="Times New Roman" w:hAnsi="Calibri" w:cs="Calibri"/>
          <w:color w:val="000000" w:themeColor="text1"/>
          <w:lang w:eastAsia="en-GB"/>
        </w:rPr>
        <w:t> </w:t>
      </w:r>
    </w:p>
    <w:p w14:paraId="3DD60E42" w14:textId="3B2F6431" w:rsidR="001C2706" w:rsidRPr="001C2706" w:rsidRDefault="001C2706" w:rsidP="001C2706">
      <w:pPr>
        <w:shd w:val="clear" w:color="auto" w:fill="FFFFFF"/>
        <w:spacing w:before="150" w:after="150"/>
        <w:rPr>
          <w:rFonts w:ascii="Calibri" w:eastAsia="Times New Roman" w:hAnsi="Calibri" w:cs="Calibri"/>
          <w:color w:val="000000" w:themeColor="text1"/>
          <w:lang w:eastAsia="en-GB"/>
        </w:rPr>
      </w:pPr>
      <w:r w:rsidRPr="001C270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Seconded by: </w:t>
      </w:r>
    </w:p>
    <w:p w14:paraId="339C4C73" w14:textId="77777777" w:rsidR="00866F01" w:rsidRDefault="00866F01" w:rsidP="001C2706">
      <w:pPr>
        <w:shd w:val="clear" w:color="auto" w:fill="FFFFFF"/>
        <w:spacing w:before="150" w:after="150"/>
        <w:rPr>
          <w:rFonts w:ascii="Calibri" w:eastAsia="Times New Roman" w:hAnsi="Calibri" w:cs="Calibri"/>
          <w:color w:val="000000" w:themeColor="text1"/>
          <w:lang w:eastAsia="en-GB"/>
        </w:rPr>
      </w:pPr>
    </w:p>
    <w:p w14:paraId="57EDC188" w14:textId="4DEDB742" w:rsidR="001C2706" w:rsidRPr="001C2706" w:rsidRDefault="001C2706" w:rsidP="001C2706">
      <w:pPr>
        <w:shd w:val="clear" w:color="auto" w:fill="FFFFFF"/>
        <w:spacing w:before="150" w:after="150"/>
        <w:rPr>
          <w:rFonts w:ascii="Calibri" w:eastAsia="Times New Roman" w:hAnsi="Calibri" w:cs="Calibri"/>
          <w:color w:val="000000" w:themeColor="text1"/>
          <w:lang w:eastAsia="en-GB"/>
        </w:rPr>
      </w:pPr>
      <w:r w:rsidRPr="001C2706">
        <w:rPr>
          <w:rFonts w:ascii="Calibri" w:eastAsia="Times New Roman" w:hAnsi="Calibri" w:cs="Calibri"/>
          <w:color w:val="000000" w:themeColor="text1"/>
          <w:lang w:eastAsia="en-GB"/>
        </w:rPr>
        <w:t>Whereas,</w:t>
      </w:r>
    </w:p>
    <w:p w14:paraId="7C15A39D" w14:textId="77777777" w:rsidR="001C2706" w:rsidRPr="00363321" w:rsidRDefault="001C2706" w:rsidP="001C2706">
      <w:pPr>
        <w:pStyle w:val="ListParagraph"/>
        <w:numPr>
          <w:ilvl w:val="0"/>
          <w:numId w:val="3"/>
        </w:numPr>
        <w:shd w:val="clear" w:color="auto" w:fill="FFFFFF"/>
        <w:spacing w:after="90"/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00363321">
        <w:rPr>
          <w:rFonts w:ascii="Calibri" w:eastAsia="Times New Roman" w:hAnsi="Calibri" w:cs="Calibri"/>
          <w:color w:val="000000" w:themeColor="text1"/>
          <w:lang w:eastAsia="en-GB"/>
        </w:rPr>
        <w:t>On 18 February 2021, the GNSO Council </w:t>
      </w:r>
      <w:hyperlink r:id="rId5" w:anchor="202102" w:history="1">
        <w:r w:rsidRPr="00363321">
          <w:rPr>
            <w:rFonts w:ascii="Calibri" w:eastAsia="Times New Roman" w:hAnsi="Calibri" w:cs="Calibri"/>
            <w:color w:val="000000" w:themeColor="text1"/>
            <w:u w:val="single"/>
            <w:lang w:eastAsia="en-GB"/>
          </w:rPr>
          <w:t>voted</w:t>
        </w:r>
      </w:hyperlink>
      <w:r w:rsidRPr="00363321">
        <w:rPr>
          <w:rFonts w:ascii="Calibri" w:eastAsia="Times New Roman" w:hAnsi="Calibri" w:cs="Calibri"/>
          <w:color w:val="000000" w:themeColor="text1"/>
          <w:lang w:eastAsia="en-GB"/>
        </w:rPr>
        <w:t> to initiate a PDP to review the Transfer Policy.</w:t>
      </w:r>
    </w:p>
    <w:p w14:paraId="5AA20F41" w14:textId="00F73302" w:rsidR="001C2706" w:rsidRPr="00363321" w:rsidRDefault="001C2706" w:rsidP="001C2706">
      <w:pPr>
        <w:pStyle w:val="ListParagraph"/>
        <w:numPr>
          <w:ilvl w:val="0"/>
          <w:numId w:val="3"/>
        </w:numPr>
        <w:shd w:val="clear" w:color="auto" w:fill="FFFFFF"/>
        <w:spacing w:after="90"/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00363321">
        <w:rPr>
          <w:rFonts w:ascii="Calibri" w:eastAsia="Times New Roman" w:hAnsi="Calibri" w:cs="Calibri"/>
          <w:color w:val="000000" w:themeColor="text1"/>
          <w:lang w:eastAsia="en-GB"/>
        </w:rPr>
        <w:t>On 24 March 2021, the GNSO Council </w:t>
      </w:r>
      <w:hyperlink r:id="rId6" w:anchor="202103" w:history="1">
        <w:r w:rsidRPr="00363321">
          <w:rPr>
            <w:rFonts w:ascii="Calibri" w:eastAsia="Times New Roman" w:hAnsi="Calibri" w:cs="Calibri"/>
            <w:color w:val="000000" w:themeColor="text1"/>
            <w:u w:val="single"/>
            <w:lang w:eastAsia="en-GB"/>
          </w:rPr>
          <w:t>approved</w:t>
        </w:r>
      </w:hyperlink>
      <w:r w:rsidRPr="00363321">
        <w:rPr>
          <w:rFonts w:ascii="Calibri" w:eastAsia="Times New Roman" w:hAnsi="Calibri" w:cs="Calibri"/>
          <w:color w:val="000000" w:themeColor="text1"/>
          <w:lang w:eastAsia="en-GB"/>
        </w:rPr>
        <w:t xml:space="preserve"> the PDP </w:t>
      </w:r>
      <w:r w:rsidR="00866F01">
        <w:rPr>
          <w:rFonts w:ascii="Calibri" w:eastAsia="Times New Roman" w:hAnsi="Calibri" w:cs="Calibri"/>
          <w:color w:val="000000" w:themeColor="text1"/>
          <w:lang w:val="en-US" w:eastAsia="en-GB"/>
        </w:rPr>
        <w:t>w</w:t>
      </w:r>
      <w:r w:rsidRPr="00363321">
        <w:rPr>
          <w:rFonts w:ascii="Calibri" w:eastAsia="Times New Roman" w:hAnsi="Calibri" w:cs="Calibri"/>
          <w:color w:val="000000" w:themeColor="text1"/>
          <w:lang w:eastAsia="en-GB"/>
        </w:rPr>
        <w:t xml:space="preserve">orking </w:t>
      </w:r>
      <w:r w:rsidR="00866F01">
        <w:rPr>
          <w:rFonts w:ascii="Calibri" w:eastAsia="Times New Roman" w:hAnsi="Calibri" w:cs="Calibri"/>
          <w:color w:val="000000" w:themeColor="text1"/>
          <w:lang w:val="en-US" w:eastAsia="en-GB"/>
        </w:rPr>
        <w:t>g</w:t>
      </w:r>
      <w:r w:rsidRPr="00363321">
        <w:rPr>
          <w:rFonts w:ascii="Calibri" w:eastAsia="Times New Roman" w:hAnsi="Calibri" w:cs="Calibri"/>
          <w:color w:val="000000" w:themeColor="text1"/>
          <w:lang w:eastAsia="en-GB"/>
        </w:rPr>
        <w:t>roup’s charter</w:t>
      </w:r>
      <w:r w:rsidR="00F44A8A"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, which anticipated a two-phase approach to completing the </w:t>
      </w:r>
      <w:r w:rsidR="00FF6BBF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PDP’s </w:t>
      </w:r>
      <w:r w:rsidR="00F44A8A"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>work</w:t>
      </w:r>
      <w:r w:rsidRPr="00363321">
        <w:rPr>
          <w:rFonts w:ascii="Calibri" w:eastAsia="Times New Roman" w:hAnsi="Calibri" w:cs="Calibri"/>
          <w:color w:val="000000" w:themeColor="text1"/>
          <w:lang w:eastAsia="en-GB"/>
        </w:rPr>
        <w:t>.</w:t>
      </w:r>
    </w:p>
    <w:p w14:paraId="50BE0109" w14:textId="3DA09029" w:rsidR="00F44A8A" w:rsidRPr="00363321" w:rsidRDefault="001C2706" w:rsidP="00F44A8A">
      <w:pPr>
        <w:pStyle w:val="ListParagraph"/>
        <w:numPr>
          <w:ilvl w:val="0"/>
          <w:numId w:val="3"/>
        </w:numPr>
        <w:shd w:val="clear" w:color="auto" w:fill="FFFFFF"/>
        <w:spacing w:after="90"/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00363321">
        <w:rPr>
          <w:rFonts w:ascii="Calibri" w:eastAsia="Times New Roman" w:hAnsi="Calibri" w:cs="Calibri"/>
          <w:color w:val="000000" w:themeColor="text1"/>
          <w:lang w:eastAsia="en-GB"/>
        </w:rPr>
        <w:t xml:space="preserve">The </w:t>
      </w:r>
      <w:r w:rsidR="00FF6BBF">
        <w:rPr>
          <w:rFonts w:ascii="Calibri" w:eastAsia="Times New Roman" w:hAnsi="Calibri" w:cs="Calibri"/>
          <w:color w:val="000000" w:themeColor="text1"/>
          <w:lang w:val="en-US" w:eastAsia="en-GB"/>
        </w:rPr>
        <w:t>w</w:t>
      </w:r>
      <w:r w:rsidRPr="00363321">
        <w:rPr>
          <w:rFonts w:ascii="Calibri" w:eastAsia="Times New Roman" w:hAnsi="Calibri" w:cs="Calibri"/>
          <w:color w:val="000000" w:themeColor="text1"/>
          <w:lang w:eastAsia="en-GB"/>
        </w:rPr>
        <w:t xml:space="preserve">orking </w:t>
      </w:r>
      <w:r w:rsidR="00FF6BBF">
        <w:rPr>
          <w:rFonts w:ascii="Calibri" w:eastAsia="Times New Roman" w:hAnsi="Calibri" w:cs="Calibri"/>
          <w:color w:val="000000" w:themeColor="text1"/>
          <w:lang w:val="en-US" w:eastAsia="en-GB"/>
        </w:rPr>
        <w:t>g</w:t>
      </w:r>
      <w:r w:rsidRPr="00363321">
        <w:rPr>
          <w:rFonts w:ascii="Calibri" w:eastAsia="Times New Roman" w:hAnsi="Calibri" w:cs="Calibri"/>
          <w:color w:val="000000" w:themeColor="text1"/>
          <w:lang w:eastAsia="en-GB"/>
        </w:rPr>
        <w:t>roup began meeting in May 2021 and has made substantial progress</w:t>
      </w:r>
      <w:r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, including publication of an Initial Report on Phase 1(a) topics, review of public comments on the </w:t>
      </w:r>
      <w:r w:rsidR="00F44A8A"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Phase 1(a) </w:t>
      </w:r>
      <w:r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>Initial Report, and preliminary deliberations on Phase 1(b) topics</w:t>
      </w:r>
      <w:r w:rsidRPr="00363321">
        <w:rPr>
          <w:rFonts w:ascii="Calibri" w:eastAsia="Times New Roman" w:hAnsi="Calibri" w:cs="Calibri"/>
          <w:color w:val="000000" w:themeColor="text1"/>
          <w:lang w:eastAsia="en-GB"/>
        </w:rPr>
        <w:t>.</w:t>
      </w:r>
    </w:p>
    <w:p w14:paraId="0F855A86" w14:textId="4D907A19" w:rsidR="00F44A8A" w:rsidRPr="007A0FCA" w:rsidRDefault="001C2706" w:rsidP="00F44A8A">
      <w:pPr>
        <w:pStyle w:val="ListParagraph"/>
        <w:numPr>
          <w:ilvl w:val="0"/>
          <w:numId w:val="3"/>
        </w:numPr>
        <w:spacing w:after="90"/>
        <w:rPr>
          <w:rFonts w:ascii="Calibri" w:hAnsi="Calibri" w:cs="Calibri"/>
          <w:color w:val="000000" w:themeColor="text1"/>
        </w:rPr>
      </w:pPr>
      <w:r w:rsidRPr="00363321">
        <w:rPr>
          <w:rFonts w:ascii="Calibri" w:hAnsi="Calibri" w:cs="Calibri"/>
          <w:color w:val="000000" w:themeColor="text1"/>
        </w:rPr>
        <w:t xml:space="preserve">In the course of considering the Phase 1 charter </w:t>
      </w:r>
      <w:r w:rsidR="00F44A8A" w:rsidRPr="00363321">
        <w:rPr>
          <w:rFonts w:ascii="Calibri" w:hAnsi="Calibri" w:cs="Calibri"/>
          <w:color w:val="000000" w:themeColor="text1"/>
          <w:lang w:val="en-US"/>
        </w:rPr>
        <w:t>questions</w:t>
      </w:r>
      <w:r w:rsidRPr="00363321">
        <w:rPr>
          <w:rFonts w:ascii="Calibri" w:hAnsi="Calibri" w:cs="Calibri"/>
          <w:color w:val="000000" w:themeColor="text1"/>
        </w:rPr>
        <w:t xml:space="preserve">, the </w:t>
      </w:r>
      <w:r w:rsidR="00866F01">
        <w:rPr>
          <w:rFonts w:ascii="Calibri" w:hAnsi="Calibri" w:cs="Calibri"/>
          <w:color w:val="000000" w:themeColor="text1"/>
          <w:lang w:val="en-US"/>
        </w:rPr>
        <w:t>w</w:t>
      </w:r>
      <w:r w:rsidRPr="00363321">
        <w:rPr>
          <w:rFonts w:ascii="Calibri" w:hAnsi="Calibri" w:cs="Calibri"/>
          <w:color w:val="000000" w:themeColor="text1"/>
        </w:rPr>
        <w:t xml:space="preserve">orking </w:t>
      </w:r>
      <w:r w:rsidR="00866F01">
        <w:rPr>
          <w:rFonts w:ascii="Calibri" w:hAnsi="Calibri" w:cs="Calibri"/>
          <w:color w:val="000000" w:themeColor="text1"/>
          <w:lang w:val="en-US"/>
        </w:rPr>
        <w:t>g</w:t>
      </w:r>
      <w:r w:rsidRPr="00363321">
        <w:rPr>
          <w:rFonts w:ascii="Calibri" w:hAnsi="Calibri" w:cs="Calibri"/>
          <w:color w:val="000000" w:themeColor="text1"/>
        </w:rPr>
        <w:t xml:space="preserve">roup </w:t>
      </w:r>
      <w:r w:rsidR="00F44A8A" w:rsidRPr="00363321">
        <w:rPr>
          <w:rFonts w:ascii="Calibri" w:hAnsi="Calibri" w:cs="Calibri"/>
          <w:color w:val="000000" w:themeColor="text1"/>
        </w:rPr>
        <w:t>identified dependencies between charter topics</w:t>
      </w:r>
      <w:r w:rsidR="00F44A8A" w:rsidRPr="00363321">
        <w:rPr>
          <w:rFonts w:ascii="Calibri" w:hAnsi="Calibri" w:cs="Calibri"/>
          <w:color w:val="000000" w:themeColor="text1"/>
          <w:lang w:val="en-US"/>
        </w:rPr>
        <w:t xml:space="preserve"> that require the </w:t>
      </w:r>
      <w:r w:rsidR="00FF6BBF">
        <w:rPr>
          <w:rFonts w:ascii="Calibri" w:hAnsi="Calibri" w:cs="Calibri"/>
          <w:color w:val="000000" w:themeColor="text1"/>
          <w:lang w:val="en-US"/>
        </w:rPr>
        <w:t>w</w:t>
      </w:r>
      <w:r w:rsidR="00F44A8A" w:rsidRPr="00363321">
        <w:rPr>
          <w:rFonts w:ascii="Calibri" w:hAnsi="Calibri" w:cs="Calibri"/>
          <w:color w:val="000000" w:themeColor="text1"/>
          <w:lang w:val="en-US"/>
        </w:rPr>
        <w:t xml:space="preserve">orking </w:t>
      </w:r>
      <w:r w:rsidR="00FF6BBF">
        <w:rPr>
          <w:rFonts w:ascii="Calibri" w:hAnsi="Calibri" w:cs="Calibri"/>
          <w:color w:val="000000" w:themeColor="text1"/>
          <w:lang w:val="en-US"/>
        </w:rPr>
        <w:t>g</w:t>
      </w:r>
      <w:r w:rsidR="00F44A8A" w:rsidRPr="00363321">
        <w:rPr>
          <w:rFonts w:ascii="Calibri" w:hAnsi="Calibri" w:cs="Calibri"/>
          <w:color w:val="000000" w:themeColor="text1"/>
          <w:lang w:val="en-US"/>
        </w:rPr>
        <w:t>roup to make progress on certain Phase 2 topics (</w:t>
      </w:r>
      <w:r w:rsidR="00F44A8A" w:rsidRPr="00363321">
        <w:rPr>
          <w:rFonts w:ascii="Calibri" w:hAnsi="Calibri" w:cs="Calibri"/>
          <w:color w:val="000000" w:themeColor="text1"/>
        </w:rPr>
        <w:t>Transfer Emergency Action Contact (TEAC)</w:t>
      </w:r>
      <w:r w:rsidR="00F44A8A" w:rsidRPr="00363321">
        <w:rPr>
          <w:rFonts w:ascii="Calibri" w:hAnsi="Calibri" w:cs="Calibri"/>
          <w:color w:val="000000" w:themeColor="text1"/>
          <w:lang w:val="en-US"/>
        </w:rPr>
        <w:t xml:space="preserve">, reversal of a transfer, and </w:t>
      </w:r>
      <w:r w:rsidR="00F44A8A" w:rsidRPr="00363321">
        <w:rPr>
          <w:rFonts w:ascii="Calibri" w:hAnsi="Calibri" w:cs="Calibri"/>
          <w:color w:val="000000" w:themeColor="text1"/>
        </w:rPr>
        <w:t>Transfer Dispute Resolution Policy (TDRP)</w:t>
      </w:r>
      <w:r w:rsidR="00F44A8A" w:rsidRPr="00363321">
        <w:rPr>
          <w:rFonts w:ascii="Calibri" w:hAnsi="Calibri" w:cs="Calibri"/>
          <w:color w:val="000000" w:themeColor="text1"/>
          <w:lang w:val="en-US"/>
        </w:rPr>
        <w:t>) before Phase 1 deliberations on inter-</w:t>
      </w:r>
      <w:r w:rsidR="00866F01">
        <w:rPr>
          <w:rFonts w:ascii="Calibri" w:hAnsi="Calibri" w:cs="Calibri"/>
          <w:color w:val="000000" w:themeColor="text1"/>
          <w:lang w:val="en-US"/>
        </w:rPr>
        <w:t>r</w:t>
      </w:r>
      <w:r w:rsidR="00F44A8A" w:rsidRPr="00363321">
        <w:rPr>
          <w:rFonts w:ascii="Calibri" w:hAnsi="Calibri" w:cs="Calibri"/>
          <w:color w:val="000000" w:themeColor="text1"/>
          <w:lang w:val="en-US"/>
        </w:rPr>
        <w:t>egistrar and inter-registrant transfers can be completed.</w:t>
      </w:r>
    </w:p>
    <w:p w14:paraId="07FA0071" w14:textId="5B5F2E49" w:rsidR="007A0FCA" w:rsidRPr="00363321" w:rsidRDefault="007A0FCA" w:rsidP="00F44A8A">
      <w:pPr>
        <w:pStyle w:val="ListParagraph"/>
        <w:numPr>
          <w:ilvl w:val="0"/>
          <w:numId w:val="3"/>
        </w:numPr>
        <w:spacing w:after="90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The working group </w:t>
      </w:r>
      <w:r w:rsidR="00FF6BBF">
        <w:rPr>
          <w:rFonts w:ascii="Calibri" w:eastAsia="Times New Roman" w:hAnsi="Calibri" w:cs="Calibri"/>
          <w:color w:val="000000" w:themeColor="text1"/>
          <w:lang w:val="en-US" w:eastAsia="en-GB"/>
        </w:rPr>
        <w:t>has determined that the best path forward is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 to consolidate its</w:t>
      </w:r>
      <w:r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>work</w:t>
      </w:r>
      <w:r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 into a single phase,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 which will allow the working </w:t>
      </w:r>
      <w:r w:rsidR="00FF6BBF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group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>to consider all topics in the charter iteratively</w:t>
      </w:r>
      <w:r w:rsidR="00B907B9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. This approach will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result in </w:t>
      </w:r>
      <w:r w:rsidR="00E5455E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delivery of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>a second Initial Report covering all topics in the charter and a single Final Report.</w:t>
      </w:r>
    </w:p>
    <w:p w14:paraId="05770BAE" w14:textId="7FF17D3B" w:rsidR="00363321" w:rsidRDefault="007A0FCA" w:rsidP="00363321">
      <w:pPr>
        <w:pStyle w:val="ListParagraph"/>
        <w:numPr>
          <w:ilvl w:val="0"/>
          <w:numId w:val="3"/>
        </w:numPr>
        <w:shd w:val="clear" w:color="auto" w:fill="FFFFFF"/>
        <w:spacing w:after="90"/>
        <w:rPr>
          <w:rFonts w:ascii="Calibri" w:eastAsia="Times New Roman" w:hAnsi="Calibri" w:cs="Calibri"/>
          <w:color w:val="000000" w:themeColor="text1"/>
          <w:lang w:val="en-US" w:eastAsia="en-GB"/>
        </w:rPr>
      </w:pPr>
      <w:r>
        <w:rPr>
          <w:rFonts w:ascii="Calibri" w:eastAsia="Times New Roman" w:hAnsi="Calibri" w:cs="Calibri"/>
          <w:color w:val="000000" w:themeColor="text1"/>
          <w:lang w:val="en-US" w:eastAsia="en-GB"/>
        </w:rPr>
        <w:t>The working group</w:t>
      </w:r>
      <w:r w:rsidR="00363321"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 anticipates that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with this new approach, the </w:t>
      </w:r>
      <w:r w:rsidR="00363321"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PDP will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conclude </w:t>
      </w:r>
      <w:r w:rsidR="00363321" w:rsidRPr="00363321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a year earlier than originally anticipated, because there will be fewer discrete deliverables and public comment periods. </w:t>
      </w:r>
    </w:p>
    <w:p w14:paraId="45F461F8" w14:textId="4C16765F" w:rsidR="001C2706" w:rsidRPr="00363321" w:rsidRDefault="001C2706" w:rsidP="00363321">
      <w:pPr>
        <w:pStyle w:val="ListParagraph"/>
        <w:numPr>
          <w:ilvl w:val="0"/>
          <w:numId w:val="3"/>
        </w:numPr>
        <w:shd w:val="clear" w:color="auto" w:fill="FFFFFF"/>
        <w:spacing w:after="90"/>
        <w:rPr>
          <w:rFonts w:ascii="Calibri" w:eastAsia="Times New Roman" w:hAnsi="Calibri" w:cs="Calibri"/>
          <w:color w:val="000000" w:themeColor="text1"/>
          <w:lang w:val="en-US" w:eastAsia="en-GB"/>
        </w:rPr>
      </w:pPr>
      <w:r w:rsidRPr="00363321">
        <w:rPr>
          <w:rFonts w:ascii="Calibri" w:eastAsia="Times New Roman" w:hAnsi="Calibri" w:cs="Calibri"/>
          <w:color w:val="000000" w:themeColor="text1"/>
          <w:lang w:eastAsia="en-GB"/>
        </w:rPr>
        <w:t xml:space="preserve">The Working Group leadership team submitted a Project Change Request outlining the full rationale for updating </w:t>
      </w:r>
      <w:r w:rsidR="00B907B9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the </w:t>
      </w:r>
      <w:r w:rsidR="008D0031">
        <w:rPr>
          <w:rFonts w:ascii="Calibri" w:eastAsia="Times New Roman" w:hAnsi="Calibri" w:cs="Calibri"/>
          <w:color w:val="000000" w:themeColor="text1"/>
          <w:lang w:val="en-US" w:eastAsia="en-GB"/>
        </w:rPr>
        <w:t>p</w:t>
      </w:r>
      <w:r w:rsidR="00B907B9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roject </w:t>
      </w:r>
      <w:r w:rsidR="008D0031">
        <w:rPr>
          <w:rFonts w:ascii="Calibri" w:eastAsia="Times New Roman" w:hAnsi="Calibri" w:cs="Calibri"/>
          <w:color w:val="000000" w:themeColor="text1"/>
          <w:lang w:val="en-US" w:eastAsia="en-GB"/>
        </w:rPr>
        <w:t>p</w:t>
      </w:r>
      <w:r w:rsidR="00B907B9">
        <w:rPr>
          <w:rFonts w:ascii="Calibri" w:eastAsia="Times New Roman" w:hAnsi="Calibri" w:cs="Calibri"/>
          <w:color w:val="000000" w:themeColor="text1"/>
          <w:lang w:val="en-US" w:eastAsia="en-GB"/>
        </w:rPr>
        <w:t>lan</w:t>
      </w:r>
      <w:r w:rsidRPr="00363321">
        <w:rPr>
          <w:rFonts w:ascii="Calibri" w:eastAsia="Times New Roman" w:hAnsi="Calibri" w:cs="Calibri"/>
          <w:color w:val="000000" w:themeColor="text1"/>
          <w:lang w:eastAsia="en-GB"/>
        </w:rPr>
        <w:t>.</w:t>
      </w:r>
    </w:p>
    <w:p w14:paraId="04CDBE52" w14:textId="77777777" w:rsidR="00E5455E" w:rsidRDefault="00E5455E" w:rsidP="00B907B9">
      <w:pPr>
        <w:shd w:val="clear" w:color="auto" w:fill="FFFFFF"/>
        <w:spacing w:before="150" w:after="150"/>
        <w:rPr>
          <w:rFonts w:ascii="Calibri" w:eastAsia="Times New Roman" w:hAnsi="Calibri" w:cs="Calibri"/>
          <w:color w:val="000000" w:themeColor="text1"/>
          <w:lang w:eastAsia="en-GB"/>
        </w:rPr>
      </w:pPr>
    </w:p>
    <w:p w14:paraId="6C39F837" w14:textId="44FEFA1B" w:rsidR="00B907B9" w:rsidRDefault="001C2706" w:rsidP="00B907B9">
      <w:pPr>
        <w:shd w:val="clear" w:color="auto" w:fill="FFFFFF"/>
        <w:spacing w:before="150" w:after="150"/>
        <w:rPr>
          <w:rFonts w:ascii="Calibri" w:eastAsia="Times New Roman" w:hAnsi="Calibri" w:cs="Calibri"/>
          <w:color w:val="000000" w:themeColor="text1"/>
          <w:lang w:eastAsia="en-GB"/>
        </w:rPr>
      </w:pPr>
      <w:r w:rsidRPr="001C2706">
        <w:rPr>
          <w:rFonts w:ascii="Calibri" w:eastAsia="Times New Roman" w:hAnsi="Calibri" w:cs="Calibri"/>
          <w:color w:val="000000" w:themeColor="text1"/>
          <w:lang w:eastAsia="en-GB"/>
        </w:rPr>
        <w:t>Resolved,</w:t>
      </w:r>
    </w:p>
    <w:p w14:paraId="016D5B57" w14:textId="77777777" w:rsidR="00B907B9" w:rsidRDefault="001C2706" w:rsidP="00B907B9">
      <w:pPr>
        <w:pStyle w:val="ListParagraph"/>
        <w:numPr>
          <w:ilvl w:val="0"/>
          <w:numId w:val="4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 w:themeColor="text1"/>
          <w:lang w:eastAsia="en-GB"/>
        </w:rPr>
      </w:pPr>
      <w:r w:rsidRPr="00B907B9">
        <w:rPr>
          <w:rFonts w:ascii="Calibri" w:eastAsia="Times New Roman" w:hAnsi="Calibri" w:cs="Calibri"/>
          <w:color w:val="000000" w:themeColor="text1"/>
          <w:lang w:eastAsia="en-GB"/>
        </w:rPr>
        <w:t>The GNSO Council approves this Project Change Request.</w:t>
      </w:r>
    </w:p>
    <w:p w14:paraId="13855F9F" w14:textId="3B661E2B" w:rsidR="001C2706" w:rsidRPr="00B907B9" w:rsidRDefault="00B907B9" w:rsidP="00B907B9">
      <w:pPr>
        <w:pStyle w:val="ListParagraph"/>
        <w:numPr>
          <w:ilvl w:val="0"/>
          <w:numId w:val="4"/>
        </w:numPr>
        <w:shd w:val="clear" w:color="auto" w:fill="FFFFFF"/>
        <w:spacing w:before="150" w:after="150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val="en-US" w:eastAsia="en-GB"/>
        </w:rPr>
        <w:t>T</w:t>
      </w:r>
      <w:r w:rsidR="001C2706" w:rsidRPr="00B907B9">
        <w:rPr>
          <w:rFonts w:ascii="Calibri" w:eastAsia="Times New Roman" w:hAnsi="Calibri" w:cs="Calibri"/>
          <w:color w:val="000000" w:themeColor="text1"/>
          <w:lang w:eastAsia="en-GB"/>
        </w:rPr>
        <w:t xml:space="preserve">he GNSO Council instructs policy support staff to update the TPR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>project plan</w:t>
      </w:r>
      <w:r w:rsidR="00242C50">
        <w:rPr>
          <w:rFonts w:ascii="Calibri" w:eastAsia="Times New Roman" w:hAnsi="Calibri" w:cs="Calibri"/>
          <w:color w:val="000000" w:themeColor="text1"/>
          <w:lang w:val="en-US" w:eastAsia="en-GB"/>
        </w:rPr>
        <w:t>, charter,</w:t>
      </w:r>
      <w:r w:rsidR="00937715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and other materials </w:t>
      </w:r>
      <w:r w:rsidR="001C2706" w:rsidRPr="00B907B9">
        <w:rPr>
          <w:rFonts w:ascii="Calibri" w:eastAsia="Times New Roman" w:hAnsi="Calibri" w:cs="Calibri"/>
          <w:color w:val="000000" w:themeColor="text1"/>
          <w:lang w:eastAsia="en-GB"/>
        </w:rPr>
        <w:t xml:space="preserve">accordingly and post </w:t>
      </w:r>
      <w:r w:rsidR="00375887">
        <w:rPr>
          <w:rFonts w:ascii="Calibri" w:eastAsia="Times New Roman" w:hAnsi="Calibri" w:cs="Calibri"/>
          <w:color w:val="000000" w:themeColor="text1"/>
          <w:lang w:val="en-US" w:eastAsia="en-GB"/>
        </w:rPr>
        <w:t xml:space="preserve">on the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>w</w:t>
      </w:r>
      <w:r w:rsidR="001C2706" w:rsidRPr="00B907B9">
        <w:rPr>
          <w:rFonts w:ascii="Calibri" w:eastAsia="Times New Roman" w:hAnsi="Calibri" w:cs="Calibri"/>
          <w:color w:val="000000" w:themeColor="text1"/>
          <w:lang w:eastAsia="en-GB"/>
        </w:rPr>
        <w:t xml:space="preserve">orking </w:t>
      </w:r>
      <w:r>
        <w:rPr>
          <w:rFonts w:ascii="Calibri" w:eastAsia="Times New Roman" w:hAnsi="Calibri" w:cs="Calibri"/>
          <w:color w:val="000000" w:themeColor="text1"/>
          <w:lang w:val="en-US" w:eastAsia="en-GB"/>
        </w:rPr>
        <w:t>g</w:t>
      </w:r>
      <w:r w:rsidR="001C2706" w:rsidRPr="00B907B9">
        <w:rPr>
          <w:rFonts w:ascii="Calibri" w:eastAsia="Times New Roman" w:hAnsi="Calibri" w:cs="Calibri"/>
          <w:color w:val="000000" w:themeColor="text1"/>
          <w:lang w:eastAsia="en-GB"/>
        </w:rPr>
        <w:t>roup wiki.</w:t>
      </w:r>
    </w:p>
    <w:p w14:paraId="48B7D32B" w14:textId="77777777" w:rsidR="001C2706" w:rsidRDefault="001C2706"/>
    <w:sectPr w:rsidR="001C2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62D1"/>
    <w:multiLevelType w:val="multilevel"/>
    <w:tmpl w:val="4D6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E63E8"/>
    <w:multiLevelType w:val="multilevel"/>
    <w:tmpl w:val="9FFE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B4638"/>
    <w:multiLevelType w:val="multilevel"/>
    <w:tmpl w:val="419A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21A25"/>
    <w:multiLevelType w:val="multilevel"/>
    <w:tmpl w:val="8A34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717FFD"/>
    <w:multiLevelType w:val="multilevel"/>
    <w:tmpl w:val="BC06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896821">
    <w:abstractNumId w:val="0"/>
  </w:num>
  <w:num w:numId="2" w16cid:durableId="1620530297">
    <w:abstractNumId w:val="3"/>
  </w:num>
  <w:num w:numId="3" w16cid:durableId="777481706">
    <w:abstractNumId w:val="1"/>
  </w:num>
  <w:num w:numId="4" w16cid:durableId="1753815599">
    <w:abstractNumId w:val="4"/>
  </w:num>
  <w:num w:numId="5" w16cid:durableId="178265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06"/>
    <w:rsid w:val="001C2706"/>
    <w:rsid w:val="00242C50"/>
    <w:rsid w:val="00363321"/>
    <w:rsid w:val="00375887"/>
    <w:rsid w:val="007A0FCA"/>
    <w:rsid w:val="00866F01"/>
    <w:rsid w:val="008D0031"/>
    <w:rsid w:val="00937715"/>
    <w:rsid w:val="00B907B9"/>
    <w:rsid w:val="00D35D14"/>
    <w:rsid w:val="00E01203"/>
    <w:rsid w:val="00E5455E"/>
    <w:rsid w:val="00F44A8A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5FEA90"/>
  <w15:chartTrackingRefBased/>
  <w15:docId w15:val="{8B94F623-995E-D049-B16B-2911896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7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C27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27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council/resolutions/2020-current" TargetMode="External"/><Relationship Id="rId5" Type="http://schemas.openxmlformats.org/officeDocument/2006/relationships/hyperlink" Target="https://gnso.icann.org/en/council/resolutions/2020-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Emily Barabas</cp:lastModifiedBy>
  <cp:revision>7</cp:revision>
  <dcterms:created xsi:type="dcterms:W3CDTF">2023-02-03T08:36:00Z</dcterms:created>
  <dcterms:modified xsi:type="dcterms:W3CDTF">2023-02-03T19:59:00Z</dcterms:modified>
</cp:coreProperties>
</file>