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Motion to Adopt the Final Report of the Standing Committee on Continuous Improvement (SCCI) in relation to the Review of the Policy and Implementation (P&amp;I) Policy Status Report (PSR)</w:t>
      </w:r>
    </w:p>
    <w:p w:rsidR="00000000" w:rsidDel="00000000" w:rsidP="00000000" w:rsidRDefault="00000000" w:rsidRPr="00000000" w14:paraId="00000002">
      <w:pPr>
        <w:shd w:fill="ffffff" w:val="clear"/>
        <w:spacing w:after="1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Submitted by: Taiwo Peter Akinremi                      </w:t>
      </w:r>
    </w:p>
    <w:p w:rsidR="00000000" w:rsidDel="00000000" w:rsidP="00000000" w:rsidRDefault="00000000" w:rsidRPr="00000000" w14:paraId="00000003">
      <w:pPr>
        <w:shd w:fill="ffffff" w:val="clear"/>
        <w:spacing w:after="160" w:lineRule="auto"/>
        <w:rPr>
          <w:rFonts w:ascii="Calibri" w:cs="Calibri" w:eastAsia="Calibri" w:hAnsi="Calibri"/>
          <w:b w:val="1"/>
          <w:bCs w:val="1"/>
          <w:i w:val="1"/>
          <w:iCs w:val="1"/>
          <w:color w:val="ff0000"/>
          <w:sz w:val="24"/>
          <w:szCs w:val="24"/>
          <w:highlight w:val="yellow"/>
        </w:rPr>
      </w:pPr>
      <w:r w:rsidDel="00000000" w:rsidR="00000000" w:rsidRPr="00000000">
        <w:rPr>
          <w:rFonts w:ascii="Calibri" w:cs="Calibri" w:eastAsia="Calibri" w:hAnsi="Calibri"/>
          <w:b w:val="1"/>
          <w:bCs w:val="1"/>
          <w:sz w:val="24"/>
          <w:szCs w:val="24"/>
          <w:rtl w:val="0"/>
        </w:rPr>
        <w:t xml:space="preserve">Seconded by: </w:t>
      </w:r>
      <w:r w:rsidDel="00000000" w:rsidR="00000000" w:rsidRPr="00000000">
        <w:rPr>
          <w:rFonts w:ascii="Calibri" w:cs="Calibri" w:eastAsia="Calibri" w:hAnsi="Calibri"/>
          <w:b w:val="1"/>
          <w:bCs w:val="1"/>
          <w:i w:val="1"/>
          <w:iCs w:val="1"/>
          <w:color w:val="ff0000"/>
          <w:sz w:val="24"/>
          <w:szCs w:val="24"/>
          <w:highlight w:val="yellow"/>
          <w:rtl w:val="0"/>
        </w:rPr>
        <w:t xml:space="preserve">TBC</w:t>
      </w:r>
    </w:p>
    <w:p w:rsidR="00000000" w:rsidDel="00000000" w:rsidP="00000000" w:rsidRDefault="00000000" w:rsidRPr="00000000" w14:paraId="00000004">
      <w:pPr>
        <w:shd w:fill="ffffff" w:val="clear"/>
        <w:spacing w:after="1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Whereas,</w:t>
      </w:r>
    </w:p>
    <w:p w:rsidR="00000000" w:rsidDel="00000000" w:rsidP="00000000" w:rsidRDefault="00000000" w:rsidRPr="00000000" w14:paraId="00000005">
      <w:pPr>
        <w:numPr>
          <w:ilvl w:val="0"/>
          <w:numId w:val="2"/>
        </w:numPr>
        <w:shd w:fill="ffffff" w:val="clear"/>
        <w:spacing w:after="0" w:after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June 2015, the GNSO Council adopted the </w:t>
      </w:r>
      <w:hyperlink r:id="rId6">
        <w:r w:rsidDel="00000000" w:rsidR="00000000" w:rsidRPr="00000000">
          <w:rPr>
            <w:rFonts w:ascii="Calibri" w:cs="Calibri" w:eastAsia="Calibri" w:hAnsi="Calibri"/>
            <w:color w:val="1155cc"/>
            <w:sz w:val="24"/>
            <w:szCs w:val="24"/>
            <w:u w:val="single"/>
            <w:rtl w:val="0"/>
          </w:rPr>
          <w:t xml:space="preserve">Policy and Implementation (P&amp;I) Working Group (WG) Final Report</w:t>
        </w:r>
      </w:hyperlink>
      <w:r w:rsidDel="00000000" w:rsidR="00000000" w:rsidRPr="00000000">
        <w:rPr>
          <w:rFonts w:ascii="Calibri" w:cs="Calibri" w:eastAsia="Calibri" w:hAnsi="Calibri"/>
          <w:sz w:val="24"/>
          <w:szCs w:val="24"/>
          <w:rtl w:val="0"/>
        </w:rPr>
        <w:t xml:space="preserve"> followed by ICANN Board approval in September 2015, which resulted in the creation of the GNSO processes – namely the GNSO Expedited Policy Development Process (EPDP), the GNSO Guidance Process (GGP), and the GNSO Input Process (GIP).</w:t>
      </w:r>
    </w:p>
    <w:p w:rsidR="00000000" w:rsidDel="00000000" w:rsidP="00000000" w:rsidRDefault="00000000" w:rsidRPr="00000000" w14:paraId="00000006">
      <w:pPr>
        <w:numPr>
          <w:ilvl w:val="0"/>
          <w:numId w:val="2"/>
        </w:numPr>
        <w:shd w:fill="ffffff" w:val="clear"/>
        <w:spacing w:after="0" w:after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Council committed to reviewing the effectiveness of the new processes no later than five years after their successful implementation, and the </w:t>
      </w:r>
      <w:hyperlink r:id="rId7">
        <w:r w:rsidDel="00000000" w:rsidR="00000000" w:rsidRPr="00000000">
          <w:rPr>
            <w:rFonts w:ascii="Calibri" w:cs="Calibri" w:eastAsia="Calibri" w:hAnsi="Calibri"/>
            <w:color w:val="1155cc"/>
            <w:sz w:val="24"/>
            <w:szCs w:val="24"/>
            <w:u w:val="single"/>
            <w:rtl w:val="0"/>
          </w:rPr>
          <w:t xml:space="preserve">P&amp;I Policy Status Report (PSR)</w:t>
        </w:r>
      </w:hyperlink>
      <w:r w:rsidDel="00000000" w:rsidR="00000000" w:rsidRPr="00000000">
        <w:rPr>
          <w:rFonts w:ascii="Calibri" w:cs="Calibri" w:eastAsia="Calibri" w:hAnsi="Calibri"/>
          <w:sz w:val="24"/>
          <w:szCs w:val="24"/>
          <w:rtl w:val="0"/>
        </w:rPr>
        <w:t xml:space="preserve">, prepared by ICANN’s Global Domains and Strategy (GDS) function, serves as the review envisioned by the Council;</w:t>
      </w:r>
    </w:p>
    <w:p w:rsidR="00000000" w:rsidDel="00000000" w:rsidP="00000000" w:rsidRDefault="00000000" w:rsidRPr="00000000" w14:paraId="00000007">
      <w:pPr>
        <w:numPr>
          <w:ilvl w:val="0"/>
          <w:numId w:val="2"/>
        </w:numPr>
        <w:shd w:fill="ffffff" w:val="clear"/>
        <w:spacing w:after="0" w:after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GNSO Council tasked the Standing Committee on Continuous Improvement (SCCI) to review the PSR</w:t>
      </w:r>
      <w:r w:rsidDel="00000000" w:rsidR="00000000" w:rsidRPr="00000000">
        <w:rPr>
          <w:rFonts w:ascii="Calibri" w:cs="Calibri" w:eastAsia="Calibri" w:hAnsi="Calibri"/>
          <w:sz w:val="24"/>
          <w:szCs w:val="24"/>
          <w:rtl w:val="0"/>
        </w:rPr>
        <w:t xml:space="preserve"> and consider both the analysis conducted and the potential changes suggested;</w:t>
      </w:r>
    </w:p>
    <w:p w:rsidR="00000000" w:rsidDel="00000000" w:rsidP="00000000" w:rsidRDefault="00000000" w:rsidRPr="00000000" w14:paraId="00000008">
      <w:pPr>
        <w:numPr>
          <w:ilvl w:val="0"/>
          <w:numId w:val="2"/>
        </w:numPr>
        <w:shd w:fill="ffffff" w:val="clear"/>
        <w:spacing w:after="0" w:after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SCCI systematically reviewed the analysis and came to the conclusion that the mechanisms were generally working as intended, resulting in only three (3) recommendations through its Final Report, which propose courses of action for each of the three (3) processes – EPDP, GGP, and GIP – primarily focusing on enhancing clarity;</w:t>
      </w:r>
    </w:p>
    <w:p w:rsidR="00000000" w:rsidDel="00000000" w:rsidP="00000000" w:rsidRDefault="00000000" w:rsidRPr="00000000" w14:paraId="00000009">
      <w:pPr>
        <w:numPr>
          <w:ilvl w:val="0"/>
          <w:numId w:val="2"/>
        </w:numPr>
        <w:shd w:fill="ffffff" w:val="clear"/>
        <w:spacing w:after="0" w:after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 17 December 2025, the SCCI submitted its recommendations by way of a </w:t>
      </w:r>
      <w:hyperlink r:id="rId8">
        <w:r w:rsidDel="00000000" w:rsidR="00000000" w:rsidRPr="00000000">
          <w:rPr>
            <w:rFonts w:ascii="Calibri" w:cs="Calibri" w:eastAsia="Calibri" w:hAnsi="Calibri"/>
            <w:color w:val="1155cc"/>
            <w:sz w:val="24"/>
            <w:szCs w:val="24"/>
            <w:u w:val="single"/>
            <w:rtl w:val="0"/>
          </w:rPr>
          <w:t xml:space="preserve">Final Report</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A">
      <w:pPr>
        <w:numPr>
          <w:ilvl w:val="0"/>
          <w:numId w:val="2"/>
        </w:numPr>
        <w:shd w:fill="ffffff" w:val="clear"/>
        <w:spacing w:after="1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w:t>
      </w:r>
      <w:r w:rsidDel="00000000" w:rsidR="00000000" w:rsidRPr="00000000">
        <w:rPr>
          <w:rFonts w:ascii="Calibri" w:cs="Calibri" w:eastAsia="Calibri" w:hAnsi="Calibri"/>
          <w:sz w:val="24"/>
          <w:szCs w:val="24"/>
          <w:rtl w:val="0"/>
        </w:rPr>
        <w:t xml:space="preserve">he GNSO Council considered SCCI’s recommendations on the PSR during its January 2026 Meeting.</w:t>
      </w:r>
    </w:p>
    <w:p w:rsidR="00000000" w:rsidDel="00000000" w:rsidP="00000000" w:rsidRDefault="00000000" w:rsidRPr="00000000" w14:paraId="0000000B">
      <w:pPr>
        <w:shd w:fill="ffffff" w:val="clear"/>
        <w:spacing w:after="1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Resolved,</w:t>
      </w:r>
    </w:p>
    <w:p w:rsidR="00000000" w:rsidDel="00000000" w:rsidP="00000000" w:rsidRDefault="00000000" w:rsidRPr="00000000" w14:paraId="0000000C">
      <w:pPr>
        <w:numPr>
          <w:ilvl w:val="0"/>
          <w:numId w:val="1"/>
        </w:numPr>
        <w:shd w:fill="ffffff" w:val="clear"/>
        <w:spacing w:after="0" w:afterAutospacing="0" w:lineRule="auto"/>
        <w:ind w:left="88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The GNSO Council adopts all three (3) recommendations as outlined in the Final Report.</w:t>
      </w:r>
    </w:p>
    <w:p w:rsidR="00000000" w:rsidDel="00000000" w:rsidP="00000000" w:rsidRDefault="00000000" w:rsidRPr="00000000" w14:paraId="0000000D">
      <w:pPr>
        <w:numPr>
          <w:ilvl w:val="0"/>
          <w:numId w:val="1"/>
        </w:numPr>
        <w:shd w:fill="ffffff" w:val="clear"/>
        <w:spacing w:after="0" w:afterAutospacing="0" w:lineRule="auto"/>
        <w:ind w:left="88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The GNSO Council requests that the SCCI, in collaboration with the GNSO Policy Development Support Staff, implement all three (3) recommendations as soon as feasible.</w:t>
      </w:r>
    </w:p>
    <w:p w:rsidR="00000000" w:rsidDel="00000000" w:rsidP="00000000" w:rsidRDefault="00000000" w:rsidRPr="00000000" w14:paraId="0000000E">
      <w:pPr>
        <w:numPr>
          <w:ilvl w:val="0"/>
          <w:numId w:val="1"/>
        </w:numPr>
        <w:shd w:fill="ffffff" w:val="clear"/>
        <w:spacing w:after="340" w:lineRule="auto"/>
        <w:ind w:left="88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The GNSO Council thanks the members of the SCCI for its work.</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3b3b3b"/>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nso.icann.org/sites/default/files/filefield_47703/policy-implementation-recommendations-01jun15-en.pdf" TargetMode="External"/><Relationship Id="rId7" Type="http://schemas.openxmlformats.org/officeDocument/2006/relationships/hyperlink" Target="https://gnso.icann.org/sites/default/files/policy/2025/correspondence/psr-to-gnso-council-07feb25-en.pdf" TargetMode="External"/><Relationship Id="rId8" Type="http://schemas.openxmlformats.org/officeDocument/2006/relationships/hyperlink" Target="https://gnso.icann.org/sites/default/files/policy/2025/draft/final-report-scci-policy-implementation-psr-17dec25-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