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16A63" w14:textId="77777777" w:rsidR="00391E60" w:rsidRPr="00E422AA" w:rsidRDefault="00391E60" w:rsidP="00391E60">
      <w:pPr>
        <w:pStyle w:val="Heading1"/>
      </w:pPr>
      <w:bookmarkStart w:id="0" w:name="_Toc20841922"/>
      <w:bookmarkStart w:id="1" w:name="_GoBack"/>
      <w:r>
        <w:t>ANNEX 7</w:t>
      </w:r>
      <w:r w:rsidRPr="00E422AA">
        <w:t xml:space="preserve">: </w:t>
      </w:r>
      <w:r w:rsidRPr="00640EA2">
        <w:t>Non</w:t>
      </w:r>
      <w:r>
        <w:t>-C</w:t>
      </w:r>
      <w:r w:rsidRPr="00640EA2">
        <w:t>ontracted Part</w:t>
      </w:r>
      <w:r>
        <w:t>ies</w:t>
      </w:r>
      <w:r w:rsidRPr="00640EA2">
        <w:t xml:space="preserve"> House Procedure for Election of the Board Member/ Seat No.14</w:t>
      </w:r>
      <w:bookmarkEnd w:id="0"/>
    </w:p>
    <w:bookmarkEnd w:id="1"/>
    <w:p w14:paraId="363B49EF" w14:textId="77777777" w:rsidR="00391E60" w:rsidRDefault="00391E60" w:rsidP="00391E60">
      <w:pPr>
        <w:pStyle w:val="BodyText"/>
        <w:ind w:right="203"/>
      </w:pPr>
    </w:p>
    <w:p w14:paraId="1B9013DE" w14:textId="77777777" w:rsidR="00391E60" w:rsidRPr="00640EA2" w:rsidRDefault="00391E60" w:rsidP="00391E60">
      <w:pPr>
        <w:pStyle w:val="BodyText"/>
        <w:ind w:right="203"/>
        <w:rPr>
          <w:i/>
        </w:rPr>
      </w:pPr>
      <w:r w:rsidRPr="00640EA2">
        <w:rPr>
          <w:i/>
        </w:rPr>
        <w:t>Proposal Agreed to by CSG and NCSG on 15 March 2018 at ICANN 61</w:t>
      </w:r>
    </w:p>
    <w:p w14:paraId="0156EE6A" w14:textId="77777777" w:rsidR="00391E60" w:rsidRPr="00640EA2" w:rsidRDefault="00391E60" w:rsidP="00391E60">
      <w:pPr>
        <w:pStyle w:val="BodyText"/>
        <w:ind w:right="203"/>
        <w:rPr>
          <w:i/>
        </w:rPr>
      </w:pPr>
    </w:p>
    <w:p w14:paraId="7F0505E9" w14:textId="77777777" w:rsidR="00391E60" w:rsidRDefault="00391E60" w:rsidP="00391E60">
      <w:pPr>
        <w:pStyle w:val="BodyText"/>
        <w:numPr>
          <w:ilvl w:val="0"/>
          <w:numId w:val="1"/>
        </w:numPr>
        <w:ind w:right="203"/>
        <w:rPr>
          <w:b/>
          <w:bCs/>
        </w:rPr>
      </w:pPr>
      <w:r w:rsidRPr="00640EA2">
        <w:rPr>
          <w:b/>
          <w:bCs/>
        </w:rPr>
        <w:t>Have Preliminary Conversations</w:t>
      </w:r>
    </w:p>
    <w:p w14:paraId="7EC0BEB1" w14:textId="77777777" w:rsidR="00391E60" w:rsidRPr="00640EA2" w:rsidRDefault="00391E60" w:rsidP="00391E60">
      <w:pPr>
        <w:pStyle w:val="BodyText"/>
        <w:ind w:left="820" w:right="203"/>
        <w:rPr>
          <w:b/>
          <w:bCs/>
        </w:rPr>
      </w:pPr>
    </w:p>
    <w:p w14:paraId="43608C34" w14:textId="77777777" w:rsidR="00391E60" w:rsidRPr="00640EA2" w:rsidRDefault="00391E60" w:rsidP="00391E60">
      <w:pPr>
        <w:pStyle w:val="BodyText"/>
        <w:numPr>
          <w:ilvl w:val="1"/>
          <w:numId w:val="1"/>
        </w:numPr>
        <w:ind w:left="1170" w:right="203" w:hanging="360"/>
      </w:pPr>
      <w:r w:rsidRPr="00640EA2">
        <w:t xml:space="preserve">NCSG to ask members to identify possible candidates. </w:t>
      </w:r>
    </w:p>
    <w:p w14:paraId="69EF8320" w14:textId="77777777" w:rsidR="00391E60" w:rsidRPr="00640EA2" w:rsidRDefault="00391E60" w:rsidP="00391E60">
      <w:pPr>
        <w:pStyle w:val="BodyText"/>
        <w:numPr>
          <w:ilvl w:val="1"/>
          <w:numId w:val="1"/>
        </w:numPr>
        <w:ind w:left="1170" w:right="203" w:hanging="360"/>
      </w:pPr>
      <w:r w:rsidRPr="00640EA2">
        <w:t>CSG to ask its constituencies to identify possible candidates.</w:t>
      </w:r>
    </w:p>
    <w:p w14:paraId="24865378" w14:textId="77777777" w:rsidR="00391E60" w:rsidRPr="00640EA2" w:rsidRDefault="00391E60" w:rsidP="00391E60">
      <w:pPr>
        <w:pStyle w:val="BodyText"/>
        <w:numPr>
          <w:ilvl w:val="1"/>
          <w:numId w:val="1"/>
        </w:numPr>
        <w:ind w:left="1170" w:right="203" w:hanging="360"/>
      </w:pPr>
      <w:r w:rsidRPr="00640EA2">
        <w:t>NomCom Appointee (NCA) will be included in the process as an advisor.</w:t>
      </w:r>
    </w:p>
    <w:p w14:paraId="503CEB33" w14:textId="77777777" w:rsidR="00391E60" w:rsidRPr="00640EA2" w:rsidRDefault="00391E60" w:rsidP="00391E60">
      <w:pPr>
        <w:pStyle w:val="BodyText"/>
        <w:numPr>
          <w:ilvl w:val="1"/>
          <w:numId w:val="1"/>
        </w:numPr>
        <w:ind w:left="1170" w:right="203" w:hanging="360"/>
      </w:pPr>
      <w:r w:rsidRPr="00640EA2">
        <w:t xml:space="preserve">Set preliminary target dates for the process. </w:t>
      </w:r>
    </w:p>
    <w:p w14:paraId="4C17DDBE" w14:textId="77777777" w:rsidR="00391E60" w:rsidRPr="00640EA2" w:rsidRDefault="00391E60" w:rsidP="00391E60">
      <w:pPr>
        <w:pStyle w:val="BodyText"/>
        <w:numPr>
          <w:ilvl w:val="1"/>
          <w:numId w:val="1"/>
        </w:numPr>
        <w:ind w:left="1170" w:right="203" w:hanging="360"/>
      </w:pPr>
      <w:r w:rsidRPr="00640EA2">
        <w:t>Consider that the incumbent can be selected again and ask if willing to run again</w:t>
      </w:r>
      <w:r>
        <w:t>.</w:t>
      </w:r>
    </w:p>
    <w:p w14:paraId="4AA2902C" w14:textId="77777777" w:rsidR="00391E60" w:rsidRPr="00640EA2" w:rsidRDefault="00391E60" w:rsidP="00391E60">
      <w:pPr>
        <w:pStyle w:val="BodyText"/>
        <w:ind w:right="203"/>
      </w:pPr>
    </w:p>
    <w:p w14:paraId="5981D321" w14:textId="77777777" w:rsidR="00391E60" w:rsidRDefault="00391E60" w:rsidP="00391E60">
      <w:pPr>
        <w:pStyle w:val="BodyText"/>
        <w:numPr>
          <w:ilvl w:val="0"/>
          <w:numId w:val="1"/>
        </w:numPr>
        <w:ind w:right="203"/>
        <w:rPr>
          <w:b/>
          <w:bCs/>
        </w:rPr>
      </w:pPr>
      <w:r w:rsidRPr="00640EA2">
        <w:rPr>
          <w:b/>
          <w:bCs/>
        </w:rPr>
        <w:t>Determine Willingness and Availability of Any Candidates</w:t>
      </w:r>
    </w:p>
    <w:p w14:paraId="648D8F73" w14:textId="77777777" w:rsidR="00391E60" w:rsidRPr="00640EA2" w:rsidRDefault="00391E60" w:rsidP="00391E60">
      <w:pPr>
        <w:pStyle w:val="BodyText"/>
        <w:ind w:left="820" w:right="203"/>
        <w:rPr>
          <w:b/>
          <w:bCs/>
        </w:rPr>
      </w:pPr>
    </w:p>
    <w:p w14:paraId="25C50F49" w14:textId="77777777" w:rsidR="00391E60" w:rsidRPr="00640EA2" w:rsidRDefault="00391E60" w:rsidP="00391E60">
      <w:pPr>
        <w:pStyle w:val="BodyText"/>
        <w:numPr>
          <w:ilvl w:val="1"/>
          <w:numId w:val="1"/>
        </w:numPr>
        <w:ind w:left="1170" w:right="203" w:hanging="360"/>
      </w:pPr>
      <w:r w:rsidRPr="00640EA2">
        <w:t>Ask candidates to provide a Statement of Interest (SOI).</w:t>
      </w:r>
    </w:p>
    <w:p w14:paraId="13E83B90" w14:textId="77777777" w:rsidR="00391E60" w:rsidRPr="00640EA2" w:rsidRDefault="00391E60" w:rsidP="00391E60">
      <w:pPr>
        <w:pStyle w:val="BodyText"/>
        <w:numPr>
          <w:ilvl w:val="1"/>
          <w:numId w:val="1"/>
        </w:numPr>
        <w:ind w:left="1170" w:right="203" w:hanging="360"/>
      </w:pPr>
      <w:r w:rsidRPr="00640EA2">
        <w:t>The candidates should undergo a background check for criminal records and other due diligence checks through a process provided by ICANN, which is used by NomCom.</w:t>
      </w:r>
    </w:p>
    <w:p w14:paraId="4F41C732" w14:textId="77777777" w:rsidR="00391E60" w:rsidRPr="00640EA2" w:rsidRDefault="00391E60" w:rsidP="00391E60">
      <w:pPr>
        <w:pStyle w:val="BodyText"/>
        <w:ind w:right="203"/>
      </w:pPr>
    </w:p>
    <w:p w14:paraId="2983B8BC" w14:textId="77777777" w:rsidR="00391E60" w:rsidRDefault="00391E60" w:rsidP="00391E60">
      <w:pPr>
        <w:pStyle w:val="BodyText"/>
        <w:numPr>
          <w:ilvl w:val="0"/>
          <w:numId w:val="1"/>
        </w:numPr>
        <w:ind w:right="203"/>
        <w:rPr>
          <w:b/>
          <w:bCs/>
        </w:rPr>
      </w:pPr>
      <w:r w:rsidRPr="00640EA2">
        <w:rPr>
          <w:b/>
          <w:bCs/>
        </w:rPr>
        <w:t>Non-Commercial Stakeholder Group (NCSG) and Commercial Stakeholder Group (CSG) to Consult on Available Candidates</w:t>
      </w:r>
    </w:p>
    <w:p w14:paraId="3D52C988" w14:textId="77777777" w:rsidR="00391E60" w:rsidRPr="00640EA2" w:rsidRDefault="00391E60" w:rsidP="00391E60">
      <w:pPr>
        <w:pStyle w:val="BodyText"/>
        <w:numPr>
          <w:ilvl w:val="0"/>
          <w:numId w:val="1"/>
        </w:numPr>
        <w:ind w:right="203"/>
        <w:rPr>
          <w:b/>
          <w:bCs/>
        </w:rPr>
      </w:pPr>
    </w:p>
    <w:p w14:paraId="2C0A39F4" w14:textId="77777777" w:rsidR="00391E60" w:rsidRPr="00640EA2" w:rsidRDefault="00391E60" w:rsidP="00391E60">
      <w:pPr>
        <w:pStyle w:val="BodyText"/>
        <w:numPr>
          <w:ilvl w:val="1"/>
          <w:numId w:val="1"/>
        </w:numPr>
        <w:ind w:left="1260" w:right="203" w:hanging="450"/>
      </w:pPr>
      <w:r w:rsidRPr="00640EA2">
        <w:t>Interviews can take place and the NCA can be invited to join the interviews. There can be joint NCPH interviews.</w:t>
      </w:r>
    </w:p>
    <w:p w14:paraId="1F5E0D6D" w14:textId="77777777" w:rsidR="00391E60" w:rsidRPr="00640EA2" w:rsidRDefault="00391E60" w:rsidP="00391E60">
      <w:pPr>
        <w:pStyle w:val="BodyText"/>
        <w:numPr>
          <w:ilvl w:val="1"/>
          <w:numId w:val="1"/>
        </w:numPr>
        <w:ind w:left="1260" w:right="203" w:hanging="450"/>
      </w:pPr>
      <w:r w:rsidRPr="00640EA2">
        <w:t xml:space="preserve">NCSG and CSG leaders must agree on </w:t>
      </w:r>
      <w:r w:rsidRPr="00640EA2">
        <w:rPr>
          <w:u w:val="single"/>
        </w:rPr>
        <w:t xml:space="preserve">one consensus candidate </w:t>
      </w:r>
      <w:r w:rsidRPr="00640EA2">
        <w:t>to run for election. There should be a timeline of when they should reach consensus on the candidate. If they cannot, they must identify more candidates to interview and come to a consensus.</w:t>
      </w:r>
    </w:p>
    <w:p w14:paraId="7635C285" w14:textId="77777777" w:rsidR="00391E60" w:rsidRPr="00640EA2" w:rsidRDefault="00391E60" w:rsidP="00391E60">
      <w:pPr>
        <w:pStyle w:val="BodyText"/>
        <w:ind w:right="203"/>
      </w:pPr>
    </w:p>
    <w:p w14:paraId="077463CD" w14:textId="77777777" w:rsidR="00391E60" w:rsidRDefault="00391E60" w:rsidP="00391E60">
      <w:pPr>
        <w:pStyle w:val="BodyText"/>
        <w:numPr>
          <w:ilvl w:val="0"/>
          <w:numId w:val="1"/>
        </w:numPr>
        <w:ind w:right="203"/>
        <w:rPr>
          <w:b/>
          <w:bCs/>
        </w:rPr>
      </w:pPr>
      <w:r w:rsidRPr="00640EA2">
        <w:rPr>
          <w:b/>
          <w:bCs/>
        </w:rPr>
        <w:t>Election</w:t>
      </w:r>
    </w:p>
    <w:p w14:paraId="17257023" w14:textId="77777777" w:rsidR="00391E60" w:rsidRPr="00640EA2" w:rsidRDefault="00391E60" w:rsidP="00391E60">
      <w:pPr>
        <w:pStyle w:val="BodyText"/>
        <w:ind w:left="820" w:right="203"/>
        <w:rPr>
          <w:b/>
          <w:bCs/>
        </w:rPr>
      </w:pPr>
    </w:p>
    <w:p w14:paraId="124BBF31" w14:textId="77777777" w:rsidR="00391E60" w:rsidRPr="00640EA2" w:rsidRDefault="00391E60" w:rsidP="00391E60">
      <w:pPr>
        <w:pStyle w:val="BodyText"/>
        <w:numPr>
          <w:ilvl w:val="1"/>
          <w:numId w:val="1"/>
        </w:numPr>
        <w:ind w:left="1260" w:right="203" w:hanging="450"/>
      </w:pPr>
      <w:r w:rsidRPr="00640EA2">
        <w:t>The CSG leaders and the NCSG leaders shall vote on the candidate running against None of The Above (NOTA). The CSG and NCSG shall have one vote each, which will be determined by each of their internal procedures.  </w:t>
      </w:r>
    </w:p>
    <w:p w14:paraId="7EF2716C" w14:textId="77777777" w:rsidR="00391E60" w:rsidRPr="00640EA2" w:rsidRDefault="00391E60" w:rsidP="00391E60">
      <w:pPr>
        <w:pStyle w:val="BodyText"/>
        <w:numPr>
          <w:ilvl w:val="1"/>
          <w:numId w:val="1"/>
        </w:numPr>
        <w:ind w:left="1260" w:right="203" w:hanging="450"/>
      </w:pPr>
      <w:r w:rsidRPr="00640EA2">
        <w:t>The threshold for a successful candidate to win the election is 2 votes.</w:t>
      </w:r>
    </w:p>
    <w:p w14:paraId="35F62609" w14:textId="77777777" w:rsidR="00391E60" w:rsidRDefault="00391E60" w:rsidP="00391E60">
      <w:pPr>
        <w:pStyle w:val="BodyText"/>
        <w:numPr>
          <w:ilvl w:val="1"/>
          <w:numId w:val="1"/>
        </w:numPr>
        <w:ind w:left="1260" w:right="203" w:hanging="450"/>
      </w:pPr>
      <w:r w:rsidRPr="00640EA2">
        <w:t>If NOTA receives 1 or more votes, then the call for nomination should be reopened, start from step 1.</w:t>
      </w:r>
    </w:p>
    <w:p w14:paraId="3F1DED07" w14:textId="77777777" w:rsidR="00391E60" w:rsidRPr="00640EA2" w:rsidRDefault="00391E60" w:rsidP="00391E60">
      <w:pPr>
        <w:pStyle w:val="BodyText"/>
        <w:numPr>
          <w:ilvl w:val="1"/>
          <w:numId w:val="1"/>
        </w:numPr>
        <w:ind w:left="1260" w:right="203" w:hanging="450"/>
      </w:pPr>
      <w:r w:rsidRPr="00640EA2">
        <w:t>If one or more alternate candidates are identified, restart the process at step 2.</w:t>
      </w:r>
    </w:p>
    <w:p w14:paraId="7A1B0380" w14:textId="77777777" w:rsidR="00391E60" w:rsidRPr="008035E5" w:rsidRDefault="00391E60" w:rsidP="00391E60">
      <w:pPr>
        <w:pStyle w:val="BodyText"/>
        <w:ind w:right="203"/>
      </w:pPr>
    </w:p>
    <w:p w14:paraId="79623D28" w14:textId="77777777" w:rsidR="00391E60" w:rsidRPr="004C3133" w:rsidRDefault="00391E60" w:rsidP="00391E60">
      <w:pPr>
        <w:rPr>
          <w:rFonts w:ascii="Times New Roman" w:hAnsi="Times New Roman" w:cs="Times New Roman"/>
          <w:sz w:val="24"/>
          <w:szCs w:val="24"/>
        </w:rPr>
      </w:pPr>
    </w:p>
    <w:p w14:paraId="48D12AE1" w14:textId="77777777" w:rsidR="00391E60" w:rsidRDefault="00391E60" w:rsidP="00391E60">
      <w:pPr>
        <w:pStyle w:val="BodyText"/>
        <w:ind w:left="0" w:right="203"/>
      </w:pPr>
      <w:r>
        <w:rPr>
          <w:spacing w:val="-1"/>
        </w:rPr>
        <w:t>**END</w:t>
      </w:r>
      <w:r>
        <w:t xml:space="preserve"> </w:t>
      </w:r>
      <w:r>
        <w:rPr>
          <w:spacing w:val="-1"/>
        </w:rPr>
        <w:t>OF</w:t>
      </w:r>
      <w:r>
        <w:t xml:space="preserve"> </w:t>
      </w:r>
      <w:r>
        <w:rPr>
          <w:spacing w:val="-1"/>
        </w:rPr>
        <w:t>ANNEX</w:t>
      </w:r>
      <w:r>
        <w:rPr>
          <w:spacing w:val="-2"/>
        </w:rPr>
        <w:t xml:space="preserve"> </w:t>
      </w:r>
      <w:r>
        <w:t>7**</w:t>
      </w:r>
    </w:p>
    <w:p w14:paraId="1B66E39D" w14:textId="77777777" w:rsidR="00391E60" w:rsidRPr="0000502E" w:rsidRDefault="00391E60" w:rsidP="00391E60">
      <w:pPr>
        <w:ind w:left="167"/>
        <w:rPr>
          <w:rFonts w:ascii="Times New Roman" w:hAnsi="Times New Roman" w:cs="Times New Roman"/>
          <w:sz w:val="24"/>
          <w:szCs w:val="24"/>
        </w:rPr>
      </w:pPr>
    </w:p>
    <w:p w14:paraId="5536CAC3" w14:textId="77777777" w:rsidR="00391E60" w:rsidRPr="0000502E" w:rsidRDefault="00391E60" w:rsidP="00391E60">
      <w:pPr>
        <w:ind w:left="167"/>
        <w:rPr>
          <w:rFonts w:ascii="Times New Roman" w:hAnsi="Times New Roman" w:cs="Times New Roman"/>
          <w:sz w:val="24"/>
          <w:szCs w:val="24"/>
        </w:rPr>
      </w:pPr>
    </w:p>
    <w:p w14:paraId="320D74AE" w14:textId="77777777" w:rsidR="00391E60" w:rsidRPr="0000502E" w:rsidRDefault="00391E60" w:rsidP="00391E60">
      <w:pPr>
        <w:ind w:left="167"/>
        <w:rPr>
          <w:rFonts w:ascii="Times New Roman" w:hAnsi="Times New Roman" w:cs="Times New Roman"/>
          <w:sz w:val="24"/>
          <w:szCs w:val="24"/>
        </w:rPr>
      </w:pPr>
    </w:p>
    <w:p w14:paraId="051E87E4" w14:textId="77777777" w:rsidR="00391E60" w:rsidRDefault="00391E60"/>
    <w:sectPr w:rsidR="00391E60">
      <w:footnotePr>
        <w:numRestart w:val="eachSect"/>
      </w:footnotePr>
      <w:pgSz w:w="12240" w:h="15840"/>
      <w:pgMar w:top="1380" w:right="840" w:bottom="1080" w:left="840" w:header="0" w:footer="8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652A27"/>
    <w:multiLevelType w:val="hybridMultilevel"/>
    <w:tmpl w:val="394812E6"/>
    <w:lvl w:ilvl="0" w:tplc="9A683164">
      <w:start w:val="1"/>
      <w:numFmt w:val="decimal"/>
      <w:lvlText w:val="%1."/>
      <w:lvlJc w:val="left"/>
      <w:pPr>
        <w:ind w:left="820" w:hanging="720"/>
      </w:pPr>
      <w:rPr>
        <w:rFonts w:ascii="Times New Roman" w:eastAsia="Verdana" w:hAnsi="Times New Roman" w:cs="Verdana" w:hint="default"/>
        <w:b/>
        <w:bCs/>
        <w:color w:val="222222"/>
        <w:spacing w:val="-1"/>
        <w:w w:val="67"/>
        <w:sz w:val="24"/>
        <w:szCs w:val="24"/>
      </w:rPr>
    </w:lvl>
    <w:lvl w:ilvl="1" w:tplc="7BA01CE8">
      <w:start w:val="1"/>
      <w:numFmt w:val="lowerLetter"/>
      <w:lvlText w:val="%2."/>
      <w:lvlJc w:val="left"/>
      <w:pPr>
        <w:ind w:left="1540" w:hanging="720"/>
      </w:pPr>
      <w:rPr>
        <w:rFonts w:ascii="Times New Roman" w:eastAsia="Verdana" w:hAnsi="Times New Roman" w:cs="Verdana" w:hint="default"/>
        <w:color w:val="222222"/>
        <w:w w:val="64"/>
        <w:sz w:val="24"/>
        <w:szCs w:val="24"/>
      </w:rPr>
    </w:lvl>
    <w:lvl w:ilvl="2" w:tplc="B1B60314">
      <w:numFmt w:val="bullet"/>
      <w:lvlText w:val="•"/>
      <w:lvlJc w:val="left"/>
      <w:pPr>
        <w:ind w:left="2426" w:hanging="720"/>
      </w:pPr>
      <w:rPr>
        <w:rFonts w:hint="default"/>
      </w:rPr>
    </w:lvl>
    <w:lvl w:ilvl="3" w:tplc="599AC302">
      <w:numFmt w:val="bullet"/>
      <w:lvlText w:val="•"/>
      <w:lvlJc w:val="left"/>
      <w:pPr>
        <w:ind w:left="3313" w:hanging="720"/>
      </w:pPr>
      <w:rPr>
        <w:rFonts w:hint="default"/>
      </w:rPr>
    </w:lvl>
    <w:lvl w:ilvl="4" w:tplc="A412BE52">
      <w:numFmt w:val="bullet"/>
      <w:lvlText w:val="•"/>
      <w:lvlJc w:val="left"/>
      <w:pPr>
        <w:ind w:left="4200" w:hanging="720"/>
      </w:pPr>
      <w:rPr>
        <w:rFonts w:hint="default"/>
      </w:rPr>
    </w:lvl>
    <w:lvl w:ilvl="5" w:tplc="D78CA8A6">
      <w:numFmt w:val="bullet"/>
      <w:lvlText w:val="•"/>
      <w:lvlJc w:val="left"/>
      <w:pPr>
        <w:ind w:left="5086" w:hanging="720"/>
      </w:pPr>
      <w:rPr>
        <w:rFonts w:hint="default"/>
      </w:rPr>
    </w:lvl>
    <w:lvl w:ilvl="6" w:tplc="8BB4DA50">
      <w:numFmt w:val="bullet"/>
      <w:lvlText w:val="•"/>
      <w:lvlJc w:val="left"/>
      <w:pPr>
        <w:ind w:left="5973" w:hanging="720"/>
      </w:pPr>
      <w:rPr>
        <w:rFonts w:hint="default"/>
      </w:rPr>
    </w:lvl>
    <w:lvl w:ilvl="7" w:tplc="D4985780">
      <w:numFmt w:val="bullet"/>
      <w:lvlText w:val="•"/>
      <w:lvlJc w:val="left"/>
      <w:pPr>
        <w:ind w:left="6860" w:hanging="720"/>
      </w:pPr>
      <w:rPr>
        <w:rFonts w:hint="default"/>
      </w:rPr>
    </w:lvl>
    <w:lvl w:ilvl="8" w:tplc="5066E2D6">
      <w:numFmt w:val="bullet"/>
      <w:lvlText w:val="•"/>
      <w:lvlJc w:val="left"/>
      <w:pPr>
        <w:ind w:left="7746"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60"/>
    <w:rsid w:val="00053A87"/>
    <w:rsid w:val="00391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D5C596"/>
  <w15:chartTrackingRefBased/>
  <w15:docId w15:val="{DA82D04B-0F7D-7B4F-A2BE-4C3C8C73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91E60"/>
    <w:pPr>
      <w:widowControl w:val="0"/>
    </w:pPr>
    <w:rPr>
      <w:sz w:val="22"/>
      <w:szCs w:val="22"/>
    </w:rPr>
  </w:style>
  <w:style w:type="paragraph" w:styleId="Heading1">
    <w:name w:val="heading 1"/>
    <w:basedOn w:val="Normal"/>
    <w:link w:val="Heading1Char"/>
    <w:uiPriority w:val="1"/>
    <w:qFormat/>
    <w:rsid w:val="00391E60"/>
    <w:pPr>
      <w:spacing w:before="79"/>
      <w:ind w:left="16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91E60"/>
    <w:rPr>
      <w:rFonts w:ascii="Times New Roman" w:eastAsia="Times New Roman" w:hAnsi="Times New Roman"/>
      <w:b/>
      <w:bCs/>
      <w:sz w:val="28"/>
      <w:szCs w:val="28"/>
    </w:rPr>
  </w:style>
  <w:style w:type="paragraph" w:styleId="BodyText">
    <w:name w:val="Body Text"/>
    <w:basedOn w:val="Normal"/>
    <w:link w:val="BodyTextChar"/>
    <w:uiPriority w:val="1"/>
    <w:qFormat/>
    <w:rsid w:val="00391E60"/>
    <w:pPr>
      <w:ind w:left="16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91E6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2019-10-14T18:31:00Z</dcterms:created>
  <dcterms:modified xsi:type="dcterms:W3CDTF">2019-10-14T18:32:00Z</dcterms:modified>
</cp:coreProperties>
</file>