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207F" w14:textId="77777777" w:rsidR="00CE409C" w:rsidRDefault="00000000">
      <w:pPr>
        <w:rPr>
          <w:b/>
          <w:sz w:val="20"/>
          <w:szCs w:val="20"/>
        </w:rPr>
      </w:pPr>
      <w:r>
        <w:rPr>
          <w:b/>
          <w:sz w:val="20"/>
          <w:szCs w:val="20"/>
        </w:rPr>
        <w:t>Minutes of the GNSO Council Meeting 21 September 2022 part II</w:t>
      </w:r>
    </w:p>
    <w:p w14:paraId="3AC18F63" w14:textId="77777777" w:rsidR="00CE409C" w:rsidRDefault="00000000">
      <w:pPr>
        <w:rPr>
          <w:b/>
          <w:color w:val="1155CC"/>
          <w:sz w:val="20"/>
          <w:szCs w:val="20"/>
          <w:u w:val="single"/>
        </w:rPr>
      </w:pPr>
      <w:hyperlink r:id="rId5">
        <w:r>
          <w:rPr>
            <w:b/>
            <w:color w:val="1155CC"/>
            <w:sz w:val="20"/>
            <w:szCs w:val="20"/>
            <w:u w:val="single"/>
          </w:rPr>
          <w:t>Agenda</w:t>
        </w:r>
      </w:hyperlink>
      <w:r>
        <w:rPr>
          <w:b/>
          <w:sz w:val="20"/>
          <w:szCs w:val="20"/>
        </w:rPr>
        <w:t xml:space="preserve"> and </w:t>
      </w:r>
      <w:hyperlink r:id="rId6">
        <w:r>
          <w:rPr>
            <w:b/>
            <w:color w:val="1155CC"/>
            <w:sz w:val="20"/>
            <w:szCs w:val="20"/>
            <w:u w:val="single"/>
          </w:rPr>
          <w:t>Documents</w:t>
        </w:r>
      </w:hyperlink>
      <w:r>
        <w:fldChar w:fldCharType="begin"/>
      </w:r>
      <w:r>
        <w:instrText xml:space="preserve"> HYPERLINK "https://community.icann.org/x/8YLpB" </w:instrText>
      </w:r>
      <w:r>
        <w:fldChar w:fldCharType="separate"/>
      </w:r>
    </w:p>
    <w:p w14:paraId="2EA6AE7E" w14:textId="77777777" w:rsidR="00CE409C" w:rsidRDefault="00000000">
      <w:pPr>
        <w:shd w:val="clear" w:color="auto" w:fill="FFFFFF"/>
        <w:spacing w:before="160" w:line="240" w:lineRule="auto"/>
        <w:rPr>
          <w:sz w:val="20"/>
          <w:szCs w:val="20"/>
        </w:rPr>
      </w:pPr>
      <w:r>
        <w:fldChar w:fldCharType="end"/>
      </w:r>
    </w:p>
    <w:p w14:paraId="4B80F655" w14:textId="77777777" w:rsidR="00CE409C" w:rsidRDefault="00000000">
      <w:pPr>
        <w:shd w:val="clear" w:color="auto" w:fill="FFFFFF"/>
        <w:spacing w:before="160" w:line="240" w:lineRule="auto"/>
        <w:rPr>
          <w:color w:val="172B4D"/>
          <w:sz w:val="20"/>
          <w:szCs w:val="20"/>
        </w:rPr>
      </w:pPr>
      <w:r>
        <w:rPr>
          <w:sz w:val="20"/>
          <w:szCs w:val="20"/>
        </w:rPr>
        <w:t>GNSO Council meeting held in Kuala Lumpur, Malaysia 15:30-16:00 MYT:</w:t>
      </w:r>
      <w:r>
        <w:rPr>
          <w:color w:val="172B4D"/>
          <w:sz w:val="20"/>
          <w:szCs w:val="20"/>
        </w:rPr>
        <w:t xml:space="preserve"> </w:t>
      </w:r>
      <w:hyperlink r:id="rId7">
        <w:r>
          <w:rPr>
            <w:color w:val="0052CC"/>
            <w:sz w:val="20"/>
            <w:szCs w:val="20"/>
            <w:u w:val="single"/>
          </w:rPr>
          <w:t>https://tinyurl.com/yc2uwm9z</w:t>
        </w:r>
      </w:hyperlink>
      <w:r>
        <w:rPr>
          <w:color w:val="172B4D"/>
          <w:sz w:val="20"/>
          <w:szCs w:val="20"/>
        </w:rPr>
        <w:t xml:space="preserve"> </w:t>
      </w:r>
    </w:p>
    <w:p w14:paraId="2D76FD90" w14:textId="77777777" w:rsidR="00CE409C" w:rsidRDefault="00000000">
      <w:pPr>
        <w:shd w:val="clear" w:color="auto" w:fill="FFFFFF"/>
        <w:spacing w:before="160" w:line="240" w:lineRule="auto"/>
        <w:rPr>
          <w:sz w:val="20"/>
          <w:szCs w:val="20"/>
        </w:rPr>
      </w:pPr>
      <w:r>
        <w:rPr>
          <w:sz w:val="20"/>
          <w:szCs w:val="20"/>
        </w:rPr>
        <w:t>Coordinated Universal Time: 07:30-08:00 UTC</w:t>
      </w:r>
    </w:p>
    <w:p w14:paraId="48EA3941" w14:textId="77777777" w:rsidR="00CE409C" w:rsidRDefault="00000000">
      <w:pPr>
        <w:shd w:val="clear" w:color="auto" w:fill="FFFFFF"/>
        <w:spacing w:before="160" w:line="240" w:lineRule="auto"/>
        <w:rPr>
          <w:sz w:val="20"/>
          <w:szCs w:val="20"/>
        </w:rPr>
      </w:pPr>
      <w:r>
        <w:rPr>
          <w:sz w:val="20"/>
          <w:szCs w:val="20"/>
          <w:highlight w:val="white"/>
        </w:rPr>
        <w:t xml:space="preserve">00:30 Los Angeles; 03:30 Washington DC; 08:30 London; 09:30 Paris; 10:30 Moscow; 17:30 Melbourne </w:t>
      </w:r>
    </w:p>
    <w:p w14:paraId="5CA35870" w14:textId="77777777" w:rsidR="00CE409C" w:rsidRDefault="00CE409C">
      <w:pPr>
        <w:shd w:val="clear" w:color="auto" w:fill="FFFFFF"/>
        <w:spacing w:line="240" w:lineRule="auto"/>
        <w:rPr>
          <w:sz w:val="20"/>
          <w:szCs w:val="20"/>
        </w:rPr>
      </w:pPr>
    </w:p>
    <w:p w14:paraId="0184BB20" w14:textId="77777777" w:rsidR="00CE409C" w:rsidRDefault="00CE409C">
      <w:pPr>
        <w:shd w:val="clear" w:color="auto" w:fill="FFFFFF"/>
        <w:spacing w:before="160"/>
        <w:rPr>
          <w:sz w:val="20"/>
          <w:szCs w:val="20"/>
        </w:rPr>
      </w:pPr>
    </w:p>
    <w:p w14:paraId="5C0B6675" w14:textId="77777777" w:rsidR="00CE409C" w:rsidRDefault="00000000">
      <w:pPr>
        <w:rPr>
          <w:sz w:val="20"/>
          <w:szCs w:val="20"/>
        </w:rPr>
      </w:pPr>
      <w:r>
        <w:rPr>
          <w:b/>
          <w:sz w:val="20"/>
          <w:szCs w:val="20"/>
        </w:rPr>
        <w:t>List of attendees:</w:t>
      </w:r>
      <w:r>
        <w:rPr>
          <w:sz w:val="20"/>
          <w:szCs w:val="20"/>
        </w:rPr>
        <w:t xml:space="preserve"> </w:t>
      </w:r>
    </w:p>
    <w:p w14:paraId="3C667A4F" w14:textId="77777777" w:rsidR="00CE409C" w:rsidRDefault="00000000">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Anne Aikman-Scalese</w:t>
      </w:r>
    </w:p>
    <w:p w14:paraId="426F0BE8" w14:textId="77777777" w:rsidR="00CE409C" w:rsidRDefault="00000000">
      <w:pPr>
        <w:spacing w:line="261" w:lineRule="auto"/>
        <w:rPr>
          <w:b/>
          <w:sz w:val="20"/>
          <w:szCs w:val="20"/>
          <w:highlight w:val="white"/>
        </w:rPr>
      </w:pPr>
      <w:r>
        <w:rPr>
          <w:b/>
          <w:sz w:val="20"/>
          <w:szCs w:val="20"/>
          <w:highlight w:val="white"/>
        </w:rPr>
        <w:t>Contracted Parties House</w:t>
      </w:r>
    </w:p>
    <w:p w14:paraId="392889A4" w14:textId="77777777" w:rsidR="00CE409C" w:rsidRDefault="00000000">
      <w:pPr>
        <w:spacing w:line="261" w:lineRule="auto"/>
        <w:rPr>
          <w:sz w:val="20"/>
          <w:szCs w:val="20"/>
          <w:highlight w:val="white"/>
        </w:rPr>
      </w:pPr>
      <w:r>
        <w:rPr>
          <w:sz w:val="20"/>
          <w:szCs w:val="20"/>
          <w:highlight w:val="white"/>
        </w:rPr>
        <w:t>Registrar Stakeholder Group: Antonia Chu, Theo Geurts, Greg DiBiase,</w:t>
      </w:r>
    </w:p>
    <w:p w14:paraId="6335218E" w14:textId="77777777" w:rsidR="00CE409C" w:rsidRDefault="00000000">
      <w:pPr>
        <w:spacing w:line="261" w:lineRule="auto"/>
        <w:rPr>
          <w:sz w:val="20"/>
          <w:szCs w:val="20"/>
          <w:highlight w:val="white"/>
        </w:rPr>
      </w:pPr>
      <w:r>
        <w:rPr>
          <w:sz w:val="20"/>
          <w:szCs w:val="20"/>
          <w:highlight w:val="white"/>
        </w:rPr>
        <w:t>gTLD Registries Stakeholder Group: Nacho Amadoz, Kurt Pritz, Sebastien Ducos,</w:t>
      </w:r>
    </w:p>
    <w:p w14:paraId="085541A5" w14:textId="77777777" w:rsidR="00CE409C" w:rsidRDefault="00000000">
      <w:pPr>
        <w:spacing w:line="261" w:lineRule="auto"/>
        <w:rPr>
          <w:sz w:val="20"/>
          <w:szCs w:val="20"/>
          <w:highlight w:val="white"/>
        </w:rPr>
      </w:pPr>
      <w:r>
        <w:rPr>
          <w:sz w:val="20"/>
          <w:szCs w:val="20"/>
          <w:highlight w:val="white"/>
        </w:rPr>
        <w:t xml:space="preserve">Nominating Committee Appointee (NCA): Desiree Miloshevic </w:t>
      </w:r>
    </w:p>
    <w:p w14:paraId="49C4107C" w14:textId="77777777" w:rsidR="00CE409C" w:rsidRDefault="00000000">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1B95212" w14:textId="77777777" w:rsidR="00CE409C" w:rsidRDefault="00000000">
      <w:pPr>
        <w:spacing w:line="261" w:lineRule="auto"/>
        <w:rPr>
          <w:sz w:val="20"/>
          <w:szCs w:val="20"/>
          <w:highlight w:val="white"/>
        </w:rPr>
      </w:pPr>
      <w:r>
        <w:rPr>
          <w:sz w:val="20"/>
          <w:szCs w:val="20"/>
          <w:highlight w:val="white"/>
        </w:rPr>
        <w:t>Commercial Stakeholder Group (CSG): Marie Pattullo, Mark Datysgeld, Osvaldo Novoa, Thomas Rickert, John McElwaine, Susan Payne</w:t>
      </w:r>
    </w:p>
    <w:p w14:paraId="3D8E3B08" w14:textId="77777777" w:rsidR="00CE409C" w:rsidRDefault="00000000">
      <w:pPr>
        <w:spacing w:line="261" w:lineRule="auto"/>
        <w:rPr>
          <w:sz w:val="20"/>
          <w:szCs w:val="20"/>
          <w:highlight w:val="white"/>
        </w:rPr>
      </w:pPr>
      <w:r>
        <w:rPr>
          <w:sz w:val="20"/>
          <w:szCs w:val="20"/>
          <w:highlight w:val="white"/>
        </w:rPr>
        <w:t xml:space="preserve">Non Commercial Stakeholder Group (NCSG) Manju Chen, Wisdom Donkor, Tomslin Samme-Nlar, Farrell Folly, Stephanie Perrin, Bruna Martins dos Santos, </w:t>
      </w:r>
    </w:p>
    <w:p w14:paraId="147B681F" w14:textId="77777777" w:rsidR="00CE409C" w:rsidRDefault="00000000">
      <w:pPr>
        <w:spacing w:line="261" w:lineRule="auto"/>
        <w:rPr>
          <w:sz w:val="20"/>
          <w:szCs w:val="20"/>
          <w:highlight w:val="white"/>
        </w:rPr>
      </w:pPr>
      <w:r>
        <w:rPr>
          <w:sz w:val="20"/>
          <w:szCs w:val="20"/>
          <w:highlight w:val="white"/>
        </w:rPr>
        <w:t>Nominating Committee Appointee (NCA): Paul McGrady</w:t>
      </w:r>
    </w:p>
    <w:p w14:paraId="5D5618F2" w14:textId="77777777" w:rsidR="00CE409C" w:rsidRDefault="00000000">
      <w:pPr>
        <w:spacing w:line="261" w:lineRule="auto"/>
        <w:rPr>
          <w:b/>
          <w:sz w:val="20"/>
          <w:szCs w:val="20"/>
          <w:highlight w:val="white"/>
        </w:rPr>
      </w:pPr>
      <w:r>
        <w:rPr>
          <w:b/>
          <w:sz w:val="20"/>
          <w:szCs w:val="20"/>
          <w:highlight w:val="white"/>
        </w:rPr>
        <w:t>GNSO Council Liaisons/Observers:</w:t>
      </w:r>
    </w:p>
    <w:p w14:paraId="4B07D1C8" w14:textId="77777777" w:rsidR="00CE409C" w:rsidRDefault="00000000">
      <w:pPr>
        <w:spacing w:line="261" w:lineRule="auto"/>
        <w:rPr>
          <w:sz w:val="20"/>
          <w:szCs w:val="20"/>
          <w:highlight w:val="white"/>
        </w:rPr>
      </w:pPr>
      <w:r>
        <w:rPr>
          <w:sz w:val="20"/>
          <w:szCs w:val="20"/>
          <w:highlight w:val="white"/>
        </w:rPr>
        <w:t xml:space="preserve">Justine Chew – ALAC Liaison </w:t>
      </w:r>
    </w:p>
    <w:p w14:paraId="0607C5A5" w14:textId="77777777" w:rsidR="00CE409C" w:rsidRDefault="00000000">
      <w:pPr>
        <w:spacing w:line="261" w:lineRule="auto"/>
        <w:rPr>
          <w:sz w:val="20"/>
          <w:szCs w:val="20"/>
          <w:highlight w:val="white"/>
        </w:rPr>
      </w:pPr>
      <w:r>
        <w:rPr>
          <w:sz w:val="20"/>
          <w:szCs w:val="20"/>
          <w:highlight w:val="white"/>
        </w:rPr>
        <w:t>Jeffrey Neuman– GNSO liaison to the GAC</w:t>
      </w:r>
    </w:p>
    <w:p w14:paraId="7335F233" w14:textId="77777777" w:rsidR="00CE409C" w:rsidRDefault="00000000">
      <w:pPr>
        <w:spacing w:line="261" w:lineRule="auto"/>
        <w:rPr>
          <w:sz w:val="20"/>
          <w:szCs w:val="20"/>
          <w:highlight w:val="white"/>
        </w:rPr>
      </w:pPr>
      <w:r>
        <w:rPr>
          <w:sz w:val="20"/>
          <w:szCs w:val="20"/>
          <w:highlight w:val="white"/>
        </w:rPr>
        <w:t>Maarten Simon – ccNSO observer</w:t>
      </w:r>
    </w:p>
    <w:p w14:paraId="7799959F" w14:textId="77777777" w:rsidR="00CE409C" w:rsidRDefault="00000000">
      <w:pPr>
        <w:spacing w:line="261" w:lineRule="auto"/>
        <w:rPr>
          <w:sz w:val="20"/>
          <w:szCs w:val="20"/>
          <w:highlight w:val="white"/>
        </w:rPr>
      </w:pPr>
      <w:r>
        <w:rPr>
          <w:sz w:val="20"/>
          <w:szCs w:val="20"/>
          <w:highlight w:val="white"/>
        </w:rPr>
        <w:t xml:space="preserve"> </w:t>
      </w:r>
    </w:p>
    <w:p w14:paraId="5A0DE1C8" w14:textId="77777777" w:rsidR="00CE409C" w:rsidRDefault="00000000">
      <w:pPr>
        <w:spacing w:line="261" w:lineRule="auto"/>
        <w:rPr>
          <w:sz w:val="20"/>
          <w:szCs w:val="20"/>
          <w:highlight w:val="white"/>
        </w:rPr>
      </w:pPr>
      <w:r>
        <w:rPr>
          <w:b/>
          <w:sz w:val="20"/>
          <w:szCs w:val="20"/>
          <w:highlight w:val="white"/>
        </w:rPr>
        <w:t>ICANN Staff</w:t>
      </w:r>
      <w:r>
        <w:rPr>
          <w:sz w:val="20"/>
          <w:szCs w:val="20"/>
          <w:highlight w:val="white"/>
        </w:rPr>
        <w:t xml:space="preserve"> </w:t>
      </w:r>
    </w:p>
    <w:p w14:paraId="619B9A95" w14:textId="77777777" w:rsidR="00CE409C" w:rsidRDefault="00000000">
      <w:pPr>
        <w:spacing w:line="331" w:lineRule="auto"/>
        <w:rPr>
          <w:sz w:val="20"/>
          <w:szCs w:val="20"/>
          <w:highlight w:val="white"/>
        </w:rPr>
      </w:pPr>
      <w:r>
        <w:rPr>
          <w:sz w:val="20"/>
          <w:szCs w:val="20"/>
          <w:highlight w:val="white"/>
        </w:rPr>
        <w:t>David Olive -Senior Vice President, Policy Development Support and Managing Manager, ICANN Regional</w:t>
      </w:r>
    </w:p>
    <w:p w14:paraId="298639AC" w14:textId="77777777" w:rsidR="00CE409C" w:rsidRDefault="00000000">
      <w:pPr>
        <w:spacing w:line="331" w:lineRule="auto"/>
        <w:rPr>
          <w:sz w:val="20"/>
          <w:szCs w:val="20"/>
          <w:highlight w:val="white"/>
        </w:rPr>
      </w:pPr>
      <w:r>
        <w:rPr>
          <w:sz w:val="20"/>
          <w:szCs w:val="20"/>
          <w:highlight w:val="white"/>
        </w:rPr>
        <w:t>Mary Wong – Vice President, Strategic Community Operations, Planning and Engagement</w:t>
      </w:r>
    </w:p>
    <w:p w14:paraId="1D5F3269" w14:textId="77777777" w:rsidR="00CE409C" w:rsidRDefault="00000000">
      <w:pPr>
        <w:spacing w:line="331" w:lineRule="auto"/>
        <w:rPr>
          <w:sz w:val="20"/>
          <w:szCs w:val="20"/>
          <w:highlight w:val="white"/>
        </w:rPr>
      </w:pPr>
      <w:r>
        <w:rPr>
          <w:sz w:val="20"/>
          <w:szCs w:val="20"/>
          <w:highlight w:val="white"/>
        </w:rPr>
        <w:t>Marika Konings - Vice President Policy Development Support</w:t>
      </w:r>
    </w:p>
    <w:p w14:paraId="681D9F17" w14:textId="77777777" w:rsidR="00CE409C" w:rsidRDefault="00000000">
      <w:pPr>
        <w:spacing w:line="331" w:lineRule="auto"/>
        <w:rPr>
          <w:sz w:val="20"/>
          <w:szCs w:val="20"/>
          <w:highlight w:val="white"/>
        </w:rPr>
      </w:pPr>
      <w:r>
        <w:rPr>
          <w:sz w:val="20"/>
          <w:szCs w:val="20"/>
          <w:highlight w:val="white"/>
        </w:rPr>
        <w:t xml:space="preserve">Julie Hedlund – Policy Development Support Director </w:t>
      </w:r>
    </w:p>
    <w:p w14:paraId="536D10FE" w14:textId="77777777" w:rsidR="00CE409C" w:rsidRDefault="00000000">
      <w:pPr>
        <w:spacing w:line="331" w:lineRule="auto"/>
        <w:rPr>
          <w:sz w:val="20"/>
          <w:szCs w:val="20"/>
          <w:highlight w:val="white"/>
        </w:rPr>
      </w:pPr>
      <w:r>
        <w:rPr>
          <w:sz w:val="20"/>
          <w:szCs w:val="20"/>
          <w:highlight w:val="white"/>
        </w:rPr>
        <w:t>Steve Chan – Senior Director</w:t>
      </w:r>
    </w:p>
    <w:p w14:paraId="1A31BFBC" w14:textId="77777777" w:rsidR="00CE409C" w:rsidRDefault="00000000">
      <w:pPr>
        <w:spacing w:line="331" w:lineRule="auto"/>
        <w:rPr>
          <w:sz w:val="20"/>
          <w:szCs w:val="20"/>
          <w:highlight w:val="white"/>
        </w:rPr>
      </w:pPr>
      <w:r>
        <w:rPr>
          <w:sz w:val="20"/>
          <w:szCs w:val="20"/>
          <w:highlight w:val="white"/>
        </w:rPr>
        <w:t>Berry Cobb – Snr. Program Manager for Policy Development</w:t>
      </w:r>
    </w:p>
    <w:p w14:paraId="01955283" w14:textId="77777777" w:rsidR="00CE409C" w:rsidRDefault="00000000">
      <w:pPr>
        <w:spacing w:line="331" w:lineRule="auto"/>
        <w:rPr>
          <w:sz w:val="20"/>
          <w:szCs w:val="20"/>
          <w:highlight w:val="white"/>
        </w:rPr>
      </w:pPr>
      <w:r>
        <w:rPr>
          <w:sz w:val="20"/>
          <w:szCs w:val="20"/>
          <w:highlight w:val="white"/>
        </w:rPr>
        <w:t>Emily Barabas – Policy Senior Manager</w:t>
      </w:r>
    </w:p>
    <w:p w14:paraId="588B1C71" w14:textId="77777777" w:rsidR="00CE409C" w:rsidRDefault="00000000">
      <w:pPr>
        <w:spacing w:line="331" w:lineRule="auto"/>
        <w:rPr>
          <w:sz w:val="20"/>
          <w:szCs w:val="20"/>
          <w:highlight w:val="white"/>
        </w:rPr>
      </w:pPr>
      <w:r>
        <w:rPr>
          <w:sz w:val="20"/>
          <w:szCs w:val="20"/>
          <w:highlight w:val="white"/>
        </w:rPr>
        <w:t>Ariel Liang – Policy Senior Specialist</w:t>
      </w:r>
    </w:p>
    <w:p w14:paraId="6BCF055F" w14:textId="77777777" w:rsidR="00CE409C" w:rsidRDefault="00000000">
      <w:pPr>
        <w:spacing w:line="331" w:lineRule="auto"/>
        <w:rPr>
          <w:sz w:val="20"/>
          <w:szCs w:val="20"/>
          <w:highlight w:val="white"/>
        </w:rPr>
      </w:pPr>
      <w:r>
        <w:rPr>
          <w:sz w:val="20"/>
          <w:szCs w:val="20"/>
          <w:highlight w:val="white"/>
        </w:rPr>
        <w:t>Caitlin Tubergen – Policy Director - apologies</w:t>
      </w:r>
    </w:p>
    <w:p w14:paraId="000E0F84" w14:textId="77777777" w:rsidR="00CE409C" w:rsidRDefault="00000000">
      <w:pPr>
        <w:spacing w:line="331" w:lineRule="auto"/>
        <w:rPr>
          <w:sz w:val="20"/>
          <w:szCs w:val="20"/>
          <w:highlight w:val="white"/>
        </w:rPr>
      </w:pPr>
      <w:r>
        <w:rPr>
          <w:sz w:val="20"/>
          <w:szCs w:val="20"/>
          <w:highlight w:val="white"/>
        </w:rPr>
        <w:t>Terri Agnew - Operations Support, Lead Administrator</w:t>
      </w:r>
    </w:p>
    <w:p w14:paraId="3675F420" w14:textId="77777777" w:rsidR="00CE409C" w:rsidRDefault="00000000">
      <w:pPr>
        <w:spacing w:line="331" w:lineRule="auto"/>
        <w:rPr>
          <w:sz w:val="20"/>
          <w:szCs w:val="20"/>
          <w:highlight w:val="white"/>
        </w:rPr>
      </w:pPr>
      <w:r>
        <w:rPr>
          <w:sz w:val="20"/>
          <w:szCs w:val="20"/>
          <w:highlight w:val="white"/>
        </w:rPr>
        <w:t>Nathalie Peregrine – Manager, Operations GNSO</w:t>
      </w:r>
    </w:p>
    <w:p w14:paraId="662339CE" w14:textId="77777777" w:rsidR="00CE409C" w:rsidRDefault="00000000">
      <w:pPr>
        <w:spacing w:line="261" w:lineRule="auto"/>
        <w:rPr>
          <w:sz w:val="20"/>
          <w:szCs w:val="20"/>
          <w:highlight w:val="white"/>
        </w:rPr>
      </w:pPr>
      <w:r>
        <w:rPr>
          <w:sz w:val="20"/>
          <w:szCs w:val="20"/>
          <w:highlight w:val="white"/>
        </w:rPr>
        <w:t xml:space="preserve"> </w:t>
      </w:r>
    </w:p>
    <w:p w14:paraId="706D7491" w14:textId="77777777" w:rsidR="00CE409C" w:rsidRDefault="00000000">
      <w:pPr>
        <w:rPr>
          <w:sz w:val="20"/>
          <w:szCs w:val="20"/>
        </w:rPr>
      </w:pPr>
      <w:hyperlink r:id="rId8">
        <w:r>
          <w:rPr>
            <w:color w:val="1155CC"/>
            <w:sz w:val="20"/>
            <w:szCs w:val="20"/>
            <w:u w:val="single"/>
          </w:rPr>
          <w:t>Zoom recording</w:t>
        </w:r>
      </w:hyperlink>
    </w:p>
    <w:p w14:paraId="321DCB9F" w14:textId="77777777" w:rsidR="00CE409C" w:rsidRDefault="00000000">
      <w:pPr>
        <w:rPr>
          <w:sz w:val="20"/>
          <w:szCs w:val="20"/>
          <w:highlight w:val="white"/>
        </w:rPr>
      </w:pPr>
      <w:hyperlink r:id="rId9">
        <w:r>
          <w:rPr>
            <w:color w:val="1155CC"/>
            <w:sz w:val="20"/>
            <w:szCs w:val="20"/>
            <w:highlight w:val="white"/>
            <w:u w:val="single"/>
          </w:rPr>
          <w:t>Transcript</w:t>
        </w:r>
      </w:hyperlink>
    </w:p>
    <w:p w14:paraId="3C1970CC" w14:textId="77777777" w:rsidR="00CE409C" w:rsidRDefault="00CE409C">
      <w:pPr>
        <w:shd w:val="clear" w:color="auto" w:fill="FFFFFF"/>
        <w:spacing w:before="160"/>
        <w:rPr>
          <w:b/>
          <w:u w:val="single"/>
        </w:rPr>
      </w:pPr>
    </w:p>
    <w:p w14:paraId="37091A60" w14:textId="77777777" w:rsidR="00CE409C" w:rsidRDefault="00000000">
      <w:pPr>
        <w:shd w:val="clear" w:color="auto" w:fill="FFFFFF"/>
        <w:spacing w:before="160"/>
        <w:rPr>
          <w:b/>
          <w:u w:val="single"/>
        </w:rPr>
      </w:pPr>
      <w:r>
        <w:rPr>
          <w:b/>
          <w:u w:val="single"/>
        </w:rPr>
        <w:t xml:space="preserve">Item 1. Seating of the 2022 / 2023 Council </w:t>
      </w:r>
    </w:p>
    <w:p w14:paraId="7345ADAA" w14:textId="77777777" w:rsidR="00CE409C" w:rsidRDefault="00000000">
      <w:pPr>
        <w:shd w:val="clear" w:color="auto" w:fill="FFFFFF"/>
        <w:spacing w:before="160"/>
        <w:rPr>
          <w:sz w:val="20"/>
          <w:szCs w:val="20"/>
        </w:rPr>
      </w:pPr>
      <w:r>
        <w:rPr>
          <w:sz w:val="20"/>
          <w:szCs w:val="20"/>
        </w:rPr>
        <w:lastRenderedPageBreak/>
        <w:t>1.1 - Roll Call</w:t>
      </w:r>
    </w:p>
    <w:p w14:paraId="532435F6" w14:textId="77777777" w:rsidR="00CE409C" w:rsidRDefault="00000000">
      <w:pPr>
        <w:shd w:val="clear" w:color="auto" w:fill="FFFFFF"/>
        <w:spacing w:before="160"/>
        <w:rPr>
          <w:sz w:val="20"/>
          <w:szCs w:val="20"/>
        </w:rPr>
      </w:pPr>
      <w:r>
        <w:rPr>
          <w:sz w:val="20"/>
          <w:szCs w:val="20"/>
        </w:rPr>
        <w:t>1.2 - Statements of Interest</w:t>
      </w:r>
    </w:p>
    <w:p w14:paraId="2F370B17" w14:textId="77777777" w:rsidR="00CE409C" w:rsidRDefault="00000000">
      <w:pPr>
        <w:shd w:val="clear" w:color="auto" w:fill="FFFFFF"/>
        <w:spacing w:before="160"/>
        <w:rPr>
          <w:sz w:val="20"/>
          <w:szCs w:val="20"/>
        </w:rPr>
      </w:pPr>
      <w:r>
        <w:rPr>
          <w:color w:val="353535"/>
          <w:sz w:val="20"/>
          <w:szCs w:val="20"/>
        </w:rPr>
        <w:t>Statements of interest were received from the new Councilors:</w:t>
      </w:r>
    </w:p>
    <w:p w14:paraId="6DB13A55" w14:textId="77777777" w:rsidR="00CE409C" w:rsidRDefault="00000000">
      <w:pPr>
        <w:shd w:val="clear" w:color="auto" w:fill="FFFFFF"/>
        <w:spacing w:before="160" w:line="240" w:lineRule="auto"/>
        <w:rPr>
          <w:sz w:val="20"/>
          <w:szCs w:val="20"/>
        </w:rPr>
      </w:pPr>
      <w:r>
        <w:rPr>
          <w:sz w:val="20"/>
          <w:szCs w:val="20"/>
        </w:rPr>
        <w:t>Anne Aikman-Scalese</w:t>
      </w:r>
      <w:r>
        <w:rPr>
          <w:color w:val="172B4D"/>
          <w:sz w:val="20"/>
          <w:szCs w:val="20"/>
        </w:rPr>
        <w:t xml:space="preserve">: </w:t>
      </w:r>
      <w:hyperlink r:id="rId10">
        <w:r>
          <w:rPr>
            <w:color w:val="0052CC"/>
            <w:sz w:val="20"/>
            <w:szCs w:val="20"/>
            <w:u w:val="single"/>
          </w:rPr>
          <w:t>SOI</w:t>
        </w:r>
      </w:hyperlink>
      <w:r>
        <w:rPr>
          <w:color w:val="172B4D"/>
          <w:sz w:val="20"/>
          <w:szCs w:val="20"/>
        </w:rPr>
        <w:t xml:space="preserve"> </w:t>
      </w:r>
      <w:r>
        <w:rPr>
          <w:sz w:val="20"/>
          <w:szCs w:val="20"/>
        </w:rPr>
        <w:t>Non-Voting NomCom Appointee</w:t>
      </w:r>
    </w:p>
    <w:p w14:paraId="4317CBEF" w14:textId="77777777" w:rsidR="00CE409C" w:rsidRDefault="00000000">
      <w:pPr>
        <w:shd w:val="clear" w:color="auto" w:fill="FFFFFF"/>
        <w:spacing w:before="160" w:line="240" w:lineRule="auto"/>
        <w:rPr>
          <w:sz w:val="20"/>
          <w:szCs w:val="20"/>
        </w:rPr>
      </w:pPr>
      <w:r>
        <w:rPr>
          <w:sz w:val="20"/>
          <w:szCs w:val="20"/>
        </w:rPr>
        <w:t>Bruna Martins dos Santos:</w:t>
      </w:r>
      <w:r>
        <w:rPr>
          <w:color w:val="172B4D"/>
          <w:sz w:val="20"/>
          <w:szCs w:val="20"/>
        </w:rPr>
        <w:t xml:space="preserve"> </w:t>
      </w:r>
      <w:hyperlink r:id="rId11">
        <w:r>
          <w:rPr>
            <w:color w:val="0052CC"/>
            <w:sz w:val="20"/>
            <w:szCs w:val="20"/>
            <w:u w:val="single"/>
          </w:rPr>
          <w:t>SOI</w:t>
        </w:r>
      </w:hyperlink>
      <w:r>
        <w:rPr>
          <w:color w:val="172B4D"/>
          <w:sz w:val="20"/>
          <w:szCs w:val="20"/>
        </w:rPr>
        <w:t xml:space="preserve"> </w:t>
      </w:r>
      <w:r>
        <w:rPr>
          <w:sz w:val="20"/>
          <w:szCs w:val="20"/>
        </w:rPr>
        <w:t>Non-Commercial Stakeholder Group (NCSG)</w:t>
      </w:r>
    </w:p>
    <w:p w14:paraId="02F76FD0" w14:textId="77777777" w:rsidR="00CE409C" w:rsidRDefault="00000000">
      <w:pPr>
        <w:shd w:val="clear" w:color="auto" w:fill="FFFFFF"/>
        <w:spacing w:before="160" w:line="240" w:lineRule="auto"/>
        <w:rPr>
          <w:sz w:val="20"/>
          <w:szCs w:val="20"/>
        </w:rPr>
      </w:pPr>
      <w:r>
        <w:rPr>
          <w:sz w:val="20"/>
          <w:szCs w:val="20"/>
        </w:rPr>
        <w:t>Nacho Amadoz</w:t>
      </w:r>
      <w:r>
        <w:rPr>
          <w:color w:val="172B4D"/>
          <w:sz w:val="20"/>
          <w:szCs w:val="20"/>
        </w:rPr>
        <w:t xml:space="preserve">: </w:t>
      </w:r>
      <w:hyperlink r:id="rId12">
        <w:r>
          <w:rPr>
            <w:color w:val="0052CC"/>
            <w:sz w:val="20"/>
            <w:szCs w:val="20"/>
            <w:u w:val="single"/>
          </w:rPr>
          <w:t>SOI</w:t>
        </w:r>
      </w:hyperlink>
      <w:r>
        <w:rPr>
          <w:color w:val="172B4D"/>
          <w:sz w:val="20"/>
          <w:szCs w:val="20"/>
        </w:rPr>
        <w:t xml:space="preserve"> </w:t>
      </w:r>
      <w:r>
        <w:rPr>
          <w:sz w:val="20"/>
          <w:szCs w:val="20"/>
        </w:rPr>
        <w:t>Registries Stakeholder Group (RySG)</w:t>
      </w:r>
    </w:p>
    <w:p w14:paraId="698925D3" w14:textId="77777777" w:rsidR="00CE409C" w:rsidRDefault="00000000">
      <w:pPr>
        <w:shd w:val="clear" w:color="auto" w:fill="FFFFFF"/>
        <w:spacing w:before="160" w:line="240" w:lineRule="auto"/>
        <w:rPr>
          <w:sz w:val="20"/>
          <w:szCs w:val="20"/>
        </w:rPr>
      </w:pPr>
      <w:r>
        <w:rPr>
          <w:sz w:val="20"/>
          <w:szCs w:val="20"/>
        </w:rPr>
        <w:t>Osvaldo Novoa</w:t>
      </w:r>
      <w:r>
        <w:rPr>
          <w:color w:val="172B4D"/>
          <w:sz w:val="20"/>
          <w:szCs w:val="20"/>
        </w:rPr>
        <w:t xml:space="preserve">: </w:t>
      </w:r>
      <w:hyperlink r:id="rId13">
        <w:r>
          <w:rPr>
            <w:color w:val="0052CC"/>
            <w:sz w:val="20"/>
            <w:szCs w:val="20"/>
            <w:u w:val="single"/>
          </w:rPr>
          <w:t>SOI</w:t>
        </w:r>
      </w:hyperlink>
      <w:r>
        <w:rPr>
          <w:color w:val="172B4D"/>
          <w:sz w:val="20"/>
          <w:szCs w:val="20"/>
        </w:rPr>
        <w:t xml:space="preserve"> </w:t>
      </w:r>
      <w:r>
        <w:rPr>
          <w:sz w:val="20"/>
          <w:szCs w:val="20"/>
        </w:rPr>
        <w:t>Internet Service Providers and Connectivity Providers (ISPCP)</w:t>
      </w:r>
    </w:p>
    <w:p w14:paraId="4D7CF063" w14:textId="77777777" w:rsidR="00CE409C" w:rsidRDefault="00000000">
      <w:pPr>
        <w:shd w:val="clear" w:color="auto" w:fill="FFFFFF"/>
        <w:spacing w:before="160" w:line="240" w:lineRule="auto"/>
        <w:rPr>
          <w:sz w:val="20"/>
          <w:szCs w:val="20"/>
        </w:rPr>
      </w:pPr>
      <w:r>
        <w:rPr>
          <w:sz w:val="20"/>
          <w:szCs w:val="20"/>
        </w:rPr>
        <w:t>Susan Payne</w:t>
      </w:r>
      <w:r>
        <w:rPr>
          <w:color w:val="172B4D"/>
          <w:sz w:val="20"/>
          <w:szCs w:val="20"/>
        </w:rPr>
        <w:t xml:space="preserve">: </w:t>
      </w:r>
      <w:hyperlink r:id="rId14">
        <w:r>
          <w:rPr>
            <w:color w:val="0052CC"/>
            <w:sz w:val="20"/>
            <w:szCs w:val="20"/>
            <w:u w:val="single"/>
          </w:rPr>
          <w:t>SOI</w:t>
        </w:r>
      </w:hyperlink>
      <w:r>
        <w:rPr>
          <w:color w:val="172B4D"/>
          <w:sz w:val="20"/>
          <w:szCs w:val="20"/>
        </w:rPr>
        <w:t xml:space="preserve"> </w:t>
      </w:r>
      <w:r>
        <w:rPr>
          <w:sz w:val="20"/>
          <w:szCs w:val="20"/>
        </w:rPr>
        <w:t xml:space="preserve">Intellectual Property Constituency (IPC) </w:t>
      </w:r>
    </w:p>
    <w:p w14:paraId="4D1EE38D" w14:textId="77777777" w:rsidR="00CE409C" w:rsidRDefault="00000000">
      <w:pPr>
        <w:shd w:val="clear" w:color="auto" w:fill="FFFFFF"/>
        <w:spacing w:before="160" w:line="240" w:lineRule="auto"/>
        <w:rPr>
          <w:sz w:val="20"/>
          <w:szCs w:val="20"/>
        </w:rPr>
      </w:pPr>
      <w:r>
        <w:rPr>
          <w:sz w:val="20"/>
          <w:szCs w:val="20"/>
        </w:rPr>
        <w:t xml:space="preserve">Incoming councilors introduced themselves to fellow councilors in a few words. </w:t>
      </w:r>
    </w:p>
    <w:p w14:paraId="350C6D0B" w14:textId="77777777" w:rsidR="00CE409C" w:rsidRDefault="00CE409C">
      <w:pPr>
        <w:shd w:val="clear" w:color="auto" w:fill="FFFFFF"/>
        <w:spacing w:before="160" w:line="240" w:lineRule="auto"/>
        <w:rPr>
          <w:sz w:val="20"/>
          <w:szCs w:val="20"/>
        </w:rPr>
      </w:pPr>
    </w:p>
    <w:p w14:paraId="38C00A26" w14:textId="77777777" w:rsidR="00CE409C" w:rsidRDefault="00000000">
      <w:pPr>
        <w:shd w:val="clear" w:color="auto" w:fill="FFFFFF"/>
        <w:spacing w:before="160" w:line="240" w:lineRule="auto"/>
        <w:rPr>
          <w:sz w:val="20"/>
          <w:szCs w:val="20"/>
        </w:rPr>
      </w:pPr>
      <w:r>
        <w:rPr>
          <w:b/>
          <w:sz w:val="20"/>
          <w:szCs w:val="20"/>
        </w:rPr>
        <w:t>Philippe Fouquart</w:t>
      </w:r>
      <w:r>
        <w:rPr>
          <w:sz w:val="20"/>
          <w:szCs w:val="20"/>
        </w:rPr>
        <w:t xml:space="preserve">, </w:t>
      </w:r>
      <w:r>
        <w:rPr>
          <w:b/>
          <w:sz w:val="20"/>
          <w:szCs w:val="20"/>
        </w:rPr>
        <w:t>outgoing GNSO Chair,</w:t>
      </w:r>
      <w:r>
        <w:rPr>
          <w:sz w:val="20"/>
          <w:szCs w:val="20"/>
        </w:rPr>
        <w:t xml:space="preserve"> chaired the first portion of the call, and welcomed all incoming councilors to the 2022-2023 Council. </w:t>
      </w:r>
    </w:p>
    <w:p w14:paraId="3A5234C3" w14:textId="77777777" w:rsidR="00CE409C" w:rsidRDefault="00CE409C">
      <w:pPr>
        <w:shd w:val="clear" w:color="auto" w:fill="FFFFFF"/>
        <w:spacing w:before="160"/>
        <w:rPr>
          <w:sz w:val="20"/>
          <w:szCs w:val="20"/>
        </w:rPr>
      </w:pPr>
    </w:p>
    <w:p w14:paraId="7EBEF853" w14:textId="77777777" w:rsidR="00CE409C" w:rsidRDefault="00000000">
      <w:pPr>
        <w:shd w:val="clear" w:color="auto" w:fill="FFFFFF"/>
        <w:spacing w:before="160"/>
        <w:rPr>
          <w:sz w:val="20"/>
          <w:szCs w:val="20"/>
        </w:rPr>
      </w:pPr>
      <w:r>
        <w:rPr>
          <w:sz w:val="20"/>
          <w:szCs w:val="20"/>
        </w:rPr>
        <w:t>1.3 - Review / Amend Agenda</w:t>
      </w:r>
    </w:p>
    <w:p w14:paraId="7F498009" w14:textId="77777777" w:rsidR="00CE409C" w:rsidRDefault="00000000">
      <w:pPr>
        <w:shd w:val="clear" w:color="auto" w:fill="FFFFFF"/>
        <w:spacing w:before="160"/>
        <w:rPr>
          <w:sz w:val="20"/>
          <w:szCs w:val="20"/>
        </w:rPr>
      </w:pPr>
      <w:r>
        <w:rPr>
          <w:sz w:val="20"/>
          <w:szCs w:val="20"/>
        </w:rPr>
        <w:t>The agenda was accepted without change.</w:t>
      </w:r>
    </w:p>
    <w:p w14:paraId="41C1CB16" w14:textId="77777777" w:rsidR="00CE409C" w:rsidRDefault="00CE409C">
      <w:pPr>
        <w:shd w:val="clear" w:color="auto" w:fill="FFFFFF"/>
        <w:spacing w:before="160"/>
      </w:pPr>
    </w:p>
    <w:p w14:paraId="4298E189" w14:textId="77777777" w:rsidR="00CE409C" w:rsidRDefault="00000000">
      <w:pPr>
        <w:shd w:val="clear" w:color="auto" w:fill="FFFFFF"/>
        <w:spacing w:before="160"/>
        <w:rPr>
          <w:b/>
          <w:u w:val="single"/>
        </w:rPr>
      </w:pPr>
      <w:r>
        <w:rPr>
          <w:b/>
          <w:u w:val="single"/>
        </w:rPr>
        <w:t>Item 2. Election of the Chair</w:t>
      </w:r>
    </w:p>
    <w:p w14:paraId="7E1116BD" w14:textId="77777777" w:rsidR="00CE409C" w:rsidRDefault="00000000">
      <w:pPr>
        <w:shd w:val="clear" w:color="auto" w:fill="FFFFFF"/>
        <w:spacing w:before="160"/>
        <w:rPr>
          <w:sz w:val="20"/>
          <w:szCs w:val="20"/>
        </w:rPr>
      </w:pPr>
      <w:r>
        <w:rPr>
          <w:sz w:val="20"/>
          <w:szCs w:val="20"/>
        </w:rPr>
        <w:t xml:space="preserve">One nomination was received for this position, Sebastien Ducos who </w:t>
      </w:r>
      <w:r>
        <w:rPr>
          <w:sz w:val="20"/>
          <w:szCs w:val="20"/>
          <w:highlight w:val="white"/>
        </w:rPr>
        <w:t>circulated his</w:t>
      </w:r>
      <w:hyperlink r:id="rId15">
        <w:r>
          <w:rPr>
            <w:color w:val="1155CC"/>
            <w:sz w:val="20"/>
            <w:szCs w:val="20"/>
            <w:highlight w:val="white"/>
            <w:u w:val="single"/>
          </w:rPr>
          <w:t xml:space="preserve"> candidate statement</w:t>
        </w:r>
      </w:hyperlink>
      <w:r>
        <w:rPr>
          <w:color w:val="172B4D"/>
          <w:sz w:val="20"/>
          <w:szCs w:val="20"/>
          <w:highlight w:val="white"/>
        </w:rPr>
        <w:t xml:space="preserve"> </w:t>
      </w:r>
      <w:r>
        <w:rPr>
          <w:sz w:val="20"/>
          <w:szCs w:val="20"/>
          <w:highlight w:val="white"/>
        </w:rPr>
        <w:t xml:space="preserve">to the GNSO Council on 12 September 2022. </w:t>
      </w:r>
    </w:p>
    <w:p w14:paraId="70A245EC" w14:textId="77777777" w:rsidR="00CE409C" w:rsidRDefault="00000000">
      <w:pPr>
        <w:shd w:val="clear" w:color="auto" w:fill="FFFFFF"/>
        <w:spacing w:before="160"/>
        <w:rPr>
          <w:sz w:val="20"/>
          <w:szCs w:val="20"/>
        </w:rPr>
      </w:pPr>
      <w:r>
        <w:rPr>
          <w:b/>
          <w:sz w:val="20"/>
          <w:szCs w:val="20"/>
        </w:rPr>
        <w:t xml:space="preserve">Philippe Fouquart </w:t>
      </w:r>
      <w:r>
        <w:rPr>
          <w:sz w:val="20"/>
          <w:szCs w:val="20"/>
        </w:rPr>
        <w:t xml:space="preserve">reminded councilors that given Sebastien Ducos was an uncontested candidate for the  GNSO Chair, voting via closed ballot, as is tradition during face-to face sessions, had been discarded by Council leadership in favor of an open roll call vote. This procedure had received no objection on the GNSO Council mailing list. </w:t>
      </w:r>
    </w:p>
    <w:p w14:paraId="1C6152EA" w14:textId="77777777" w:rsidR="00CE409C" w:rsidRDefault="00000000">
      <w:pPr>
        <w:shd w:val="clear" w:color="auto" w:fill="FFFFFF"/>
        <w:spacing w:before="160"/>
        <w:rPr>
          <w:sz w:val="20"/>
          <w:szCs w:val="20"/>
        </w:rPr>
      </w:pPr>
      <w:r>
        <w:rPr>
          <w:sz w:val="20"/>
          <w:szCs w:val="20"/>
        </w:rPr>
        <w:t xml:space="preserve">The Council proceeded to elect the chair according to the GNSO Operating Procedures: </w:t>
      </w:r>
    </w:p>
    <w:p w14:paraId="5CB6AF4D" w14:textId="77777777" w:rsidR="00CE409C" w:rsidRDefault="00000000">
      <w:pPr>
        <w:shd w:val="clear" w:color="auto" w:fill="FFFFFF"/>
        <w:spacing w:before="160"/>
        <w:rPr>
          <w:b/>
          <w:color w:val="353535"/>
          <w:sz w:val="20"/>
          <w:szCs w:val="20"/>
        </w:rPr>
      </w:pPr>
      <w:r>
        <w:rPr>
          <w:b/>
          <w:color w:val="353535"/>
          <w:sz w:val="20"/>
          <w:szCs w:val="20"/>
        </w:rPr>
        <w:t>GNSO OPERATING PROCEDURES</w:t>
      </w:r>
    </w:p>
    <w:p w14:paraId="67700412" w14:textId="77777777" w:rsidR="00CE409C" w:rsidRDefault="00000000">
      <w:pPr>
        <w:shd w:val="clear" w:color="auto" w:fill="FFFFFF"/>
        <w:spacing w:before="160"/>
        <w:rPr>
          <w:color w:val="353535"/>
          <w:sz w:val="20"/>
          <w:szCs w:val="20"/>
        </w:rPr>
      </w:pPr>
      <w:hyperlink r:id="rId16">
        <w:r>
          <w:rPr>
            <w:color w:val="1155CC"/>
            <w:sz w:val="20"/>
            <w:szCs w:val="20"/>
            <w:u w:val="single"/>
          </w:rPr>
          <w:t>https://gnso.icann.org/sites/default/files/file/field-file-attach/op-procedures-24oct19-en.pdf</w:t>
        </w:r>
      </w:hyperlink>
      <w:r>
        <w:rPr>
          <w:color w:val="353535"/>
          <w:sz w:val="20"/>
          <w:szCs w:val="20"/>
        </w:rPr>
        <w:t xml:space="preserve"> </w:t>
      </w:r>
    </w:p>
    <w:p w14:paraId="4F592458" w14:textId="77777777" w:rsidR="00CE409C" w:rsidRDefault="00000000">
      <w:pPr>
        <w:shd w:val="clear" w:color="auto" w:fill="FFFFFF"/>
        <w:spacing w:before="160"/>
        <w:rPr>
          <w:sz w:val="20"/>
          <w:szCs w:val="20"/>
          <w:u w:val="single"/>
        </w:rPr>
      </w:pPr>
      <w:r>
        <w:rPr>
          <w:sz w:val="20"/>
          <w:szCs w:val="20"/>
          <w:u w:val="single"/>
        </w:rPr>
        <w:t>Section 2.2 Officer Elections: Chair and Vice-Chairs</w:t>
      </w:r>
    </w:p>
    <w:p w14:paraId="29D41CD6" w14:textId="77777777" w:rsidR="00CE409C" w:rsidRDefault="00000000">
      <w:pPr>
        <w:shd w:val="clear" w:color="auto" w:fill="FFFFFF"/>
        <w:spacing w:before="160"/>
        <w:rPr>
          <w:sz w:val="20"/>
          <w:szCs w:val="20"/>
        </w:rPr>
      </w:pPr>
      <w:r>
        <w:rPr>
          <w:sz w:val="20"/>
          <w:szCs w:val="20"/>
        </w:rPr>
        <w:t>The roll call vote was done by open ballot which had two options:</w:t>
      </w:r>
    </w:p>
    <w:p w14:paraId="4963018D" w14:textId="77777777" w:rsidR="00CE409C" w:rsidRDefault="00000000">
      <w:pPr>
        <w:shd w:val="clear" w:color="auto" w:fill="FFFFFF"/>
        <w:spacing w:before="160"/>
        <w:rPr>
          <w:sz w:val="20"/>
          <w:szCs w:val="20"/>
        </w:rPr>
      </w:pPr>
      <w:r>
        <w:rPr>
          <w:sz w:val="20"/>
          <w:szCs w:val="20"/>
        </w:rPr>
        <w:t>[] Sebastien Ducos</w:t>
      </w:r>
    </w:p>
    <w:p w14:paraId="763F66D2" w14:textId="77777777" w:rsidR="00CE409C" w:rsidRDefault="00000000">
      <w:pPr>
        <w:shd w:val="clear" w:color="auto" w:fill="FFFFFF"/>
        <w:spacing w:before="160"/>
        <w:rPr>
          <w:sz w:val="20"/>
          <w:szCs w:val="20"/>
        </w:rPr>
      </w:pPr>
      <w:r>
        <w:rPr>
          <w:sz w:val="20"/>
          <w:szCs w:val="20"/>
        </w:rPr>
        <w:t>[] None of the Above</w:t>
      </w:r>
    </w:p>
    <w:p w14:paraId="79587601" w14:textId="77777777" w:rsidR="00CE409C" w:rsidRDefault="00000000">
      <w:pPr>
        <w:shd w:val="clear" w:color="auto" w:fill="FFFFFF"/>
        <w:spacing w:before="160"/>
        <w:rPr>
          <w:sz w:val="20"/>
          <w:szCs w:val="20"/>
        </w:rPr>
      </w:pPr>
      <w:r>
        <w:rPr>
          <w:b/>
          <w:sz w:val="20"/>
          <w:szCs w:val="20"/>
        </w:rPr>
        <w:t>Nathalie Peregrine</w:t>
      </w:r>
      <w:r>
        <w:rPr>
          <w:sz w:val="20"/>
          <w:szCs w:val="20"/>
        </w:rPr>
        <w:t>, ICANN Org, tallied the votes.</w:t>
      </w:r>
    </w:p>
    <w:p w14:paraId="51B3FDF9" w14:textId="77777777" w:rsidR="00CE409C" w:rsidRDefault="00000000">
      <w:pPr>
        <w:shd w:val="clear" w:color="auto" w:fill="FFFFFF"/>
        <w:spacing w:before="160"/>
        <w:rPr>
          <w:color w:val="353535"/>
          <w:sz w:val="20"/>
          <w:szCs w:val="20"/>
        </w:rPr>
      </w:pPr>
      <w:r>
        <w:rPr>
          <w:color w:val="353535"/>
          <w:sz w:val="20"/>
          <w:szCs w:val="20"/>
        </w:rPr>
        <w:t>The results of the election were:</w:t>
      </w:r>
    </w:p>
    <w:p w14:paraId="01230BCF" w14:textId="77777777" w:rsidR="00CE409C" w:rsidRDefault="00CE409C">
      <w:pPr>
        <w:rPr>
          <w:color w:val="353535"/>
          <w:sz w:val="20"/>
          <w:szCs w:val="20"/>
        </w:rPr>
      </w:pPr>
    </w:p>
    <w:tbl>
      <w:tblPr>
        <w:tblStyle w:val="a"/>
        <w:tblW w:w="5850" w:type="dxa"/>
        <w:tblBorders>
          <w:top w:val="nil"/>
          <w:left w:val="nil"/>
          <w:bottom w:val="nil"/>
          <w:right w:val="nil"/>
          <w:insideH w:val="nil"/>
          <w:insideV w:val="nil"/>
        </w:tblBorders>
        <w:tblLayout w:type="fixed"/>
        <w:tblLook w:val="0600" w:firstRow="0" w:lastRow="0" w:firstColumn="0" w:lastColumn="0" w:noHBand="1" w:noVBand="1"/>
      </w:tblPr>
      <w:tblGrid>
        <w:gridCol w:w="1080"/>
        <w:gridCol w:w="2385"/>
        <w:gridCol w:w="2385"/>
      </w:tblGrid>
      <w:tr w:rsidR="00CE409C" w14:paraId="451E4F22" w14:textId="77777777">
        <w:trPr>
          <w:trHeight w:val="400"/>
        </w:trPr>
        <w:tc>
          <w:tcPr>
            <w:tcW w:w="1080" w:type="dxa"/>
            <w:tcBorders>
              <w:top w:val="nil"/>
              <w:left w:val="nil"/>
              <w:bottom w:val="nil"/>
              <w:right w:val="nil"/>
            </w:tcBorders>
            <w:tcMar>
              <w:top w:w="20" w:type="dxa"/>
              <w:left w:w="20" w:type="dxa"/>
              <w:bottom w:w="100" w:type="dxa"/>
              <w:right w:w="20" w:type="dxa"/>
            </w:tcMar>
            <w:vAlign w:val="bottom"/>
          </w:tcPr>
          <w:p w14:paraId="3888A937" w14:textId="77777777" w:rsidR="00CE409C" w:rsidRDefault="00CE409C">
            <w:pPr>
              <w:widowControl w:val="0"/>
              <w:pBdr>
                <w:top w:val="nil"/>
                <w:left w:val="nil"/>
                <w:bottom w:val="nil"/>
                <w:right w:val="nil"/>
                <w:between w:val="nil"/>
              </w:pBd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6DD0727A" w14:textId="77777777" w:rsidR="00CE409C" w:rsidRDefault="00CE409C">
            <w:pPr>
              <w:widowControl w:val="0"/>
              <w:pBdr>
                <w:top w:val="nil"/>
                <w:left w:val="nil"/>
                <w:bottom w:val="nil"/>
                <w:right w:val="nil"/>
                <w:between w:val="nil"/>
              </w:pBd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70C4B345" w14:textId="77777777" w:rsidR="00CE409C" w:rsidRDefault="00CE409C">
            <w:pPr>
              <w:widowControl w:val="0"/>
              <w:pBdr>
                <w:top w:val="nil"/>
                <w:left w:val="nil"/>
                <w:bottom w:val="nil"/>
                <w:right w:val="nil"/>
                <w:between w:val="nil"/>
              </w:pBdr>
              <w:rPr>
                <w:sz w:val="20"/>
                <w:szCs w:val="20"/>
                <w:highlight w:val="white"/>
              </w:rPr>
            </w:pPr>
          </w:p>
        </w:tc>
      </w:tr>
      <w:tr w:rsidR="00CE409C" w14:paraId="718F67B1" w14:textId="77777777">
        <w:trPr>
          <w:trHeight w:val="400"/>
        </w:trPr>
        <w:tc>
          <w:tcPr>
            <w:tcW w:w="1080" w:type="dxa"/>
            <w:tcBorders>
              <w:top w:val="nil"/>
              <w:left w:val="nil"/>
              <w:bottom w:val="nil"/>
              <w:right w:val="nil"/>
            </w:tcBorders>
            <w:tcMar>
              <w:top w:w="20" w:type="dxa"/>
              <w:left w:w="20" w:type="dxa"/>
              <w:bottom w:w="100" w:type="dxa"/>
              <w:right w:w="20" w:type="dxa"/>
            </w:tcMar>
            <w:vAlign w:val="bottom"/>
          </w:tcPr>
          <w:p w14:paraId="36CEA8F0" w14:textId="77777777" w:rsidR="00CE409C" w:rsidRDefault="00CE409C">
            <w:pPr>
              <w:widowControl w:val="0"/>
              <w:pBdr>
                <w:top w:val="nil"/>
                <w:left w:val="nil"/>
                <w:bottom w:val="nil"/>
                <w:right w:val="nil"/>
                <w:between w:val="nil"/>
              </w:pBdr>
              <w:rPr>
                <w:sz w:val="20"/>
                <w:szCs w:val="20"/>
                <w:highlight w:val="white"/>
              </w:rPr>
            </w:pPr>
          </w:p>
        </w:tc>
        <w:tc>
          <w:tcPr>
            <w:tcW w:w="2385" w:type="dxa"/>
            <w:tcBorders>
              <w:top w:val="single" w:sz="6" w:space="0" w:color="000000"/>
              <w:left w:val="single" w:sz="6" w:space="0" w:color="000000"/>
              <w:bottom w:val="single" w:sz="6" w:space="0" w:color="000000"/>
              <w:right w:val="single" w:sz="6" w:space="0" w:color="000000"/>
            </w:tcBorders>
            <w:shd w:val="clear" w:color="auto" w:fill="BFBFBF"/>
            <w:tcMar>
              <w:top w:w="20" w:type="dxa"/>
              <w:left w:w="20" w:type="dxa"/>
              <w:bottom w:w="100" w:type="dxa"/>
              <w:right w:w="20" w:type="dxa"/>
            </w:tcMar>
            <w:vAlign w:val="center"/>
          </w:tcPr>
          <w:p w14:paraId="3133D402" w14:textId="77777777" w:rsidR="00CE409C" w:rsidRDefault="00000000">
            <w:pPr>
              <w:jc w:val="center"/>
              <w:rPr>
                <w:sz w:val="20"/>
                <w:szCs w:val="20"/>
                <w:highlight w:val="white"/>
              </w:rPr>
            </w:pPr>
            <w:r>
              <w:rPr>
                <w:rFonts w:ascii="Calibri" w:eastAsia="Calibri" w:hAnsi="Calibri" w:cs="Calibri"/>
                <w:b/>
                <w:highlight w:val="white"/>
              </w:rPr>
              <w:t>Candidate 1</w:t>
            </w:r>
          </w:p>
        </w:tc>
        <w:tc>
          <w:tcPr>
            <w:tcW w:w="2385" w:type="dxa"/>
            <w:tcBorders>
              <w:top w:val="single" w:sz="6" w:space="0" w:color="000000"/>
              <w:left w:val="nil"/>
              <w:bottom w:val="single" w:sz="6" w:space="0" w:color="000000"/>
              <w:right w:val="single" w:sz="6" w:space="0" w:color="000000"/>
            </w:tcBorders>
            <w:shd w:val="clear" w:color="auto" w:fill="BFBFBF"/>
            <w:tcMar>
              <w:top w:w="20" w:type="dxa"/>
              <w:left w:w="20" w:type="dxa"/>
              <w:bottom w:w="100" w:type="dxa"/>
              <w:right w:w="20" w:type="dxa"/>
            </w:tcMar>
            <w:vAlign w:val="center"/>
          </w:tcPr>
          <w:p w14:paraId="2C591BE2" w14:textId="77777777" w:rsidR="00CE409C" w:rsidRDefault="00000000">
            <w:pPr>
              <w:jc w:val="center"/>
              <w:rPr>
                <w:sz w:val="20"/>
                <w:szCs w:val="20"/>
                <w:highlight w:val="white"/>
              </w:rPr>
            </w:pPr>
            <w:r>
              <w:rPr>
                <w:rFonts w:ascii="Calibri" w:eastAsia="Calibri" w:hAnsi="Calibri" w:cs="Calibri"/>
                <w:b/>
                <w:highlight w:val="white"/>
              </w:rPr>
              <w:t>Candidate 2</w:t>
            </w:r>
          </w:p>
        </w:tc>
      </w:tr>
      <w:tr w:rsidR="00CE409C" w14:paraId="26B40979" w14:textId="77777777">
        <w:trPr>
          <w:trHeight w:val="415"/>
        </w:trPr>
        <w:tc>
          <w:tcPr>
            <w:tcW w:w="1080" w:type="dxa"/>
            <w:tcBorders>
              <w:top w:val="single" w:sz="6" w:space="0" w:color="000000"/>
              <w:left w:val="single" w:sz="6" w:space="0" w:color="000000"/>
              <w:bottom w:val="single" w:sz="6" w:space="0" w:color="000000"/>
              <w:right w:val="single" w:sz="6" w:space="0" w:color="000000"/>
            </w:tcBorders>
            <w:shd w:val="clear" w:color="auto" w:fill="BFBFBF"/>
            <w:tcMar>
              <w:top w:w="20" w:type="dxa"/>
              <w:left w:w="20" w:type="dxa"/>
              <w:bottom w:w="100" w:type="dxa"/>
              <w:right w:w="20" w:type="dxa"/>
            </w:tcMar>
            <w:vAlign w:val="center"/>
          </w:tcPr>
          <w:p w14:paraId="2589F327" w14:textId="77777777" w:rsidR="00CE409C" w:rsidRDefault="00000000">
            <w:pPr>
              <w:jc w:val="center"/>
              <w:rPr>
                <w:sz w:val="20"/>
                <w:szCs w:val="20"/>
                <w:highlight w:val="white"/>
              </w:rPr>
            </w:pPr>
            <w:r>
              <w:rPr>
                <w:rFonts w:ascii="Calibri" w:eastAsia="Calibri" w:hAnsi="Calibri" w:cs="Calibri"/>
                <w:b/>
                <w:highlight w:val="white"/>
              </w:rPr>
              <w:t>Results:</w:t>
            </w:r>
          </w:p>
        </w:tc>
        <w:tc>
          <w:tcPr>
            <w:tcW w:w="2385" w:type="dxa"/>
            <w:tcBorders>
              <w:top w:val="nil"/>
              <w:left w:val="nil"/>
              <w:bottom w:val="single" w:sz="6" w:space="0" w:color="000000"/>
              <w:right w:val="single" w:sz="6" w:space="0" w:color="000000"/>
            </w:tcBorders>
            <w:shd w:val="clear" w:color="auto" w:fill="BFBFBF"/>
            <w:tcMar>
              <w:top w:w="20" w:type="dxa"/>
              <w:left w:w="20" w:type="dxa"/>
              <w:bottom w:w="100" w:type="dxa"/>
              <w:right w:w="20" w:type="dxa"/>
            </w:tcMar>
            <w:vAlign w:val="center"/>
          </w:tcPr>
          <w:p w14:paraId="3841F0C4" w14:textId="77777777" w:rsidR="00CE409C" w:rsidRDefault="00000000">
            <w:pPr>
              <w:jc w:val="center"/>
              <w:rPr>
                <w:sz w:val="20"/>
                <w:szCs w:val="20"/>
                <w:highlight w:val="white"/>
              </w:rPr>
            </w:pPr>
            <w:r>
              <w:rPr>
                <w:rFonts w:ascii="Calibri" w:eastAsia="Calibri" w:hAnsi="Calibri" w:cs="Calibri"/>
                <w:b/>
                <w:color w:val="FF0000"/>
                <w:highlight w:val="white"/>
              </w:rPr>
              <w:t>Sebastien Ducos</w:t>
            </w:r>
          </w:p>
        </w:tc>
        <w:tc>
          <w:tcPr>
            <w:tcW w:w="2385" w:type="dxa"/>
            <w:tcBorders>
              <w:top w:val="nil"/>
              <w:left w:val="nil"/>
              <w:bottom w:val="single" w:sz="6" w:space="0" w:color="000000"/>
              <w:right w:val="single" w:sz="6" w:space="0" w:color="000000"/>
            </w:tcBorders>
            <w:shd w:val="clear" w:color="auto" w:fill="BFBFBF"/>
            <w:tcMar>
              <w:top w:w="20" w:type="dxa"/>
              <w:left w:w="20" w:type="dxa"/>
              <w:bottom w:w="100" w:type="dxa"/>
              <w:right w:w="20" w:type="dxa"/>
            </w:tcMar>
            <w:vAlign w:val="center"/>
          </w:tcPr>
          <w:p w14:paraId="54BE61A0" w14:textId="77777777" w:rsidR="00CE409C" w:rsidRDefault="00000000">
            <w:pPr>
              <w:jc w:val="center"/>
              <w:rPr>
                <w:sz w:val="20"/>
                <w:szCs w:val="20"/>
                <w:highlight w:val="white"/>
              </w:rPr>
            </w:pPr>
            <w:r>
              <w:rPr>
                <w:rFonts w:ascii="Calibri" w:eastAsia="Calibri" w:hAnsi="Calibri" w:cs="Calibri"/>
                <w:b/>
                <w:color w:val="FF0000"/>
                <w:highlight w:val="white"/>
              </w:rPr>
              <w:t>None of the Above</w:t>
            </w:r>
          </w:p>
        </w:tc>
      </w:tr>
      <w:tr w:rsidR="00CE409C" w14:paraId="57B56873" w14:textId="77777777">
        <w:trPr>
          <w:trHeight w:val="400"/>
        </w:trPr>
        <w:tc>
          <w:tcPr>
            <w:tcW w:w="1080" w:type="dxa"/>
            <w:tcBorders>
              <w:top w:val="nil"/>
              <w:left w:val="single" w:sz="6" w:space="0" w:color="000000"/>
              <w:bottom w:val="single" w:sz="6" w:space="0" w:color="000000"/>
              <w:right w:val="single" w:sz="6" w:space="0" w:color="000000"/>
            </w:tcBorders>
            <w:shd w:val="clear" w:color="auto" w:fill="92D050"/>
            <w:tcMar>
              <w:top w:w="20" w:type="dxa"/>
              <w:left w:w="20" w:type="dxa"/>
              <w:bottom w:w="100" w:type="dxa"/>
              <w:right w:w="20" w:type="dxa"/>
            </w:tcMar>
            <w:vAlign w:val="center"/>
          </w:tcPr>
          <w:p w14:paraId="63DC3255" w14:textId="77777777" w:rsidR="00CE409C" w:rsidRDefault="00000000">
            <w:pPr>
              <w:rPr>
                <w:sz w:val="20"/>
                <w:szCs w:val="20"/>
                <w:highlight w:val="white"/>
              </w:rPr>
            </w:pPr>
            <w:r>
              <w:rPr>
                <w:rFonts w:ascii="Calibri" w:eastAsia="Calibri" w:hAnsi="Calibri" w:cs="Calibri"/>
                <w:b/>
                <w:highlight w:val="white"/>
              </w:rPr>
              <w:t>CPH</w:t>
            </w:r>
          </w:p>
        </w:tc>
        <w:tc>
          <w:tcPr>
            <w:tcW w:w="238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183DCBF" w14:textId="77777777" w:rsidR="00CE409C" w:rsidRDefault="00000000">
            <w:pPr>
              <w:jc w:val="center"/>
              <w:rPr>
                <w:sz w:val="20"/>
                <w:szCs w:val="20"/>
                <w:highlight w:val="white"/>
              </w:rPr>
            </w:pPr>
            <w:r>
              <w:rPr>
                <w:rFonts w:ascii="Calibri" w:eastAsia="Calibri" w:hAnsi="Calibri" w:cs="Calibri"/>
                <w:highlight w:val="white"/>
              </w:rPr>
              <w:t>7</w:t>
            </w:r>
          </w:p>
        </w:tc>
        <w:tc>
          <w:tcPr>
            <w:tcW w:w="238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AB83427" w14:textId="77777777" w:rsidR="00CE409C" w:rsidRDefault="00000000">
            <w:pPr>
              <w:jc w:val="center"/>
              <w:rPr>
                <w:sz w:val="20"/>
                <w:szCs w:val="20"/>
                <w:highlight w:val="white"/>
              </w:rPr>
            </w:pPr>
            <w:r>
              <w:rPr>
                <w:rFonts w:ascii="Calibri" w:eastAsia="Calibri" w:hAnsi="Calibri" w:cs="Calibri"/>
                <w:highlight w:val="white"/>
              </w:rPr>
              <w:t>0</w:t>
            </w:r>
          </w:p>
        </w:tc>
      </w:tr>
      <w:tr w:rsidR="00CE409C" w14:paraId="7E2F13FA" w14:textId="77777777">
        <w:trPr>
          <w:trHeight w:val="400"/>
        </w:trPr>
        <w:tc>
          <w:tcPr>
            <w:tcW w:w="1080" w:type="dxa"/>
            <w:tcBorders>
              <w:top w:val="nil"/>
              <w:left w:val="single" w:sz="6" w:space="0" w:color="000000"/>
              <w:bottom w:val="single" w:sz="6" w:space="0" w:color="000000"/>
              <w:right w:val="single" w:sz="6" w:space="0" w:color="000000"/>
            </w:tcBorders>
            <w:shd w:val="clear" w:color="auto" w:fill="FFFF00"/>
            <w:tcMar>
              <w:top w:w="20" w:type="dxa"/>
              <w:left w:w="20" w:type="dxa"/>
              <w:bottom w:w="100" w:type="dxa"/>
              <w:right w:w="20" w:type="dxa"/>
            </w:tcMar>
            <w:vAlign w:val="center"/>
          </w:tcPr>
          <w:p w14:paraId="6574EB07" w14:textId="77777777" w:rsidR="00CE409C" w:rsidRDefault="00000000">
            <w:pPr>
              <w:rPr>
                <w:sz w:val="20"/>
                <w:szCs w:val="20"/>
                <w:highlight w:val="white"/>
              </w:rPr>
            </w:pPr>
            <w:r>
              <w:rPr>
                <w:rFonts w:ascii="Calibri" w:eastAsia="Calibri" w:hAnsi="Calibri" w:cs="Calibri"/>
                <w:b/>
                <w:highlight w:val="white"/>
              </w:rPr>
              <w:t>NCPH</w:t>
            </w:r>
          </w:p>
        </w:tc>
        <w:tc>
          <w:tcPr>
            <w:tcW w:w="238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16950EC" w14:textId="77777777" w:rsidR="00CE409C" w:rsidRDefault="00000000">
            <w:pPr>
              <w:jc w:val="center"/>
              <w:rPr>
                <w:sz w:val="20"/>
                <w:szCs w:val="20"/>
                <w:highlight w:val="white"/>
              </w:rPr>
            </w:pPr>
            <w:r>
              <w:rPr>
                <w:rFonts w:ascii="Calibri" w:eastAsia="Calibri" w:hAnsi="Calibri" w:cs="Calibri"/>
                <w:highlight w:val="white"/>
              </w:rPr>
              <w:t>13</w:t>
            </w:r>
          </w:p>
        </w:tc>
        <w:tc>
          <w:tcPr>
            <w:tcW w:w="238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0523E5B" w14:textId="77777777" w:rsidR="00CE409C" w:rsidRDefault="00000000">
            <w:pPr>
              <w:jc w:val="center"/>
              <w:rPr>
                <w:sz w:val="20"/>
                <w:szCs w:val="20"/>
                <w:highlight w:val="white"/>
              </w:rPr>
            </w:pPr>
            <w:r>
              <w:rPr>
                <w:rFonts w:ascii="Calibri" w:eastAsia="Calibri" w:hAnsi="Calibri" w:cs="Calibri"/>
                <w:highlight w:val="white"/>
              </w:rPr>
              <w:t>0</w:t>
            </w:r>
          </w:p>
        </w:tc>
      </w:tr>
      <w:tr w:rsidR="00CE409C" w14:paraId="326FBA55" w14:textId="77777777">
        <w:trPr>
          <w:trHeight w:val="400"/>
        </w:trPr>
        <w:tc>
          <w:tcPr>
            <w:tcW w:w="1080" w:type="dxa"/>
            <w:tcBorders>
              <w:top w:val="nil"/>
              <w:left w:val="nil"/>
              <w:bottom w:val="nil"/>
              <w:right w:val="nil"/>
            </w:tcBorders>
            <w:tcMar>
              <w:top w:w="20" w:type="dxa"/>
              <w:left w:w="20" w:type="dxa"/>
              <w:bottom w:w="100" w:type="dxa"/>
              <w:right w:w="20" w:type="dxa"/>
            </w:tcMar>
            <w:vAlign w:val="bottom"/>
          </w:tcPr>
          <w:p w14:paraId="6F1E65BD" w14:textId="77777777" w:rsidR="00CE409C" w:rsidRDefault="00CE409C">
            <w:pP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7C31F0AD" w14:textId="77777777" w:rsidR="00CE409C" w:rsidRDefault="00000000">
            <w:pPr>
              <w:jc w:val="center"/>
              <w:rPr>
                <w:sz w:val="20"/>
                <w:szCs w:val="20"/>
                <w:highlight w:val="white"/>
              </w:rPr>
            </w:pPr>
            <w:r>
              <w:rPr>
                <w:rFonts w:ascii="Calibri" w:eastAsia="Calibri" w:hAnsi="Calibri" w:cs="Calibri"/>
                <w:highlight w:val="white"/>
              </w:rPr>
              <w:t>20</w:t>
            </w:r>
          </w:p>
        </w:tc>
        <w:tc>
          <w:tcPr>
            <w:tcW w:w="2385" w:type="dxa"/>
            <w:tcBorders>
              <w:top w:val="nil"/>
              <w:left w:val="nil"/>
              <w:bottom w:val="nil"/>
              <w:right w:val="nil"/>
            </w:tcBorders>
            <w:tcMar>
              <w:top w:w="20" w:type="dxa"/>
              <w:left w:w="20" w:type="dxa"/>
              <w:bottom w:w="100" w:type="dxa"/>
              <w:right w:w="20" w:type="dxa"/>
            </w:tcMar>
            <w:vAlign w:val="bottom"/>
          </w:tcPr>
          <w:p w14:paraId="22EB2824" w14:textId="77777777" w:rsidR="00CE409C" w:rsidRDefault="00000000">
            <w:pPr>
              <w:jc w:val="center"/>
              <w:rPr>
                <w:sz w:val="20"/>
                <w:szCs w:val="20"/>
                <w:highlight w:val="white"/>
              </w:rPr>
            </w:pPr>
            <w:r>
              <w:rPr>
                <w:rFonts w:ascii="Calibri" w:eastAsia="Calibri" w:hAnsi="Calibri" w:cs="Calibri"/>
                <w:highlight w:val="white"/>
              </w:rPr>
              <w:t>0</w:t>
            </w:r>
          </w:p>
        </w:tc>
      </w:tr>
      <w:tr w:rsidR="00CE409C" w14:paraId="47F10291" w14:textId="77777777">
        <w:trPr>
          <w:trHeight w:val="400"/>
        </w:trPr>
        <w:tc>
          <w:tcPr>
            <w:tcW w:w="1080" w:type="dxa"/>
            <w:tcBorders>
              <w:top w:val="nil"/>
              <w:left w:val="nil"/>
              <w:bottom w:val="nil"/>
              <w:right w:val="nil"/>
            </w:tcBorders>
            <w:tcMar>
              <w:top w:w="20" w:type="dxa"/>
              <w:left w:w="20" w:type="dxa"/>
              <w:bottom w:w="100" w:type="dxa"/>
              <w:right w:w="20" w:type="dxa"/>
            </w:tcMar>
            <w:vAlign w:val="bottom"/>
          </w:tcPr>
          <w:p w14:paraId="034C0CC6" w14:textId="77777777" w:rsidR="00CE409C" w:rsidRDefault="00CE409C">
            <w:pP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1792BCC2" w14:textId="77777777" w:rsidR="00CE409C" w:rsidRDefault="00CE409C">
            <w:pPr>
              <w:widowControl w:val="0"/>
              <w:pBdr>
                <w:top w:val="nil"/>
                <w:left w:val="nil"/>
                <w:bottom w:val="nil"/>
                <w:right w:val="nil"/>
                <w:between w:val="nil"/>
              </w:pBd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73601420" w14:textId="77777777" w:rsidR="00CE409C" w:rsidRDefault="00CE409C">
            <w:pPr>
              <w:widowControl w:val="0"/>
              <w:pBdr>
                <w:top w:val="nil"/>
                <w:left w:val="nil"/>
                <w:bottom w:val="nil"/>
                <w:right w:val="nil"/>
                <w:between w:val="nil"/>
              </w:pBdr>
              <w:rPr>
                <w:sz w:val="20"/>
                <w:szCs w:val="20"/>
                <w:highlight w:val="white"/>
              </w:rPr>
            </w:pPr>
          </w:p>
        </w:tc>
      </w:tr>
      <w:tr w:rsidR="00CE409C" w14:paraId="0F643EF3" w14:textId="77777777">
        <w:trPr>
          <w:trHeight w:val="400"/>
        </w:trPr>
        <w:tc>
          <w:tcPr>
            <w:tcW w:w="1080" w:type="dxa"/>
            <w:tcBorders>
              <w:top w:val="single" w:sz="6" w:space="0" w:color="000000"/>
              <w:left w:val="single" w:sz="6" w:space="0" w:color="000000"/>
              <w:bottom w:val="single" w:sz="6" w:space="0" w:color="000000"/>
              <w:right w:val="single" w:sz="6" w:space="0" w:color="000000"/>
            </w:tcBorders>
            <w:shd w:val="clear" w:color="auto" w:fill="92D050"/>
            <w:tcMar>
              <w:top w:w="20" w:type="dxa"/>
              <w:left w:w="20" w:type="dxa"/>
              <w:bottom w:w="100" w:type="dxa"/>
              <w:right w:w="20" w:type="dxa"/>
            </w:tcMar>
            <w:vAlign w:val="center"/>
          </w:tcPr>
          <w:p w14:paraId="03FC40BB" w14:textId="77777777" w:rsidR="00CE409C" w:rsidRDefault="00000000">
            <w:pPr>
              <w:widowControl w:val="0"/>
              <w:pBdr>
                <w:top w:val="nil"/>
                <w:left w:val="nil"/>
                <w:bottom w:val="nil"/>
                <w:right w:val="nil"/>
                <w:between w:val="nil"/>
              </w:pBdr>
              <w:rPr>
                <w:sz w:val="20"/>
                <w:szCs w:val="20"/>
                <w:highlight w:val="white"/>
              </w:rPr>
            </w:pPr>
            <w:r>
              <w:rPr>
                <w:rFonts w:ascii="Calibri" w:eastAsia="Calibri" w:hAnsi="Calibri" w:cs="Calibri"/>
                <w:b/>
                <w:highlight w:val="white"/>
              </w:rPr>
              <w:t>CPH</w:t>
            </w:r>
          </w:p>
        </w:tc>
        <w:tc>
          <w:tcPr>
            <w:tcW w:w="2385" w:type="dxa"/>
            <w:tcBorders>
              <w:top w:val="single" w:sz="6" w:space="0" w:color="000000"/>
              <w:left w:val="single" w:sz="6" w:space="0" w:color="000000"/>
              <w:bottom w:val="single" w:sz="6" w:space="0" w:color="000000"/>
              <w:right w:val="single" w:sz="6" w:space="0" w:color="000000"/>
            </w:tcBorders>
            <w:shd w:val="clear" w:color="auto" w:fill="00B050"/>
            <w:tcMar>
              <w:top w:w="20" w:type="dxa"/>
              <w:left w:w="20" w:type="dxa"/>
              <w:bottom w:w="100" w:type="dxa"/>
              <w:right w:w="20" w:type="dxa"/>
            </w:tcMar>
            <w:vAlign w:val="bottom"/>
          </w:tcPr>
          <w:p w14:paraId="7F4C076B" w14:textId="77777777" w:rsidR="00CE409C" w:rsidRDefault="00000000">
            <w:pPr>
              <w:jc w:val="center"/>
              <w:rPr>
                <w:sz w:val="20"/>
                <w:szCs w:val="20"/>
                <w:highlight w:val="white"/>
              </w:rPr>
            </w:pPr>
            <w:r>
              <w:rPr>
                <w:rFonts w:ascii="Calibri" w:eastAsia="Calibri" w:hAnsi="Calibri" w:cs="Calibri"/>
                <w:b/>
                <w:highlight w:val="white"/>
              </w:rPr>
              <w:t>100,00%</w:t>
            </w:r>
          </w:p>
        </w:tc>
        <w:tc>
          <w:tcPr>
            <w:tcW w:w="2385" w:type="dxa"/>
            <w:tcBorders>
              <w:top w:val="single" w:sz="6" w:space="0" w:color="000000"/>
              <w:left w:val="nil"/>
              <w:bottom w:val="single" w:sz="6" w:space="0" w:color="000000"/>
              <w:right w:val="single" w:sz="6" w:space="0" w:color="000000"/>
            </w:tcBorders>
            <w:shd w:val="clear" w:color="auto" w:fill="FF0000"/>
            <w:tcMar>
              <w:top w:w="20" w:type="dxa"/>
              <w:left w:w="20" w:type="dxa"/>
              <w:bottom w:w="100" w:type="dxa"/>
              <w:right w:w="20" w:type="dxa"/>
            </w:tcMar>
            <w:vAlign w:val="bottom"/>
          </w:tcPr>
          <w:p w14:paraId="22C58AA2" w14:textId="77777777" w:rsidR="00CE409C" w:rsidRDefault="00000000">
            <w:pPr>
              <w:jc w:val="center"/>
              <w:rPr>
                <w:sz w:val="20"/>
                <w:szCs w:val="20"/>
                <w:highlight w:val="white"/>
              </w:rPr>
            </w:pPr>
            <w:r>
              <w:rPr>
                <w:rFonts w:ascii="Calibri" w:eastAsia="Calibri" w:hAnsi="Calibri" w:cs="Calibri"/>
                <w:b/>
                <w:color w:val="FFFFFF"/>
                <w:highlight w:val="white"/>
              </w:rPr>
              <w:t>0,00%</w:t>
            </w:r>
          </w:p>
        </w:tc>
      </w:tr>
      <w:tr w:rsidR="00CE409C" w14:paraId="0339E7C2" w14:textId="77777777">
        <w:trPr>
          <w:trHeight w:val="400"/>
        </w:trPr>
        <w:tc>
          <w:tcPr>
            <w:tcW w:w="1080" w:type="dxa"/>
            <w:tcBorders>
              <w:top w:val="nil"/>
              <w:left w:val="single" w:sz="6" w:space="0" w:color="000000"/>
              <w:bottom w:val="single" w:sz="6" w:space="0" w:color="000000"/>
              <w:right w:val="single" w:sz="6" w:space="0" w:color="000000"/>
            </w:tcBorders>
            <w:shd w:val="clear" w:color="auto" w:fill="FFFF00"/>
            <w:tcMar>
              <w:top w:w="20" w:type="dxa"/>
              <w:left w:w="20" w:type="dxa"/>
              <w:bottom w:w="100" w:type="dxa"/>
              <w:right w:w="20" w:type="dxa"/>
            </w:tcMar>
            <w:vAlign w:val="center"/>
          </w:tcPr>
          <w:p w14:paraId="13CF9871" w14:textId="77777777" w:rsidR="00CE409C" w:rsidRDefault="00000000">
            <w:pPr>
              <w:rPr>
                <w:sz w:val="20"/>
                <w:szCs w:val="20"/>
                <w:highlight w:val="white"/>
              </w:rPr>
            </w:pPr>
            <w:r>
              <w:rPr>
                <w:rFonts w:ascii="Calibri" w:eastAsia="Calibri" w:hAnsi="Calibri" w:cs="Calibri"/>
                <w:b/>
                <w:highlight w:val="white"/>
              </w:rPr>
              <w:t>NCPH</w:t>
            </w:r>
          </w:p>
        </w:tc>
        <w:tc>
          <w:tcPr>
            <w:tcW w:w="2385" w:type="dxa"/>
            <w:tcBorders>
              <w:top w:val="single" w:sz="6" w:space="0" w:color="000000"/>
              <w:left w:val="single" w:sz="6" w:space="0" w:color="000000"/>
              <w:bottom w:val="single" w:sz="6" w:space="0" w:color="000000"/>
              <w:right w:val="single" w:sz="6" w:space="0" w:color="000000"/>
            </w:tcBorders>
            <w:shd w:val="clear" w:color="auto" w:fill="00B050"/>
            <w:tcMar>
              <w:top w:w="20" w:type="dxa"/>
              <w:left w:w="20" w:type="dxa"/>
              <w:bottom w:w="100" w:type="dxa"/>
              <w:right w:w="20" w:type="dxa"/>
            </w:tcMar>
            <w:vAlign w:val="bottom"/>
          </w:tcPr>
          <w:p w14:paraId="1E17E851" w14:textId="77777777" w:rsidR="00CE409C" w:rsidRDefault="00000000">
            <w:pPr>
              <w:jc w:val="center"/>
              <w:rPr>
                <w:sz w:val="20"/>
                <w:szCs w:val="20"/>
                <w:highlight w:val="white"/>
              </w:rPr>
            </w:pPr>
            <w:r>
              <w:rPr>
                <w:rFonts w:ascii="Calibri" w:eastAsia="Calibri" w:hAnsi="Calibri" w:cs="Calibri"/>
                <w:b/>
                <w:highlight w:val="white"/>
              </w:rPr>
              <w:t>100,00%</w:t>
            </w:r>
          </w:p>
        </w:tc>
        <w:tc>
          <w:tcPr>
            <w:tcW w:w="2385" w:type="dxa"/>
            <w:tcBorders>
              <w:top w:val="nil"/>
              <w:left w:val="nil"/>
              <w:bottom w:val="single" w:sz="6" w:space="0" w:color="000000"/>
              <w:right w:val="single" w:sz="6" w:space="0" w:color="000000"/>
            </w:tcBorders>
            <w:shd w:val="clear" w:color="auto" w:fill="FF0000"/>
            <w:tcMar>
              <w:top w:w="20" w:type="dxa"/>
              <w:left w:w="20" w:type="dxa"/>
              <w:bottom w:w="100" w:type="dxa"/>
              <w:right w:w="20" w:type="dxa"/>
            </w:tcMar>
            <w:vAlign w:val="bottom"/>
          </w:tcPr>
          <w:p w14:paraId="163826EC" w14:textId="77777777" w:rsidR="00CE409C" w:rsidRDefault="00000000">
            <w:pPr>
              <w:jc w:val="center"/>
              <w:rPr>
                <w:sz w:val="20"/>
                <w:szCs w:val="20"/>
                <w:highlight w:val="white"/>
              </w:rPr>
            </w:pPr>
            <w:r>
              <w:rPr>
                <w:rFonts w:ascii="Calibri" w:eastAsia="Calibri" w:hAnsi="Calibri" w:cs="Calibri"/>
                <w:b/>
                <w:color w:val="FFFFFF"/>
                <w:highlight w:val="white"/>
              </w:rPr>
              <w:t>0,00%</w:t>
            </w:r>
          </w:p>
        </w:tc>
      </w:tr>
      <w:tr w:rsidR="00CE409C" w14:paraId="1434A426" w14:textId="77777777">
        <w:trPr>
          <w:trHeight w:val="400"/>
        </w:trPr>
        <w:tc>
          <w:tcPr>
            <w:tcW w:w="1080" w:type="dxa"/>
            <w:tcBorders>
              <w:top w:val="nil"/>
              <w:left w:val="nil"/>
              <w:bottom w:val="nil"/>
              <w:right w:val="nil"/>
            </w:tcBorders>
            <w:tcMar>
              <w:top w:w="20" w:type="dxa"/>
              <w:left w:w="20" w:type="dxa"/>
              <w:bottom w:w="100" w:type="dxa"/>
              <w:right w:w="20" w:type="dxa"/>
            </w:tcMar>
            <w:vAlign w:val="bottom"/>
          </w:tcPr>
          <w:p w14:paraId="5F7C9D8B" w14:textId="77777777" w:rsidR="00CE409C" w:rsidRDefault="00CE409C">
            <w:pP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4AB4D3CF" w14:textId="77777777" w:rsidR="00CE409C" w:rsidRDefault="00000000">
            <w:pPr>
              <w:jc w:val="center"/>
              <w:rPr>
                <w:sz w:val="20"/>
                <w:szCs w:val="20"/>
                <w:highlight w:val="white"/>
              </w:rPr>
            </w:pPr>
            <w:r>
              <w:rPr>
                <w:rFonts w:ascii="Calibri" w:eastAsia="Calibri" w:hAnsi="Calibri" w:cs="Calibri"/>
                <w:highlight w:val="white"/>
              </w:rPr>
              <w:t>200,00%</w:t>
            </w:r>
          </w:p>
        </w:tc>
        <w:tc>
          <w:tcPr>
            <w:tcW w:w="2385" w:type="dxa"/>
            <w:tcBorders>
              <w:top w:val="nil"/>
              <w:left w:val="nil"/>
              <w:bottom w:val="nil"/>
              <w:right w:val="nil"/>
            </w:tcBorders>
            <w:tcMar>
              <w:top w:w="20" w:type="dxa"/>
              <w:left w:w="20" w:type="dxa"/>
              <w:bottom w:w="100" w:type="dxa"/>
              <w:right w:w="20" w:type="dxa"/>
            </w:tcMar>
            <w:vAlign w:val="bottom"/>
          </w:tcPr>
          <w:p w14:paraId="162E95C7" w14:textId="77777777" w:rsidR="00CE409C" w:rsidRDefault="00000000">
            <w:pPr>
              <w:jc w:val="center"/>
              <w:rPr>
                <w:sz w:val="20"/>
                <w:szCs w:val="20"/>
                <w:highlight w:val="white"/>
              </w:rPr>
            </w:pPr>
            <w:r>
              <w:rPr>
                <w:rFonts w:ascii="Calibri" w:eastAsia="Calibri" w:hAnsi="Calibri" w:cs="Calibri"/>
                <w:highlight w:val="white"/>
              </w:rPr>
              <w:t>0,00%</w:t>
            </w:r>
          </w:p>
        </w:tc>
      </w:tr>
      <w:tr w:rsidR="00CE409C" w14:paraId="198C469E" w14:textId="77777777">
        <w:trPr>
          <w:trHeight w:val="400"/>
        </w:trPr>
        <w:tc>
          <w:tcPr>
            <w:tcW w:w="1080" w:type="dxa"/>
            <w:tcBorders>
              <w:top w:val="nil"/>
              <w:left w:val="nil"/>
              <w:bottom w:val="nil"/>
              <w:right w:val="nil"/>
            </w:tcBorders>
            <w:tcMar>
              <w:top w:w="20" w:type="dxa"/>
              <w:left w:w="20" w:type="dxa"/>
              <w:bottom w:w="100" w:type="dxa"/>
              <w:right w:w="20" w:type="dxa"/>
            </w:tcMar>
            <w:vAlign w:val="bottom"/>
          </w:tcPr>
          <w:p w14:paraId="428A09C4" w14:textId="77777777" w:rsidR="00CE409C" w:rsidRDefault="00CE409C">
            <w:pP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44A57460" w14:textId="77777777" w:rsidR="00CE409C" w:rsidRDefault="00CE409C">
            <w:pPr>
              <w:widowControl w:val="0"/>
              <w:pBdr>
                <w:top w:val="nil"/>
                <w:left w:val="nil"/>
                <w:bottom w:val="nil"/>
                <w:right w:val="nil"/>
                <w:between w:val="nil"/>
              </w:pBdr>
              <w:rPr>
                <w:sz w:val="20"/>
                <w:szCs w:val="20"/>
                <w:highlight w:val="white"/>
              </w:rPr>
            </w:pPr>
          </w:p>
        </w:tc>
        <w:tc>
          <w:tcPr>
            <w:tcW w:w="2385" w:type="dxa"/>
            <w:tcBorders>
              <w:top w:val="nil"/>
              <w:left w:val="nil"/>
              <w:bottom w:val="nil"/>
              <w:right w:val="nil"/>
            </w:tcBorders>
            <w:tcMar>
              <w:top w:w="20" w:type="dxa"/>
              <w:left w:w="20" w:type="dxa"/>
              <w:bottom w:w="100" w:type="dxa"/>
              <w:right w:w="20" w:type="dxa"/>
            </w:tcMar>
            <w:vAlign w:val="bottom"/>
          </w:tcPr>
          <w:p w14:paraId="1A6E6E5B" w14:textId="77777777" w:rsidR="00CE409C" w:rsidRDefault="00CE409C">
            <w:pPr>
              <w:widowControl w:val="0"/>
              <w:pBdr>
                <w:top w:val="nil"/>
                <w:left w:val="nil"/>
                <w:bottom w:val="nil"/>
                <w:right w:val="nil"/>
                <w:between w:val="nil"/>
              </w:pBdr>
              <w:rPr>
                <w:sz w:val="20"/>
                <w:szCs w:val="20"/>
                <w:highlight w:val="white"/>
              </w:rPr>
            </w:pPr>
          </w:p>
        </w:tc>
      </w:tr>
    </w:tbl>
    <w:p w14:paraId="357DDFA9" w14:textId="77777777" w:rsidR="00CE409C" w:rsidRDefault="00CE409C">
      <w:pPr>
        <w:rPr>
          <w:color w:val="353535"/>
          <w:sz w:val="20"/>
          <w:szCs w:val="20"/>
        </w:rPr>
      </w:pPr>
    </w:p>
    <w:p w14:paraId="38FA1C14" w14:textId="77777777" w:rsidR="00CE409C" w:rsidRDefault="00CE409C">
      <w:pPr>
        <w:rPr>
          <w:sz w:val="20"/>
          <w:szCs w:val="20"/>
          <w:highlight w:val="white"/>
        </w:rPr>
      </w:pPr>
    </w:p>
    <w:p w14:paraId="6E140241" w14:textId="77777777" w:rsidR="00CE409C" w:rsidRDefault="00000000">
      <w:pPr>
        <w:rPr>
          <w:sz w:val="20"/>
          <w:szCs w:val="20"/>
          <w:highlight w:val="white"/>
        </w:rPr>
      </w:pPr>
      <w:r>
        <w:rPr>
          <w:sz w:val="20"/>
          <w:szCs w:val="20"/>
          <w:highlight w:val="white"/>
        </w:rPr>
        <w:t xml:space="preserve">With the 60% threshold attained in both the Contracted Party House and the Non Contracted Party House, </w:t>
      </w:r>
      <w:r>
        <w:rPr>
          <w:b/>
          <w:sz w:val="20"/>
          <w:szCs w:val="20"/>
          <w:highlight w:val="white"/>
        </w:rPr>
        <w:t xml:space="preserve">Sebastien Ducos </w:t>
      </w:r>
      <w:r>
        <w:rPr>
          <w:sz w:val="20"/>
          <w:szCs w:val="20"/>
          <w:highlight w:val="white"/>
        </w:rPr>
        <w:t>was elected GNSO Chair for 2022-2023.</w:t>
      </w:r>
    </w:p>
    <w:p w14:paraId="10A77366" w14:textId="77777777" w:rsidR="00CE409C" w:rsidRDefault="00CE409C">
      <w:pPr>
        <w:rPr>
          <w:sz w:val="20"/>
          <w:szCs w:val="20"/>
          <w:highlight w:val="white"/>
        </w:rPr>
      </w:pPr>
    </w:p>
    <w:p w14:paraId="0302C63B" w14:textId="77777777" w:rsidR="00CE409C" w:rsidRDefault="00000000">
      <w:pPr>
        <w:rPr>
          <w:sz w:val="20"/>
          <w:szCs w:val="20"/>
          <w:highlight w:val="white"/>
        </w:rPr>
      </w:pPr>
      <w:r>
        <w:rPr>
          <w:b/>
          <w:sz w:val="20"/>
          <w:szCs w:val="20"/>
          <w:highlight w:val="white"/>
        </w:rPr>
        <w:t xml:space="preserve">Sebastien Ducos, GNSO Chair, </w:t>
      </w:r>
      <w:r>
        <w:rPr>
          <w:sz w:val="20"/>
          <w:szCs w:val="20"/>
          <w:highlight w:val="white"/>
        </w:rPr>
        <w:t xml:space="preserve"> thanked councilors and both Houses for their support, and proceeded to outline his focus points for the upcoming months. </w:t>
      </w:r>
    </w:p>
    <w:p w14:paraId="1C7B856D" w14:textId="77777777" w:rsidR="00CE409C" w:rsidRDefault="00CE409C">
      <w:pPr>
        <w:rPr>
          <w:sz w:val="20"/>
          <w:szCs w:val="20"/>
          <w:highlight w:val="white"/>
        </w:rPr>
      </w:pPr>
    </w:p>
    <w:p w14:paraId="49BA5EB9" w14:textId="77777777" w:rsidR="00CE409C" w:rsidRDefault="00000000">
      <w:pPr>
        <w:rPr>
          <w:sz w:val="20"/>
          <w:szCs w:val="20"/>
          <w:highlight w:val="white"/>
        </w:rPr>
      </w:pPr>
      <w:hyperlink r:id="rId17">
        <w:r>
          <w:rPr>
            <w:color w:val="1155CC"/>
            <w:sz w:val="20"/>
            <w:szCs w:val="20"/>
            <w:highlight w:val="white"/>
            <w:u w:val="single"/>
          </w:rPr>
          <w:t>Vote results</w:t>
        </w:r>
      </w:hyperlink>
    </w:p>
    <w:p w14:paraId="0DD0AB90" w14:textId="77777777" w:rsidR="00CE409C" w:rsidRDefault="00CE409C">
      <w:pPr>
        <w:rPr>
          <w:b/>
          <w:highlight w:val="white"/>
          <w:u w:val="single"/>
        </w:rPr>
      </w:pPr>
    </w:p>
    <w:p w14:paraId="19526A50" w14:textId="77777777" w:rsidR="00CE409C" w:rsidRDefault="00000000">
      <w:pPr>
        <w:rPr>
          <w:sz w:val="20"/>
          <w:szCs w:val="20"/>
          <w:highlight w:val="white"/>
          <w:u w:val="single"/>
        </w:rPr>
      </w:pPr>
      <w:r>
        <w:rPr>
          <w:sz w:val="20"/>
          <w:szCs w:val="20"/>
          <w:highlight w:val="white"/>
          <w:u w:val="single"/>
        </w:rPr>
        <w:t>Action items: none</w:t>
      </w:r>
    </w:p>
    <w:p w14:paraId="09C53EFB" w14:textId="77777777" w:rsidR="00CE409C" w:rsidRDefault="00CE409C">
      <w:pPr>
        <w:numPr>
          <w:ilvl w:val="0"/>
          <w:numId w:val="1"/>
        </w:numPr>
        <w:rPr>
          <w:color w:val="333333"/>
          <w:sz w:val="20"/>
          <w:szCs w:val="20"/>
        </w:rPr>
      </w:pPr>
    </w:p>
    <w:p w14:paraId="6F0DD456" w14:textId="77777777" w:rsidR="00CE409C" w:rsidRDefault="00CE409C">
      <w:pPr>
        <w:ind w:left="720"/>
        <w:rPr>
          <w:sz w:val="20"/>
          <w:szCs w:val="20"/>
        </w:rPr>
      </w:pPr>
    </w:p>
    <w:p w14:paraId="0097C714" w14:textId="77777777" w:rsidR="00CE409C" w:rsidRDefault="00CE409C">
      <w:pPr>
        <w:rPr>
          <w:b/>
          <w:highlight w:val="white"/>
          <w:u w:val="single"/>
        </w:rPr>
      </w:pPr>
    </w:p>
    <w:p w14:paraId="59BD0A07" w14:textId="77777777" w:rsidR="00CE409C" w:rsidRDefault="00000000">
      <w:pPr>
        <w:shd w:val="clear" w:color="auto" w:fill="FFFFFF"/>
        <w:spacing w:before="160"/>
        <w:rPr>
          <w:b/>
          <w:sz w:val="20"/>
          <w:szCs w:val="20"/>
          <w:highlight w:val="white"/>
          <w:u w:val="single"/>
        </w:rPr>
      </w:pPr>
      <w:r>
        <w:rPr>
          <w:b/>
          <w:sz w:val="20"/>
          <w:szCs w:val="20"/>
          <w:highlight w:val="white"/>
          <w:u w:val="single"/>
        </w:rPr>
        <w:t>Item 3. Election of GNSO Council Vice Chair 2022-2023</w:t>
      </w:r>
    </w:p>
    <w:p w14:paraId="44369E7D" w14:textId="77777777" w:rsidR="00CE409C" w:rsidRDefault="00000000">
      <w:pPr>
        <w:shd w:val="clear" w:color="auto" w:fill="FFFFFF"/>
        <w:spacing w:before="160"/>
        <w:rPr>
          <w:sz w:val="20"/>
          <w:szCs w:val="20"/>
          <w:highlight w:val="white"/>
        </w:rPr>
      </w:pPr>
      <w:r>
        <w:rPr>
          <w:sz w:val="20"/>
          <w:szCs w:val="20"/>
          <w:highlight w:val="white"/>
        </w:rPr>
        <w:t>Non-Contracted Party House - John McElwaine</w:t>
      </w:r>
    </w:p>
    <w:p w14:paraId="7E6AEE95" w14:textId="77777777" w:rsidR="00CE409C" w:rsidRDefault="00000000">
      <w:pPr>
        <w:shd w:val="clear" w:color="auto" w:fill="FFFFFF"/>
        <w:spacing w:before="160"/>
        <w:rPr>
          <w:sz w:val="20"/>
          <w:szCs w:val="20"/>
          <w:highlight w:val="white"/>
        </w:rPr>
      </w:pPr>
      <w:r>
        <w:rPr>
          <w:sz w:val="20"/>
          <w:szCs w:val="20"/>
          <w:highlight w:val="white"/>
        </w:rPr>
        <w:t>Contracted Party House - Greg DiBiase</w:t>
      </w:r>
    </w:p>
    <w:p w14:paraId="674FCDC7" w14:textId="77777777" w:rsidR="00CE409C" w:rsidRDefault="00000000">
      <w:pPr>
        <w:shd w:val="clear" w:color="auto" w:fill="FFFFFF"/>
        <w:spacing w:before="160"/>
        <w:rPr>
          <w:sz w:val="20"/>
          <w:szCs w:val="20"/>
          <w:highlight w:val="white"/>
        </w:rPr>
      </w:pPr>
      <w:r>
        <w:rPr>
          <w:sz w:val="20"/>
          <w:szCs w:val="20"/>
          <w:highlight w:val="white"/>
        </w:rPr>
        <w:t xml:space="preserve">Sebastien Ducos, GNSO Chair, welcomed Greg and John and congratulated them on their respective appointments. </w:t>
      </w:r>
    </w:p>
    <w:p w14:paraId="7B962AAC" w14:textId="77777777" w:rsidR="00CE409C" w:rsidRDefault="00CE409C">
      <w:pPr>
        <w:shd w:val="clear" w:color="auto" w:fill="FFFFFF"/>
        <w:spacing w:before="160"/>
        <w:rPr>
          <w:b/>
          <w:sz w:val="20"/>
          <w:szCs w:val="20"/>
          <w:highlight w:val="white"/>
          <w:u w:val="single"/>
        </w:rPr>
      </w:pPr>
    </w:p>
    <w:p w14:paraId="4AF01174" w14:textId="77777777" w:rsidR="00CE409C" w:rsidRDefault="00000000">
      <w:pPr>
        <w:shd w:val="clear" w:color="auto" w:fill="FFFFFF"/>
        <w:spacing w:before="160"/>
        <w:rPr>
          <w:b/>
          <w:sz w:val="20"/>
          <w:szCs w:val="20"/>
          <w:highlight w:val="white"/>
          <w:u w:val="single"/>
        </w:rPr>
      </w:pPr>
      <w:r>
        <w:rPr>
          <w:b/>
          <w:sz w:val="20"/>
          <w:szCs w:val="20"/>
          <w:highlight w:val="white"/>
          <w:u w:val="single"/>
        </w:rPr>
        <w:t>Item 4. Any Other Business</w:t>
      </w:r>
    </w:p>
    <w:p w14:paraId="76DA6A7A" w14:textId="77777777" w:rsidR="00CE409C" w:rsidRDefault="00CE409C">
      <w:pPr>
        <w:shd w:val="clear" w:color="auto" w:fill="FFFFFF"/>
        <w:spacing w:before="160"/>
        <w:rPr>
          <w:b/>
          <w:sz w:val="20"/>
          <w:szCs w:val="20"/>
          <w:highlight w:val="white"/>
          <w:u w:val="single"/>
        </w:rPr>
      </w:pPr>
    </w:p>
    <w:p w14:paraId="3433B445" w14:textId="77777777" w:rsidR="00CE409C" w:rsidRDefault="00000000">
      <w:pPr>
        <w:rPr>
          <w:sz w:val="20"/>
          <w:szCs w:val="20"/>
          <w:highlight w:val="white"/>
        </w:rPr>
      </w:pPr>
      <w:r>
        <w:rPr>
          <w:sz w:val="20"/>
          <w:szCs w:val="20"/>
          <w:highlight w:val="white"/>
        </w:rPr>
        <w:lastRenderedPageBreak/>
        <w:t>4.1. Confirm GNSO Chair as interim GNSO Decisional Participant Representative to the Empowered Community</w:t>
      </w:r>
    </w:p>
    <w:p w14:paraId="3E978EE9" w14:textId="77777777" w:rsidR="00CE409C" w:rsidRDefault="00CE409C">
      <w:pPr>
        <w:rPr>
          <w:sz w:val="20"/>
          <w:szCs w:val="20"/>
          <w:highlight w:val="white"/>
        </w:rPr>
      </w:pPr>
    </w:p>
    <w:p w14:paraId="5752644C" w14:textId="77777777" w:rsidR="00CE409C" w:rsidRDefault="00CE409C">
      <w:pPr>
        <w:rPr>
          <w:sz w:val="20"/>
          <w:szCs w:val="20"/>
          <w:highlight w:val="white"/>
        </w:rPr>
      </w:pPr>
    </w:p>
    <w:p w14:paraId="0EDEA7C8" w14:textId="77777777" w:rsidR="00CE409C" w:rsidRDefault="00000000">
      <w:pPr>
        <w:rPr>
          <w:sz w:val="20"/>
          <w:szCs w:val="20"/>
          <w:highlight w:val="white"/>
          <w:u w:val="single"/>
        </w:rPr>
      </w:pPr>
      <w:r>
        <w:rPr>
          <w:sz w:val="20"/>
          <w:szCs w:val="20"/>
          <w:highlight w:val="white"/>
          <w:u w:val="single"/>
        </w:rPr>
        <w:t>Action Item</w:t>
      </w:r>
    </w:p>
    <w:p w14:paraId="0ED753EA" w14:textId="77777777" w:rsidR="00CE409C" w:rsidRDefault="00000000">
      <w:pPr>
        <w:numPr>
          <w:ilvl w:val="0"/>
          <w:numId w:val="2"/>
        </w:numPr>
        <w:rPr>
          <w:sz w:val="20"/>
          <w:szCs w:val="20"/>
        </w:rPr>
      </w:pPr>
      <w:r>
        <w:rPr>
          <w:sz w:val="20"/>
          <w:szCs w:val="20"/>
        </w:rPr>
        <w:t xml:space="preserve"> Per the process and criteria for the selection of GNSO representative to the Empowered Community Administration that were adopted by the GNSO Council on 28 June 2017, the GNSO Chair is confirmed by the GNSO Council upon election as the interim representative to the EC Admin, until such time as the GNSO leadership team has had an opportunity to meet and decide who is taking on this role. </w:t>
      </w:r>
    </w:p>
    <w:p w14:paraId="75BAEA95" w14:textId="77777777" w:rsidR="00CE409C" w:rsidRDefault="00CE409C">
      <w:pPr>
        <w:ind w:left="720"/>
        <w:rPr>
          <w:sz w:val="20"/>
          <w:szCs w:val="20"/>
          <w:highlight w:val="white"/>
        </w:rPr>
      </w:pPr>
    </w:p>
    <w:p w14:paraId="1EC64746" w14:textId="77777777" w:rsidR="00CE409C" w:rsidRDefault="00CE409C">
      <w:pPr>
        <w:rPr>
          <w:b/>
          <w:sz w:val="20"/>
          <w:szCs w:val="20"/>
          <w:highlight w:val="white"/>
        </w:rPr>
      </w:pPr>
    </w:p>
    <w:p w14:paraId="37A906B2" w14:textId="77777777" w:rsidR="00CE409C" w:rsidRDefault="00CE409C">
      <w:pPr>
        <w:rPr>
          <w:sz w:val="20"/>
          <w:szCs w:val="20"/>
          <w:highlight w:val="white"/>
        </w:rPr>
      </w:pPr>
    </w:p>
    <w:p w14:paraId="6A72B254" w14:textId="77777777" w:rsidR="00CE409C" w:rsidRDefault="00000000">
      <w:pPr>
        <w:rPr>
          <w:sz w:val="20"/>
          <w:szCs w:val="20"/>
          <w:highlight w:val="white"/>
        </w:rPr>
      </w:pPr>
      <w:r>
        <w:rPr>
          <w:b/>
          <w:sz w:val="20"/>
          <w:szCs w:val="20"/>
          <w:highlight w:val="white"/>
        </w:rPr>
        <w:t>Sebastien Ducos</w:t>
      </w:r>
      <w:r>
        <w:rPr>
          <w:sz w:val="20"/>
          <w:szCs w:val="20"/>
          <w:highlight w:val="white"/>
        </w:rPr>
        <w:t xml:space="preserve">, </w:t>
      </w:r>
      <w:r>
        <w:rPr>
          <w:b/>
          <w:sz w:val="20"/>
          <w:szCs w:val="20"/>
          <w:highlight w:val="white"/>
        </w:rPr>
        <w:t>GNSO Chair,</w:t>
      </w:r>
      <w:r>
        <w:rPr>
          <w:sz w:val="20"/>
          <w:szCs w:val="20"/>
          <w:highlight w:val="white"/>
        </w:rPr>
        <w:t xml:space="preserve"> adjourned the meeting at 08:04 UTC.</w:t>
      </w:r>
    </w:p>
    <w:p w14:paraId="4D302E49" w14:textId="77777777" w:rsidR="00CE409C" w:rsidRDefault="00CE409C">
      <w:pPr>
        <w:rPr>
          <w:sz w:val="20"/>
          <w:szCs w:val="20"/>
          <w:highlight w:val="white"/>
        </w:rPr>
      </w:pPr>
    </w:p>
    <w:p w14:paraId="4C6C8454" w14:textId="77777777" w:rsidR="00CE409C" w:rsidRDefault="00000000">
      <w:pPr>
        <w:rPr>
          <w:sz w:val="20"/>
          <w:szCs w:val="20"/>
          <w:highlight w:val="white"/>
        </w:rPr>
      </w:pPr>
      <w:r>
        <w:rPr>
          <w:sz w:val="20"/>
          <w:szCs w:val="20"/>
          <w:highlight w:val="white"/>
        </w:rPr>
        <w:t>The next GNSO Council meeting will take place on Thursday 20 October 2022.</w:t>
      </w:r>
    </w:p>
    <w:p w14:paraId="7A1D743C" w14:textId="77777777" w:rsidR="00CE409C" w:rsidRDefault="00CE409C">
      <w:pPr>
        <w:rPr>
          <w:sz w:val="20"/>
          <w:szCs w:val="20"/>
          <w:highlight w:val="white"/>
        </w:rPr>
      </w:pPr>
    </w:p>
    <w:p w14:paraId="57012D50" w14:textId="77777777" w:rsidR="00CE409C" w:rsidRDefault="00CE409C"/>
    <w:sectPr w:rsidR="00CE40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21FC6"/>
    <w:multiLevelType w:val="multilevel"/>
    <w:tmpl w:val="49687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A30ACA"/>
    <w:multiLevelType w:val="multilevel"/>
    <w:tmpl w:val="54406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1140470">
    <w:abstractNumId w:val="0"/>
  </w:num>
  <w:num w:numId="2" w16cid:durableId="199918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9C"/>
    <w:rsid w:val="001538CE"/>
    <w:rsid w:val="00CE409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560741A"/>
  <w15:docId w15:val="{484C9239-4DFF-A545-AC25-D427F564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ann.zoom.us/rec/share/yHKarU4Kk2RnAdaf24MPQHFzfnjamuqiLcjAZMcLWMhvtgL_AuJz4lGjvmjP-zxh.mdPXyoiwCuaCPyM_?startTime=1663745935000" TargetMode="External"/><Relationship Id="rId13" Type="http://schemas.openxmlformats.org/officeDocument/2006/relationships/hyperlink" Target="https://community.icann.org/x/HgbPA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yc2uwm9z" TargetMode="External"/><Relationship Id="rId12" Type="http://schemas.openxmlformats.org/officeDocument/2006/relationships/hyperlink" Target="https://community.icann.org/x/tYIlBw" TargetMode="External"/><Relationship Id="rId17" Type="http://schemas.openxmlformats.org/officeDocument/2006/relationships/hyperlink" Target="https://gnso.icann.org/sites/default/files/policy/2022/vote-result/gnso-council-motion-recorder-21sep22-en.pdf" TargetMode="External"/><Relationship Id="rId2" Type="http://schemas.openxmlformats.org/officeDocument/2006/relationships/styles" Target="styles.xml"/><Relationship Id="rId16" Type="http://schemas.openxmlformats.org/officeDocument/2006/relationships/hyperlink" Target="https://gnso.icann.org/sites/default/files/file/field-file-attach/op-procedures-24oct19-en.pdf"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2021-10-27" TargetMode="External"/><Relationship Id="rId11" Type="http://schemas.openxmlformats.org/officeDocument/2006/relationships/hyperlink" Target="https://community.icann.org/x/iBvwAw" TargetMode="External"/><Relationship Id="rId5" Type="http://schemas.openxmlformats.org/officeDocument/2006/relationships/hyperlink" Target="https://community.icann.org/display/gnsocouncilmeetings/Final+Proposed+Agenda+2021-10-27+-+Part+2" TargetMode="External"/><Relationship Id="rId15" Type="http://schemas.openxmlformats.org/officeDocument/2006/relationships/hyperlink" Target="https://urldefense.com/v3/__https://gnso.icann.org/en/elections/ducos-statement-10sep22-en.pdf__;!!PtGJab4!664O2QskyuokZo8ILjEwV6mcLR8-bVXtWVTV1clL9-c68vFC_uid3-6doDZJtM98jLIsvxk2E2O_TTAJjO8cNFp4iojj5hY3iFybwT4Th1v_$" TargetMode="External"/><Relationship Id="rId10" Type="http://schemas.openxmlformats.org/officeDocument/2006/relationships/hyperlink" Target="https://community.icann.org/x/W4MKA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75.schedule.icann.org/meetings/uuM3MEMZ7RzyCrNSm" TargetMode="External"/><Relationship Id="rId14" Type="http://schemas.openxmlformats.org/officeDocument/2006/relationships/hyperlink" Target="https://community.icann.org/x/sLbh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2022-10-05T14:38:00Z</dcterms:created>
  <dcterms:modified xsi:type="dcterms:W3CDTF">2022-10-05T14:38:00Z</dcterms:modified>
</cp:coreProperties>
</file>