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BD7260" w14:textId="77777777" w:rsidR="002C550E" w:rsidRDefault="002C550E">
      <w:pPr>
        <w:spacing w:after="0" w:line="240" w:lineRule="auto"/>
      </w:pPr>
      <w:bookmarkStart w:id="0" w:name="_GoBack"/>
      <w:bookmarkEnd w:id="0"/>
    </w:p>
    <w:p w14:paraId="50D9BDA4" w14:textId="77777777" w:rsidR="003152D1" w:rsidRPr="00EF7DB3" w:rsidRDefault="0006593B" w:rsidP="00EF7DB3">
      <w:pPr>
        <w:spacing w:after="0" w:line="240" w:lineRule="auto"/>
        <w:jc w:val="center"/>
        <w:rPr>
          <w:rFonts w:asciiTheme="minorHAnsi" w:hAnsiTheme="minorHAnsi" w:cs="Arial"/>
          <w:b/>
          <w:bCs/>
          <w:color w:val="FF0000"/>
          <w:sz w:val="48"/>
          <w:szCs w:val="44"/>
        </w:rPr>
      </w:pPr>
      <w:r w:rsidRPr="00EF7DB3">
        <w:rPr>
          <w:rFonts w:asciiTheme="minorHAnsi" w:hAnsiTheme="minorHAnsi" w:cs="Arial"/>
          <w:b/>
          <w:bCs/>
          <w:color w:val="333333"/>
          <w:sz w:val="44"/>
          <w:szCs w:val="40"/>
        </w:rPr>
        <w:t xml:space="preserve">Terms of Reference for the </w:t>
      </w:r>
      <w:r w:rsidR="000843EF" w:rsidRPr="00EF7DB3">
        <w:rPr>
          <w:rFonts w:asciiTheme="minorHAnsi" w:hAnsiTheme="minorHAnsi" w:cs="Arial"/>
          <w:b/>
          <w:bCs/>
          <w:color w:val="333333"/>
          <w:sz w:val="44"/>
          <w:szCs w:val="40"/>
        </w:rPr>
        <w:t xml:space="preserve">Second </w:t>
      </w:r>
      <w:r w:rsidR="00643F52" w:rsidRPr="00EF7DB3">
        <w:rPr>
          <w:rFonts w:asciiTheme="minorHAnsi" w:hAnsiTheme="minorHAnsi"/>
          <w:b/>
          <w:sz w:val="44"/>
          <w:szCs w:val="40"/>
        </w:rPr>
        <w:t>Security, Stab</w:t>
      </w:r>
      <w:r w:rsidR="00643F52" w:rsidRPr="00EF7DB3">
        <w:rPr>
          <w:rFonts w:asciiTheme="minorHAnsi" w:hAnsiTheme="minorHAnsi" w:cs="Arial"/>
          <w:b/>
          <w:bCs/>
          <w:color w:val="333333"/>
          <w:sz w:val="44"/>
          <w:szCs w:val="40"/>
        </w:rPr>
        <w:t xml:space="preserve">ility </w:t>
      </w:r>
      <w:r w:rsidR="000843EF" w:rsidRPr="00EF7DB3">
        <w:rPr>
          <w:rFonts w:asciiTheme="minorHAnsi" w:hAnsiTheme="minorHAnsi" w:cs="Arial"/>
          <w:b/>
          <w:bCs/>
          <w:color w:val="333333"/>
          <w:sz w:val="44"/>
          <w:szCs w:val="40"/>
        </w:rPr>
        <w:t xml:space="preserve">and </w:t>
      </w:r>
      <w:r w:rsidR="00643F52" w:rsidRPr="00EF7DB3">
        <w:rPr>
          <w:rFonts w:asciiTheme="minorHAnsi" w:hAnsiTheme="minorHAnsi" w:cs="Arial"/>
          <w:b/>
          <w:bCs/>
          <w:color w:val="333333"/>
          <w:sz w:val="44"/>
          <w:szCs w:val="40"/>
        </w:rPr>
        <w:t xml:space="preserve">Resiliency </w:t>
      </w:r>
      <w:r w:rsidR="000843EF" w:rsidRPr="00EF7DB3">
        <w:rPr>
          <w:rFonts w:asciiTheme="minorHAnsi" w:hAnsiTheme="minorHAnsi" w:cs="Arial"/>
          <w:b/>
          <w:bCs/>
          <w:color w:val="333333"/>
          <w:sz w:val="44"/>
          <w:szCs w:val="40"/>
        </w:rPr>
        <w:t xml:space="preserve">Review </w:t>
      </w:r>
      <w:r w:rsidR="00DA47B4" w:rsidRPr="00EF7DB3">
        <w:rPr>
          <w:rFonts w:asciiTheme="minorHAnsi" w:hAnsiTheme="minorHAnsi" w:cs="Arial"/>
          <w:b/>
          <w:bCs/>
          <w:color w:val="333333"/>
          <w:sz w:val="44"/>
          <w:szCs w:val="40"/>
        </w:rPr>
        <w:t xml:space="preserve">Team </w:t>
      </w:r>
      <w:r w:rsidR="00643F52" w:rsidRPr="00EF7DB3">
        <w:rPr>
          <w:rFonts w:asciiTheme="minorHAnsi" w:hAnsiTheme="minorHAnsi" w:cs="Arial"/>
          <w:b/>
          <w:bCs/>
          <w:color w:val="333333"/>
          <w:sz w:val="44"/>
          <w:szCs w:val="40"/>
        </w:rPr>
        <w:t>(SSR2</w:t>
      </w:r>
      <w:r w:rsidR="00907296" w:rsidRPr="00EF7DB3">
        <w:rPr>
          <w:rFonts w:asciiTheme="minorHAnsi" w:hAnsiTheme="minorHAnsi" w:cs="Arial"/>
          <w:b/>
          <w:bCs/>
          <w:color w:val="333333"/>
          <w:sz w:val="44"/>
          <w:szCs w:val="40"/>
        </w:rPr>
        <w:t>-RT</w:t>
      </w:r>
      <w:r w:rsidR="00643F52" w:rsidRPr="00EF7DB3">
        <w:rPr>
          <w:rFonts w:asciiTheme="minorHAnsi" w:hAnsiTheme="minorHAnsi" w:cs="Arial"/>
          <w:b/>
          <w:bCs/>
          <w:color w:val="333333"/>
          <w:sz w:val="44"/>
          <w:szCs w:val="40"/>
        </w:rPr>
        <w:t>)</w:t>
      </w:r>
      <w:r w:rsidR="003152D1" w:rsidRPr="00EF7DB3">
        <w:rPr>
          <w:rStyle w:val="FootnoteReference"/>
          <w:rFonts w:asciiTheme="minorHAnsi" w:hAnsiTheme="minorHAnsi" w:cs="Arial"/>
          <w:b/>
          <w:bCs/>
          <w:color w:val="auto"/>
          <w:sz w:val="48"/>
          <w:szCs w:val="44"/>
        </w:rPr>
        <w:footnoteReference w:id="1"/>
      </w:r>
    </w:p>
    <w:p w14:paraId="4C4D24A7" w14:textId="77777777" w:rsidR="00643F52" w:rsidRPr="0006593B" w:rsidRDefault="00643F52" w:rsidP="00023355">
      <w:pPr>
        <w:pStyle w:val="Heading1"/>
        <w:spacing w:before="0" w:after="0"/>
        <w:rPr>
          <w:rFonts w:asciiTheme="minorHAnsi" w:hAnsiTheme="minorHAnsi" w:cs="Arial"/>
          <w:bCs/>
          <w:color w:val="333333"/>
          <w:sz w:val="40"/>
          <w:szCs w:val="40"/>
        </w:rPr>
      </w:pPr>
    </w:p>
    <w:p w14:paraId="4683FFF9" w14:textId="77777777"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14:paraId="50FFBD1C" w14:textId="77777777" w:rsidR="00B009D6" w:rsidRPr="00EF7DB3" w:rsidRDefault="00B009D6" w:rsidP="00262DCA">
      <w:pPr>
        <w:pStyle w:val="Heading2"/>
        <w:rPr>
          <w:b/>
          <w:sz w:val="28"/>
        </w:rPr>
      </w:pPr>
      <w:r w:rsidRPr="00EF7DB3">
        <w:rPr>
          <w:b/>
          <w:sz w:val="28"/>
        </w:rPr>
        <w:t>Background on SSR Reviews</w:t>
      </w:r>
    </w:p>
    <w:p w14:paraId="7E06CA36" w14:textId="77777777" w:rsidR="00B009D6" w:rsidRPr="0006593B" w:rsidRDefault="00B009D6" w:rsidP="00B009D6">
      <w:pPr>
        <w:spacing w:after="0" w:line="240" w:lineRule="auto"/>
        <w:rPr>
          <w:rFonts w:asciiTheme="minorHAnsi" w:hAnsiTheme="minorHAnsi"/>
          <w:sz w:val="24"/>
          <w:szCs w:val="24"/>
        </w:rPr>
      </w:pPr>
    </w:p>
    <w:p w14:paraId="65888129" w14:textId="77777777"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r w:rsidR="007905A3">
        <w:rPr>
          <w:rFonts w:asciiTheme="minorHAnsi" w:hAnsiTheme="minorHAnsi" w:cs="Arial"/>
          <w:color w:val="333333"/>
          <w:sz w:val="24"/>
          <w:szCs w:val="24"/>
        </w:rPr>
        <w:t>s</w:t>
      </w:r>
      <w:r>
        <w:rPr>
          <w:rFonts w:asciiTheme="minorHAnsi" w:hAnsiTheme="minorHAnsi" w:cs="Arial"/>
          <w:color w:val="333333"/>
          <w:sz w:val="24"/>
          <w:szCs w:val="24"/>
        </w:rPr>
        <w:t xml:space="preserve"> </w:t>
      </w:r>
      <w:r w:rsidR="007905A3">
        <w:rPr>
          <w:rFonts w:asciiTheme="minorHAnsi" w:hAnsiTheme="minorHAnsi" w:cs="Arial"/>
          <w:color w:val="333333"/>
          <w:sz w:val="24"/>
          <w:szCs w:val="24"/>
        </w:rPr>
        <w:t>were established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w:t>
      </w:r>
      <w:r w:rsidR="007905A3">
        <w:rPr>
          <w:rFonts w:asciiTheme="minorHAnsi" w:hAnsiTheme="minorHAnsi" w:cs="Arial"/>
          <w:color w:val="333333"/>
          <w:sz w:val="24"/>
          <w:szCs w:val="24"/>
        </w:rPr>
        <w:t>s for</w:t>
      </w:r>
      <w:r w:rsidR="00B009D6" w:rsidRPr="0006593B">
        <w:rPr>
          <w:rFonts w:asciiTheme="minorHAnsi" w:hAnsiTheme="minorHAnsi" w:cs="Arial"/>
          <w:color w:val="333333"/>
          <w:sz w:val="24"/>
          <w:szCs w:val="24"/>
        </w:rPr>
        <w:t xml:space="preserv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9"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w:t>
      </w:r>
      <w:r w:rsidR="007905A3">
        <w:rPr>
          <w:rFonts w:asciiTheme="minorHAnsi" w:hAnsiTheme="minorHAnsi" w:cs="Arial"/>
          <w:color w:val="333333"/>
          <w:sz w:val="24"/>
          <w:szCs w:val="24"/>
        </w:rPr>
        <w:t xml:space="preserve">the </w:t>
      </w:r>
      <w:r w:rsidR="000843EF">
        <w:rPr>
          <w:rFonts w:asciiTheme="minorHAnsi" w:hAnsiTheme="minorHAnsi" w:cs="Arial"/>
          <w:color w:val="333333"/>
          <w:sz w:val="24"/>
          <w:szCs w:val="24"/>
        </w:rPr>
        <w:t>"</w:t>
      </w:r>
      <w:hyperlink r:id="rId10"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14:paraId="40CFF25D" w14:textId="77777777"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1"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14:paraId="0491A5EB" w14:textId="77777777" w:rsidR="00B009D6" w:rsidRPr="0006593B" w:rsidRDefault="00B009D6" w:rsidP="00B009D6">
      <w:pPr>
        <w:spacing w:after="0" w:line="240" w:lineRule="auto"/>
        <w:rPr>
          <w:rFonts w:asciiTheme="minorHAnsi" w:hAnsiTheme="minorHAnsi" w:cs="Arial"/>
          <w:color w:val="333333"/>
          <w:sz w:val="24"/>
          <w:szCs w:val="24"/>
        </w:rPr>
      </w:pPr>
    </w:p>
    <w:p w14:paraId="6296CA76" w14:textId="77777777" w:rsidR="00643F52" w:rsidRPr="00EF7DB3" w:rsidRDefault="00DA1405" w:rsidP="00262DCA">
      <w:pPr>
        <w:pStyle w:val="Heading2"/>
        <w:rPr>
          <w:b/>
          <w:sz w:val="28"/>
        </w:rPr>
      </w:pPr>
      <w:r w:rsidRPr="00EF7DB3">
        <w:rPr>
          <w:b/>
          <w:sz w:val="28"/>
        </w:rPr>
        <w:t xml:space="preserve">ICANN Mission and </w:t>
      </w:r>
      <w:r w:rsidR="0041391F" w:rsidRPr="00EF7DB3">
        <w:rPr>
          <w:b/>
          <w:sz w:val="28"/>
        </w:rPr>
        <w:t>Bylaws Requirements</w:t>
      </w:r>
      <w:r w:rsidR="00643F52" w:rsidRPr="00EF7DB3">
        <w:rPr>
          <w:b/>
          <w:sz w:val="28"/>
        </w:rPr>
        <w:t xml:space="preserve"> of the SSR</w:t>
      </w:r>
      <w:r w:rsidR="00B009D6" w:rsidRPr="00EF7DB3">
        <w:rPr>
          <w:b/>
          <w:sz w:val="28"/>
        </w:rPr>
        <w:t>2</w:t>
      </w:r>
      <w:r w:rsidR="00643F52" w:rsidRPr="00EF7DB3">
        <w:rPr>
          <w:b/>
          <w:sz w:val="28"/>
        </w:rPr>
        <w:t xml:space="preserve"> Review</w:t>
      </w:r>
      <w:r w:rsidR="003F6129" w:rsidRPr="00EF7DB3">
        <w:rPr>
          <w:b/>
          <w:sz w:val="28"/>
        </w:rPr>
        <w:t xml:space="preserve"> </w:t>
      </w:r>
    </w:p>
    <w:p w14:paraId="4DE20382" w14:textId="77777777"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14:paraId="72AD689E" w14:textId="77777777"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01935FCD"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14:paraId="0DCEEC41"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(i)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w:t>
      </w:r>
      <w:r w:rsidRPr="00FA62DE">
        <w:rPr>
          <w:rFonts w:asciiTheme="minorHAnsi" w:hAnsiTheme="minorHAnsi" w:cs="Arial"/>
          <w:i/>
          <w:color w:val="333333"/>
          <w:u w:val="single"/>
        </w:rPr>
        <w:t xml:space="preserve">development </w:t>
      </w:r>
      <w:r w:rsidRPr="00DA1405">
        <w:rPr>
          <w:rFonts w:asciiTheme="minorHAnsi" w:hAnsiTheme="minorHAnsi" w:cs="Arial"/>
          <w:i/>
          <w:color w:val="333333"/>
        </w:rPr>
        <w:t xml:space="preserve">and </w:t>
      </w:r>
      <w:r w:rsidRPr="00FA62DE">
        <w:rPr>
          <w:rFonts w:asciiTheme="minorHAnsi" w:hAnsiTheme="minorHAnsi" w:cs="Arial"/>
          <w:i/>
          <w:color w:val="333333"/>
          <w:u w:val="single"/>
        </w:rPr>
        <w:t xml:space="preserve">implementation </w:t>
      </w:r>
      <w:r w:rsidRPr="00DA1405">
        <w:rPr>
          <w:rFonts w:asciiTheme="minorHAnsi" w:hAnsiTheme="minorHAnsi" w:cs="Arial"/>
          <w:i/>
          <w:color w:val="333333"/>
        </w:rPr>
        <w:t>of policies:</w:t>
      </w:r>
    </w:p>
    <w:p w14:paraId="564A369B"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lastRenderedPageBreak/>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14:paraId="781DB81A"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14:paraId="272CB33C" w14:textId="77777777"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gTLD registrars and registries shall be deemed to be within ICANN's Mission. </w:t>
      </w:r>
    </w:p>
    <w:p w14:paraId="78E4CCF3"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14:paraId="7C978367"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(iii) Coordinates the allocation and assignment at the top-most level of Internet Protocol numbers and Autonomous System numbers. In service of its Mission, </w:t>
      </w:r>
      <w:r w:rsidRPr="00FA62DE">
        <w:rPr>
          <w:rFonts w:asciiTheme="minorHAnsi" w:hAnsiTheme="minorHAnsi" w:cs="Arial"/>
          <w:i/>
          <w:color w:val="333333"/>
          <w:u w:val="single"/>
        </w:rPr>
        <w:t>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14:paraId="5B9913CE"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14:paraId="1A99BCC0" w14:textId="77777777"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14:paraId="16EACF58" w14:textId="77777777"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 xml:space="preserve">(c) </w:t>
      </w:r>
      <w:r w:rsidRPr="00FA62DE">
        <w:rPr>
          <w:rFonts w:asciiTheme="minorHAnsi" w:hAnsiTheme="minorHAnsi" w:cs="Arial"/>
          <w:i/>
          <w:color w:val="333333"/>
          <w:u w:val="single"/>
        </w:rPr>
        <w:t>ICANN shall not regulate (i.e., impose rules and restrictions on) services that use the Internet's unique identifiers or the content that such services carry or provide</w:t>
      </w:r>
      <w:r w:rsidRPr="007942C3">
        <w:rPr>
          <w:rFonts w:asciiTheme="minorHAnsi" w:hAnsiTheme="minorHAnsi" w:cs="Arial"/>
          <w:i/>
          <w:color w:val="333333"/>
        </w:rPr>
        <w:t>, outside the express scope of Section 1.1(a). For the avoidance of doubt, ICANN does not hold any governmentally authorized regulatory authority.</w:t>
      </w:r>
      <w:r>
        <w:rPr>
          <w:rFonts w:asciiTheme="minorHAnsi" w:hAnsiTheme="minorHAnsi" w:cs="Arial"/>
          <w:i/>
          <w:color w:val="333333"/>
        </w:rPr>
        <w:t>”</w:t>
      </w:r>
    </w:p>
    <w:p w14:paraId="49212248" w14:textId="77777777"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2"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14:paraId="172D10A8" w14:textId="77777777"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 xml:space="preserve">(i)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14:paraId="36E4B11B" w14:textId="77777777"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lastRenderedPageBreak/>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14:paraId="7E6B3BDC"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FA62DE">
        <w:rPr>
          <w:rFonts w:asciiTheme="minorHAnsi" w:hAnsiTheme="minorHAnsi" w:cs="Arial"/>
          <w:i/>
          <w:color w:val="333333"/>
          <w:sz w:val="24"/>
          <w:szCs w:val="24"/>
          <w:u w:val="single"/>
        </w:rPr>
        <w:t>security, operational stability and resiliency matters, both physical and network, relating to the coordination of the Internet’s system of unique identifiers</w:t>
      </w:r>
      <w:r w:rsidRPr="00B257D8">
        <w:rPr>
          <w:rFonts w:asciiTheme="minorHAnsi" w:hAnsiTheme="minorHAnsi" w:cs="Arial"/>
          <w:i/>
          <w:color w:val="333333"/>
          <w:sz w:val="24"/>
          <w:szCs w:val="24"/>
        </w:rPr>
        <w:t>;</w:t>
      </w:r>
    </w:p>
    <w:p w14:paraId="72E46C11"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14:paraId="4012BFD6"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14:paraId="2A5651BB" w14:textId="77777777"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 xml:space="preserve">The SSR Review Team </w:t>
      </w:r>
      <w:r w:rsidR="00643F52" w:rsidRPr="00FA62DE">
        <w:rPr>
          <w:rFonts w:asciiTheme="minorHAnsi" w:hAnsiTheme="minorHAnsi" w:cs="Arial"/>
          <w:i/>
          <w:color w:val="333333"/>
          <w:u w:val="single"/>
        </w:rPr>
        <w:t>shall also assess the extent to which ICANN has successfully implemented its security efforts, the effectiveness of the security efforts to deal with actual and potential challenges and threats to the security and stability of the DNS,</w:t>
      </w:r>
      <w:r w:rsidR="00643F52" w:rsidRPr="00B257D8">
        <w:rPr>
          <w:rFonts w:asciiTheme="minorHAnsi" w:hAnsiTheme="minorHAnsi" w:cs="Arial"/>
          <w:i/>
          <w:color w:val="333333"/>
        </w:rPr>
        <w:t xml:space="preserve"> and the extent to which the security efforts are sufficiently robust to meet future challenges and threats to the security, stability and resiliency of the DNS, consistent with ICANN’s Mission.</w:t>
      </w:r>
    </w:p>
    <w:p w14:paraId="4C8A365E" w14:textId="77777777"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“(iv)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14:paraId="6D54A044" w14:textId="77777777"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3"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1" w:name="h.gjdgxs" w:colFirst="0" w:colLast="0"/>
      <w:bookmarkEnd w:id="1"/>
    </w:p>
    <w:p w14:paraId="62955506" w14:textId="77777777" w:rsidR="00C8254F" w:rsidRDefault="00C8254F" w:rsidP="008C16A2">
      <w:pPr>
        <w:spacing w:after="0" w:line="240" w:lineRule="auto"/>
        <w:rPr>
          <w:rFonts w:asciiTheme="minorHAnsi" w:hAnsiTheme="minorHAnsi"/>
          <w:b/>
          <w:sz w:val="28"/>
          <w:szCs w:val="28"/>
        </w:rPr>
      </w:pPr>
    </w:p>
    <w:p w14:paraId="15EBBEFE" w14:textId="77777777" w:rsidR="008C16A2" w:rsidRPr="00EF7DB3" w:rsidRDefault="008C16A2" w:rsidP="00262DCA">
      <w:pPr>
        <w:pStyle w:val="Heading2"/>
        <w:rPr>
          <w:b/>
          <w:sz w:val="28"/>
        </w:rPr>
      </w:pPr>
      <w:r w:rsidRPr="00EF7DB3">
        <w:rPr>
          <w:b/>
          <w:sz w:val="28"/>
        </w:rPr>
        <w:t>Definitions</w:t>
      </w:r>
    </w:p>
    <w:p w14:paraId="100ADAC3" w14:textId="77777777" w:rsidR="008C16A2" w:rsidRDefault="008C16A2" w:rsidP="008C16A2">
      <w:pPr>
        <w:spacing w:after="0" w:line="240" w:lineRule="auto"/>
        <w:rPr>
          <w:rFonts w:asciiTheme="minorHAnsi" w:hAnsiTheme="minorHAnsi"/>
          <w:b/>
          <w:sz w:val="28"/>
          <w:szCs w:val="28"/>
        </w:rPr>
      </w:pPr>
    </w:p>
    <w:p w14:paraId="0B771F12" w14:textId="77777777"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r>
        <w:rPr>
          <w:rFonts w:asciiTheme="minorHAnsi" w:hAnsiTheme="minorHAnsi"/>
          <w:sz w:val="24"/>
          <w:szCs w:val="24"/>
        </w:rPr>
        <w:t>:</w:t>
      </w:r>
      <w:r w:rsidR="003152D1">
        <w:rPr>
          <w:rStyle w:val="FootnoteReference"/>
          <w:rFonts w:asciiTheme="minorHAnsi" w:hAnsiTheme="minorHAnsi"/>
          <w:sz w:val="24"/>
          <w:szCs w:val="24"/>
        </w:rPr>
        <w:footnoteReference w:id="2"/>
      </w:r>
    </w:p>
    <w:p w14:paraId="73EF99CD" w14:textId="77777777" w:rsidR="008C16A2" w:rsidRDefault="008C16A2" w:rsidP="00262DCA">
      <w:pPr>
        <w:spacing w:after="0" w:line="240" w:lineRule="auto"/>
        <w:ind w:left="720"/>
        <w:rPr>
          <w:rFonts w:asciiTheme="minorHAnsi" w:hAnsiTheme="minorHAnsi"/>
          <w:b/>
          <w:sz w:val="24"/>
          <w:szCs w:val="24"/>
        </w:rPr>
      </w:pPr>
    </w:p>
    <w:p w14:paraId="49EC4A61" w14:textId="77777777" w:rsidR="0061487A" w:rsidRPr="00262DCA" w:rsidRDefault="008C16A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Security</w:t>
      </w:r>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misuse of Internet unique identifiers;</w:t>
      </w:r>
    </w:p>
    <w:p w14:paraId="08EE3D4A" w14:textId="77777777"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 xml:space="preserve">Stability – The capacity to ensure that the Identifier System </w:t>
      </w:r>
      <w:r w:rsidRPr="002C37AD">
        <w:rPr>
          <w:rFonts w:asciiTheme="minorHAnsi" w:hAnsiTheme="minorHAnsi"/>
          <w:sz w:val="24"/>
          <w:szCs w:val="24"/>
        </w:rPr>
        <w:t>operates as expected</w:t>
      </w:r>
      <w:r w:rsidRPr="00262DCA">
        <w:rPr>
          <w:rFonts w:asciiTheme="minorHAnsi" w:hAnsiTheme="minorHAnsi"/>
          <w:sz w:val="24"/>
          <w:szCs w:val="24"/>
        </w:rPr>
        <w:t xml:space="preserve"> and that users of unique identifiers have confidence that the system operates as expected;</w:t>
      </w:r>
    </w:p>
    <w:p w14:paraId="36B1EF63" w14:textId="77777777" w:rsidR="008C16A2"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Resiliency – The capacity of the Identifier System to effectively withstand, tolerate and survive malicious attacks and other disruptive events without disruption or cessation of service.</w:t>
      </w:r>
    </w:p>
    <w:p w14:paraId="633988F2" w14:textId="77777777" w:rsidR="008C16A2" w:rsidRPr="00262DCA" w:rsidRDefault="00CE29B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r w:rsidR="003152D1">
        <w:rPr>
          <w:rFonts w:asciiTheme="minorHAnsi" w:hAnsiTheme="minorHAnsi"/>
          <w:sz w:val="24"/>
          <w:szCs w:val="24"/>
        </w:rPr>
        <w:t xml:space="preserve"> – </w:t>
      </w:r>
      <w:r w:rsidR="00184D4D" w:rsidRPr="00262DCA">
        <w:rPr>
          <w:rFonts w:asciiTheme="minorHAnsi" w:hAnsiTheme="minorHAnsi"/>
          <w:sz w:val="24"/>
          <w:szCs w:val="24"/>
        </w:rPr>
        <w:t xml:space="preserve">ICANN’s technical mission includes helping to coordinate, at the overall level, the allocation of the Internet’s system of unique identifiers: specifically, top-level domain names, blocks of Internet Protocol (IP) addresses and autonomous </w:t>
      </w:r>
      <w:r w:rsidR="00184D4D" w:rsidRPr="00262DCA">
        <w:rPr>
          <w:rFonts w:asciiTheme="minorHAnsi" w:hAnsiTheme="minorHAnsi"/>
          <w:sz w:val="24"/>
          <w:szCs w:val="24"/>
        </w:rPr>
        <w:lastRenderedPageBreak/>
        <w:t>system (AS) numbers allocated to the Regional Internet Registries, and protocol parameters as directed by the IETF</w:t>
      </w:r>
    </w:p>
    <w:p w14:paraId="31479FE7" w14:textId="77777777" w:rsidR="00EF7DB3" w:rsidRDefault="00EF7DB3" w:rsidP="00262DCA">
      <w:pPr>
        <w:pStyle w:val="Heading2"/>
        <w:rPr>
          <w:b/>
          <w:sz w:val="28"/>
        </w:rPr>
      </w:pPr>
    </w:p>
    <w:p w14:paraId="23CE41A7" w14:textId="77777777" w:rsidR="00264C5C" w:rsidRPr="00EF7DB3" w:rsidRDefault="003A4111" w:rsidP="00262DCA">
      <w:pPr>
        <w:pStyle w:val="Heading2"/>
        <w:rPr>
          <w:b/>
          <w:sz w:val="28"/>
        </w:rPr>
      </w:pPr>
      <w:r w:rsidRPr="00EF7DB3">
        <w:rPr>
          <w:b/>
          <w:sz w:val="28"/>
        </w:rPr>
        <w:t xml:space="preserve">Scope of </w:t>
      </w:r>
      <w:r w:rsidR="00264C5C" w:rsidRPr="00EF7DB3">
        <w:rPr>
          <w:b/>
          <w:sz w:val="28"/>
        </w:rPr>
        <w:t>Work</w:t>
      </w:r>
    </w:p>
    <w:p w14:paraId="3AB96A40" w14:textId="77777777" w:rsidR="00264C5C" w:rsidRDefault="00264C5C" w:rsidP="002742AB">
      <w:pPr>
        <w:pStyle w:val="ListParagraph"/>
        <w:spacing w:after="0" w:line="240" w:lineRule="auto"/>
        <w:ind w:left="360"/>
        <w:rPr>
          <w:rFonts w:asciiTheme="minorHAnsi" w:hAnsiTheme="minorHAnsi"/>
          <w:b/>
          <w:sz w:val="28"/>
          <w:szCs w:val="28"/>
        </w:rPr>
      </w:pPr>
    </w:p>
    <w:p w14:paraId="762DF722" w14:textId="77777777" w:rsidR="002C37AD" w:rsidRPr="00B60877" w:rsidRDefault="002C37AD" w:rsidP="002C37AD">
      <w:pPr>
        <w:pStyle w:val="ListParagraph"/>
        <w:spacing w:after="0" w:line="240" w:lineRule="auto"/>
        <w:ind w:left="360"/>
        <w:rPr>
          <w:rFonts w:asciiTheme="minorHAnsi" w:hAnsiTheme="minorHAnsi"/>
          <w:b/>
          <w:sz w:val="28"/>
          <w:szCs w:val="28"/>
        </w:rPr>
      </w:pPr>
      <w:r w:rsidRPr="00B60877">
        <w:rPr>
          <w:rFonts w:asciiTheme="minorHAnsi" w:hAnsiTheme="minorHAnsi"/>
          <w:sz w:val="24"/>
        </w:rPr>
        <w:t xml:space="preserve">Explanatory Note: </w:t>
      </w:r>
      <w:r w:rsidR="00B60877">
        <w:rPr>
          <w:rFonts w:asciiTheme="minorHAnsi" w:hAnsiTheme="minorHAnsi"/>
          <w:sz w:val="24"/>
        </w:rPr>
        <w:t>B</w:t>
      </w:r>
      <w:r w:rsidRPr="00B60877">
        <w:rPr>
          <w:rFonts w:asciiTheme="minorHAnsi" w:hAnsiTheme="minorHAnsi"/>
          <w:sz w:val="24"/>
        </w:rPr>
        <w:t xml:space="preserve">elow, the team </w:t>
      </w:r>
      <w:r w:rsidR="00D454E8">
        <w:rPr>
          <w:rFonts w:asciiTheme="minorHAnsi" w:hAnsiTheme="minorHAnsi"/>
          <w:sz w:val="24"/>
        </w:rPr>
        <w:t>addresses</w:t>
      </w:r>
      <w:r w:rsidRPr="00B60877">
        <w:rPr>
          <w:rFonts w:asciiTheme="minorHAnsi" w:hAnsiTheme="minorHAnsi"/>
          <w:sz w:val="24"/>
        </w:rPr>
        <w:t xml:space="preserve"> relevant mandates of the bylaws.</w:t>
      </w:r>
    </w:p>
    <w:p w14:paraId="5C6EC40B" w14:textId="77777777" w:rsidR="00F36104" w:rsidRDefault="00F36104" w:rsidP="00E354CA">
      <w:pPr>
        <w:spacing w:after="0" w:line="240" w:lineRule="auto"/>
        <w:rPr>
          <w:rFonts w:asciiTheme="minorHAnsi" w:hAnsiTheme="minorHAnsi"/>
          <w:i/>
          <w:sz w:val="24"/>
          <w:szCs w:val="24"/>
        </w:rPr>
      </w:pPr>
    </w:p>
    <w:p w14:paraId="2063BB08" w14:textId="77777777" w:rsidR="00F36104" w:rsidRPr="00896DAE" w:rsidRDefault="00F36104" w:rsidP="00F36104">
      <w:pPr>
        <w:spacing w:after="0" w:line="240" w:lineRule="auto"/>
        <w:ind w:left="720"/>
        <w:rPr>
          <w:rFonts w:asciiTheme="minorHAnsi" w:hAnsiTheme="minorHAnsi"/>
          <w:i/>
          <w:sz w:val="24"/>
          <w:szCs w:val="24"/>
        </w:rPr>
      </w:pPr>
      <w:r w:rsidRPr="00896DAE">
        <w:rPr>
          <w:rFonts w:asciiTheme="minorHAnsi" w:hAnsiTheme="minorHAnsi"/>
          <w:i/>
          <w:sz w:val="24"/>
          <w:szCs w:val="24"/>
        </w:rPr>
        <w:t>“(iv): The SSR Review Team shall also assess the extent to which prior SSR Review recommendations have been implemented and the extent to which implementation of such recommendations has resulted in the intended effect.”</w:t>
      </w:r>
    </w:p>
    <w:p w14:paraId="2D0ADE00" w14:textId="77777777" w:rsidR="00F36104" w:rsidRPr="0098021F" w:rsidRDefault="00F36104" w:rsidP="00F36104">
      <w:pPr>
        <w:pStyle w:val="ListParagraph"/>
        <w:spacing w:after="0" w:line="240" w:lineRule="auto"/>
        <w:ind w:left="360"/>
        <w:rPr>
          <w:rFonts w:asciiTheme="minorHAnsi" w:hAnsiTheme="minorHAnsi"/>
          <w:sz w:val="24"/>
          <w:szCs w:val="24"/>
        </w:rPr>
      </w:pPr>
    </w:p>
    <w:p w14:paraId="14F37367" w14:textId="77777777" w:rsidR="00F36104" w:rsidRDefault="00F36104" w:rsidP="00F36104">
      <w:pPr>
        <w:pStyle w:val="ListParagraph"/>
        <w:spacing w:after="0" w:line="240" w:lineRule="auto"/>
        <w:ind w:left="360"/>
        <w:rPr>
          <w:rFonts w:asciiTheme="minorHAnsi" w:hAnsiTheme="minorHAnsi"/>
          <w:sz w:val="24"/>
          <w:szCs w:val="24"/>
        </w:rPr>
      </w:pPr>
      <w:r>
        <w:rPr>
          <w:rFonts w:asciiTheme="minorHAnsi" w:hAnsiTheme="minorHAnsi"/>
          <w:sz w:val="24"/>
          <w:szCs w:val="24"/>
        </w:rPr>
        <w:t>The SSR2 Review Team will undertake a conscientious review of the SSR1 Review Team’s recommendations.  Specifically, the team will review the status of their implementation, the impacts and results from those that have been implemented, and which of them are still critical, post-transition.</w:t>
      </w:r>
    </w:p>
    <w:p w14:paraId="5A9F023E" w14:textId="77777777" w:rsidR="00B60877" w:rsidRDefault="00B60877" w:rsidP="00F36104">
      <w:pPr>
        <w:pStyle w:val="ListParagraph"/>
        <w:pBdr>
          <w:bottom w:val="single" w:sz="6" w:space="1" w:color="auto"/>
        </w:pBdr>
        <w:spacing w:after="0" w:line="240" w:lineRule="auto"/>
        <w:ind w:left="360"/>
        <w:rPr>
          <w:rFonts w:asciiTheme="minorHAnsi" w:hAnsiTheme="minorHAnsi"/>
          <w:sz w:val="24"/>
          <w:szCs w:val="24"/>
        </w:rPr>
      </w:pPr>
    </w:p>
    <w:p w14:paraId="2125FDD6" w14:textId="77777777" w:rsidR="0098021F" w:rsidRPr="00EF7DB3" w:rsidRDefault="0098021F" w:rsidP="00EF7DB3">
      <w:pPr>
        <w:spacing w:after="0" w:line="240" w:lineRule="auto"/>
        <w:rPr>
          <w:rFonts w:asciiTheme="minorHAnsi" w:hAnsiTheme="minorHAnsi"/>
          <w:sz w:val="24"/>
          <w:szCs w:val="24"/>
        </w:rPr>
      </w:pPr>
    </w:p>
    <w:p w14:paraId="4987B124" w14:textId="77777777"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14:paraId="75A386F8" w14:textId="77777777" w:rsidR="005B0A42" w:rsidRDefault="005B0A42" w:rsidP="005B0A42">
      <w:pPr>
        <w:spacing w:after="0" w:line="240" w:lineRule="auto"/>
        <w:rPr>
          <w:rFonts w:asciiTheme="minorHAnsi" w:hAnsiTheme="minorHAnsi"/>
          <w:sz w:val="24"/>
          <w:szCs w:val="24"/>
        </w:rPr>
      </w:pPr>
    </w:p>
    <w:p w14:paraId="1D7DD095" w14:textId="77777777" w:rsidR="006B2D32" w:rsidRDefault="006B2D32" w:rsidP="0005220D">
      <w:pPr>
        <w:pStyle w:val="ListParagraph"/>
        <w:spacing w:after="0" w:line="240" w:lineRule="auto"/>
        <w:ind w:left="360"/>
        <w:rPr>
          <w:rFonts w:asciiTheme="minorHAnsi" w:hAnsiTheme="minorHAnsi"/>
          <w:sz w:val="24"/>
          <w:szCs w:val="24"/>
        </w:rPr>
      </w:pPr>
      <w:r>
        <w:rPr>
          <w:rFonts w:asciiTheme="minorHAnsi" w:hAnsiTheme="minorHAnsi"/>
          <w:sz w:val="24"/>
          <w:szCs w:val="24"/>
        </w:rPr>
        <w:t xml:space="preserve">The Internet unique identifier systems that are within ICANN’s purview affect many dependent systems, which may not themselves be under ICANN’s authority.  </w:t>
      </w:r>
      <w:r w:rsidR="0005220D">
        <w:rPr>
          <w:rFonts w:asciiTheme="minorHAnsi" w:hAnsiTheme="minorHAnsi"/>
          <w:sz w:val="24"/>
          <w:szCs w:val="24"/>
        </w:rPr>
        <w:t>In order to understand the security, stability, and resiliency importance of the ICANN identifierspace, the SSR2 Review Team will consider the issues in its entirety including inter-connected functions.  T</w:t>
      </w:r>
      <w:r w:rsidR="0005220D" w:rsidRPr="001D6C5F">
        <w:rPr>
          <w:rFonts w:asciiTheme="minorHAnsi" w:hAnsiTheme="minorHAnsi"/>
          <w:sz w:val="24"/>
          <w:szCs w:val="24"/>
        </w:rPr>
        <w:t>he SSR2 Review Team may</w:t>
      </w:r>
      <w:r w:rsidR="0005220D">
        <w:rPr>
          <w:rFonts w:asciiTheme="minorHAnsi" w:hAnsiTheme="minorHAnsi"/>
          <w:sz w:val="24"/>
          <w:szCs w:val="24"/>
        </w:rPr>
        <w:t xml:space="preserve">, therefore, review, discuss and seek advice from varying stakeholders in the community including those entities providing specific functions on behalf of ICANN to ensure that any recommendations provided takes into account the most complete reflection of the operational reality of ICANN.  </w:t>
      </w:r>
      <w:r w:rsidR="006C179F">
        <w:rPr>
          <w:rFonts w:asciiTheme="minorHAnsi" w:hAnsiTheme="minorHAnsi"/>
          <w:sz w:val="24"/>
          <w:szCs w:val="24"/>
        </w:rPr>
        <w:t>However, the SSR2 Review Team will then</w:t>
      </w:r>
      <w:r w:rsidR="006C179F" w:rsidRPr="003F1543">
        <w:rPr>
          <w:rFonts w:asciiTheme="minorHAnsi" w:hAnsiTheme="minorHAnsi"/>
          <w:sz w:val="24"/>
          <w:szCs w:val="24"/>
        </w:rPr>
        <w:t xml:space="preserve"> focus its recommendations on those </w:t>
      </w:r>
      <w:r w:rsidR="006C179F">
        <w:rPr>
          <w:rFonts w:asciiTheme="minorHAnsi" w:hAnsiTheme="minorHAnsi"/>
          <w:sz w:val="24"/>
          <w:szCs w:val="24"/>
        </w:rPr>
        <w:t xml:space="preserve">efforts, </w:t>
      </w:r>
      <w:r w:rsidR="006C179F" w:rsidRPr="003F1543">
        <w:rPr>
          <w:rFonts w:asciiTheme="minorHAnsi" w:hAnsiTheme="minorHAnsi"/>
          <w:sz w:val="24"/>
          <w:szCs w:val="24"/>
        </w:rPr>
        <w:t xml:space="preserve">issues, policies, systems, and identifiers that </w:t>
      </w:r>
      <w:r w:rsidR="006C179F" w:rsidRPr="00B46DFC">
        <w:rPr>
          <w:rFonts w:asciiTheme="minorHAnsi" w:hAnsiTheme="minorHAnsi"/>
          <w:sz w:val="24"/>
          <w:szCs w:val="24"/>
        </w:rPr>
        <w:t>are within ICANN’s scope and remit</w:t>
      </w:r>
      <w:r w:rsidR="006C179F" w:rsidRPr="003F1543">
        <w:rPr>
          <w:rFonts w:asciiTheme="minorHAnsi" w:hAnsiTheme="minorHAnsi"/>
          <w:sz w:val="24"/>
          <w:szCs w:val="24"/>
        </w:rPr>
        <w:t xml:space="preserve">. </w:t>
      </w:r>
      <w:r w:rsidRPr="003F1543">
        <w:rPr>
          <w:rFonts w:asciiTheme="minorHAnsi" w:hAnsiTheme="minorHAnsi"/>
          <w:sz w:val="24"/>
          <w:szCs w:val="24"/>
        </w:rPr>
        <w:t>The list of investigation topics and concerns may be informed by g</w:t>
      </w:r>
      <w:r>
        <w:rPr>
          <w:rFonts w:asciiTheme="minorHAnsi" w:hAnsiTheme="minorHAnsi"/>
          <w:sz w:val="24"/>
          <w:szCs w:val="24"/>
        </w:rPr>
        <w:t>r</w:t>
      </w:r>
      <w:r w:rsidRPr="003F1543">
        <w:rPr>
          <w:rFonts w:asciiTheme="minorHAnsi" w:hAnsiTheme="minorHAnsi"/>
          <w:sz w:val="24"/>
          <w:szCs w:val="24"/>
        </w:rPr>
        <w:t>oups, committees, or any other organizations identified in the SSR</w:t>
      </w:r>
      <w:r w:rsidR="004E28A8">
        <w:rPr>
          <w:rFonts w:asciiTheme="minorHAnsi" w:hAnsiTheme="minorHAnsi"/>
          <w:sz w:val="24"/>
          <w:szCs w:val="24"/>
        </w:rPr>
        <w:t>2</w:t>
      </w:r>
      <w:r w:rsidRPr="003F1543">
        <w:rPr>
          <w:rFonts w:asciiTheme="minorHAnsi" w:hAnsiTheme="minorHAnsi"/>
          <w:sz w:val="24"/>
          <w:szCs w:val="24"/>
        </w:rPr>
        <w:t xml:space="preserve"> </w:t>
      </w:r>
      <w:r w:rsidR="004E28A8">
        <w:rPr>
          <w:rFonts w:asciiTheme="minorHAnsi" w:hAnsiTheme="minorHAnsi"/>
          <w:sz w:val="24"/>
          <w:szCs w:val="24"/>
        </w:rPr>
        <w:t>Review T</w:t>
      </w:r>
      <w:r w:rsidRPr="003F1543">
        <w:rPr>
          <w:rFonts w:asciiTheme="minorHAnsi" w:hAnsiTheme="minorHAnsi"/>
          <w:sz w:val="24"/>
          <w:szCs w:val="24"/>
        </w:rPr>
        <w:t>eam</w:t>
      </w:r>
      <w:r w:rsidR="004E28A8">
        <w:rPr>
          <w:rFonts w:asciiTheme="minorHAnsi" w:hAnsiTheme="minorHAnsi"/>
          <w:sz w:val="24"/>
          <w:szCs w:val="24"/>
        </w:rPr>
        <w:t>’</w:t>
      </w:r>
      <w:r w:rsidRPr="003F1543">
        <w:rPr>
          <w:rFonts w:asciiTheme="minorHAnsi" w:hAnsiTheme="minorHAnsi"/>
          <w:sz w:val="24"/>
          <w:szCs w:val="24"/>
        </w:rPr>
        <w:t>s outreach plan.</w:t>
      </w:r>
      <w:r>
        <w:rPr>
          <w:rFonts w:asciiTheme="minorHAnsi" w:hAnsiTheme="minorHAnsi"/>
          <w:sz w:val="24"/>
          <w:szCs w:val="24"/>
        </w:rPr>
        <w:t xml:space="preserve">  </w:t>
      </w:r>
    </w:p>
    <w:p w14:paraId="7EB79A99" w14:textId="77777777" w:rsidR="00B60877" w:rsidRDefault="00B60877" w:rsidP="0005220D">
      <w:pPr>
        <w:pStyle w:val="ListParagraph"/>
        <w:pBdr>
          <w:bottom w:val="single" w:sz="6" w:space="1" w:color="auto"/>
        </w:pBdr>
        <w:spacing w:after="0" w:line="240" w:lineRule="auto"/>
        <w:ind w:left="360"/>
        <w:rPr>
          <w:rFonts w:asciiTheme="minorHAnsi" w:hAnsiTheme="minorHAnsi"/>
          <w:sz w:val="24"/>
          <w:szCs w:val="24"/>
        </w:rPr>
      </w:pPr>
    </w:p>
    <w:p w14:paraId="64B2E1CE" w14:textId="77777777" w:rsidR="00EF7DB3" w:rsidRDefault="00EF7DB3" w:rsidP="0005220D">
      <w:pPr>
        <w:pStyle w:val="ListParagraph"/>
        <w:pBdr>
          <w:bottom w:val="single" w:sz="6" w:space="1" w:color="auto"/>
        </w:pBdr>
        <w:spacing w:after="0" w:line="240" w:lineRule="auto"/>
        <w:ind w:left="360"/>
        <w:rPr>
          <w:rFonts w:asciiTheme="minorHAnsi" w:hAnsiTheme="minorHAnsi"/>
          <w:sz w:val="24"/>
          <w:szCs w:val="24"/>
        </w:rPr>
      </w:pPr>
    </w:p>
    <w:p w14:paraId="3D8D905A" w14:textId="77777777" w:rsidR="00EF7DB3" w:rsidRDefault="00EF7DB3" w:rsidP="0005220D">
      <w:pPr>
        <w:pStyle w:val="ListParagraph"/>
        <w:pBdr>
          <w:bottom w:val="single" w:sz="6" w:space="1" w:color="auto"/>
        </w:pBdr>
        <w:spacing w:after="0" w:line="240" w:lineRule="auto"/>
        <w:ind w:left="360"/>
        <w:rPr>
          <w:rFonts w:asciiTheme="minorHAnsi" w:hAnsiTheme="minorHAnsi"/>
          <w:sz w:val="24"/>
          <w:szCs w:val="24"/>
        </w:rPr>
      </w:pPr>
    </w:p>
    <w:p w14:paraId="7AE7917A" w14:textId="77777777" w:rsidR="00EF7DB3" w:rsidRDefault="00EF7DB3" w:rsidP="0005220D">
      <w:pPr>
        <w:pStyle w:val="ListParagraph"/>
        <w:pBdr>
          <w:bottom w:val="single" w:sz="6" w:space="1" w:color="auto"/>
        </w:pBdr>
        <w:spacing w:after="0" w:line="240" w:lineRule="auto"/>
        <w:ind w:left="360"/>
        <w:rPr>
          <w:rFonts w:asciiTheme="minorHAnsi" w:hAnsiTheme="minorHAnsi"/>
          <w:sz w:val="24"/>
          <w:szCs w:val="24"/>
        </w:rPr>
      </w:pPr>
    </w:p>
    <w:p w14:paraId="20C4EBC9" w14:textId="77777777" w:rsidR="00EF7DB3" w:rsidRDefault="00EF7DB3" w:rsidP="0005220D">
      <w:pPr>
        <w:pStyle w:val="ListParagraph"/>
        <w:pBdr>
          <w:bottom w:val="single" w:sz="6" w:space="1" w:color="auto"/>
        </w:pBdr>
        <w:spacing w:after="0" w:line="240" w:lineRule="auto"/>
        <w:ind w:left="360"/>
        <w:rPr>
          <w:rFonts w:asciiTheme="minorHAnsi" w:hAnsiTheme="minorHAnsi"/>
          <w:sz w:val="24"/>
          <w:szCs w:val="24"/>
        </w:rPr>
      </w:pPr>
    </w:p>
    <w:p w14:paraId="3D96383D" w14:textId="77777777" w:rsidR="00221223" w:rsidRDefault="00221223" w:rsidP="00EF7DB3">
      <w:pPr>
        <w:spacing w:after="0" w:line="240" w:lineRule="auto"/>
        <w:rPr>
          <w:rFonts w:asciiTheme="minorHAnsi" w:hAnsiTheme="minorHAnsi"/>
          <w:i/>
          <w:sz w:val="24"/>
          <w:szCs w:val="24"/>
        </w:rPr>
      </w:pPr>
    </w:p>
    <w:p w14:paraId="46F85B2B" w14:textId="77777777" w:rsidR="00221223" w:rsidRPr="00896DAE" w:rsidRDefault="00221223" w:rsidP="00221223">
      <w:pPr>
        <w:spacing w:after="0" w:line="240" w:lineRule="auto"/>
        <w:ind w:left="720"/>
        <w:rPr>
          <w:rFonts w:asciiTheme="minorHAnsi" w:hAnsiTheme="minorHAnsi"/>
          <w:i/>
          <w:sz w:val="24"/>
          <w:szCs w:val="24"/>
        </w:rPr>
      </w:pPr>
      <w:r w:rsidRPr="00896DAE">
        <w:rPr>
          <w:rFonts w:asciiTheme="minorHAnsi" w:hAnsiTheme="minorHAnsi"/>
          <w:i/>
          <w:sz w:val="24"/>
          <w:szCs w:val="24"/>
        </w:rPr>
        <w:t xml:space="preserve">(ii)(A): May assess the </w:t>
      </w:r>
      <w:r>
        <w:rPr>
          <w:rFonts w:asciiTheme="minorHAnsi" w:hAnsiTheme="minorHAnsi"/>
          <w:i/>
          <w:sz w:val="24"/>
          <w:szCs w:val="24"/>
        </w:rPr>
        <w:t>“</w:t>
      </w:r>
      <w:r w:rsidRPr="00896DAE">
        <w:rPr>
          <w:rFonts w:asciiTheme="minorHAnsi" w:hAnsiTheme="minorHAnsi"/>
          <w:i/>
          <w:sz w:val="24"/>
          <w:szCs w:val="24"/>
        </w:rPr>
        <w:t>security, operational stability and resiliency matters, both physical and network, relating to the coordination of the Internet’s system of unique identifiers</w:t>
      </w:r>
      <w:r>
        <w:rPr>
          <w:rFonts w:asciiTheme="minorHAnsi" w:hAnsiTheme="minorHAnsi"/>
          <w:i/>
          <w:sz w:val="24"/>
          <w:szCs w:val="24"/>
        </w:rPr>
        <w:t>.</w:t>
      </w:r>
      <w:r w:rsidRPr="00896DAE">
        <w:rPr>
          <w:rFonts w:asciiTheme="minorHAnsi" w:hAnsiTheme="minorHAnsi"/>
          <w:i/>
          <w:sz w:val="24"/>
          <w:szCs w:val="24"/>
        </w:rPr>
        <w:t>”</w:t>
      </w:r>
    </w:p>
    <w:p w14:paraId="40CE66C0" w14:textId="77777777" w:rsidR="006B2D32" w:rsidRDefault="006B2D32" w:rsidP="006B2D32">
      <w:pPr>
        <w:pStyle w:val="ListParagraph"/>
        <w:spacing w:after="0" w:line="240" w:lineRule="auto"/>
        <w:ind w:left="360"/>
        <w:rPr>
          <w:rFonts w:asciiTheme="minorHAnsi" w:hAnsiTheme="minorHAnsi"/>
          <w:sz w:val="24"/>
          <w:szCs w:val="24"/>
        </w:rPr>
      </w:pPr>
    </w:p>
    <w:p w14:paraId="49489D54" w14:textId="77777777" w:rsidR="006B2D32" w:rsidRDefault="006B2D32"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 xml:space="preserve">As per Bylaws Section (ii)(A); these topics </w:t>
      </w:r>
      <w:r w:rsidR="00410126">
        <w:rPr>
          <w:rFonts w:asciiTheme="minorHAnsi" w:hAnsiTheme="minorHAnsi"/>
          <w:sz w:val="24"/>
          <w:szCs w:val="24"/>
        </w:rPr>
        <w:t>will</w:t>
      </w:r>
      <w:r>
        <w:rPr>
          <w:rFonts w:asciiTheme="minorHAnsi" w:hAnsiTheme="minorHAnsi"/>
          <w:sz w:val="24"/>
          <w:szCs w:val="24"/>
        </w:rPr>
        <w:t xml:space="preserve"> include ICANN’s interoperable security processes, its business continuity planning and disaster and operational recovery plans, its risk management and mitigation process, and (though not required) to include other nascent and upcoming concerns.</w:t>
      </w:r>
    </w:p>
    <w:p w14:paraId="01C88798" w14:textId="77777777" w:rsidR="00B60877" w:rsidRDefault="00B60877" w:rsidP="006B2D32">
      <w:pPr>
        <w:pStyle w:val="ListParagraph"/>
        <w:pBdr>
          <w:bottom w:val="single" w:sz="6" w:space="1" w:color="auto"/>
        </w:pBdr>
        <w:spacing w:after="0" w:line="240" w:lineRule="auto"/>
        <w:ind w:left="360"/>
        <w:rPr>
          <w:rFonts w:asciiTheme="minorHAnsi" w:hAnsiTheme="minorHAnsi"/>
          <w:sz w:val="24"/>
          <w:szCs w:val="24"/>
        </w:rPr>
      </w:pPr>
    </w:p>
    <w:p w14:paraId="0506912A" w14:textId="77777777" w:rsidR="00221223" w:rsidRPr="00EF7DB3" w:rsidRDefault="00221223" w:rsidP="00EF7DB3">
      <w:pPr>
        <w:spacing w:after="0" w:line="240" w:lineRule="auto"/>
        <w:rPr>
          <w:rFonts w:asciiTheme="minorHAnsi" w:hAnsiTheme="minorHAnsi"/>
          <w:i/>
          <w:sz w:val="24"/>
          <w:szCs w:val="24"/>
        </w:rPr>
      </w:pPr>
    </w:p>
    <w:p w14:paraId="67FB9B8D" w14:textId="77777777" w:rsidR="00221223" w:rsidRPr="0098021F" w:rsidRDefault="00221223" w:rsidP="00221223">
      <w:pPr>
        <w:pStyle w:val="ListParagraph"/>
        <w:spacing w:after="0" w:line="240" w:lineRule="auto"/>
        <w:rPr>
          <w:rFonts w:asciiTheme="minorHAnsi" w:hAnsiTheme="minorHAnsi"/>
          <w:i/>
          <w:sz w:val="24"/>
          <w:szCs w:val="24"/>
        </w:rPr>
      </w:pPr>
      <w:r>
        <w:rPr>
          <w:rFonts w:asciiTheme="minorHAnsi" w:hAnsiTheme="minorHAnsi"/>
          <w:i/>
          <w:sz w:val="24"/>
          <w:szCs w:val="24"/>
        </w:rPr>
        <w:t>(i</w:t>
      </w:r>
      <w:r w:rsidRPr="0098021F">
        <w:rPr>
          <w:rFonts w:asciiTheme="minorHAnsi" w:hAnsiTheme="minorHAnsi"/>
          <w:i/>
          <w:sz w:val="24"/>
          <w:szCs w:val="24"/>
        </w:rPr>
        <w:t>i</w:t>
      </w:r>
      <w:r>
        <w:rPr>
          <w:rFonts w:asciiTheme="minorHAnsi" w:hAnsiTheme="minorHAnsi"/>
          <w:i/>
          <w:sz w:val="24"/>
          <w:szCs w:val="24"/>
        </w:rPr>
        <w:t>)(</w:t>
      </w:r>
      <w:r w:rsidRPr="0098021F">
        <w:rPr>
          <w:rFonts w:asciiTheme="minorHAnsi" w:hAnsiTheme="minorHAnsi"/>
          <w:i/>
          <w:sz w:val="24"/>
          <w:szCs w:val="24"/>
        </w:rPr>
        <w:t>B</w:t>
      </w:r>
      <w:r>
        <w:rPr>
          <w:rFonts w:asciiTheme="minorHAnsi" w:hAnsiTheme="minorHAnsi"/>
          <w:i/>
          <w:sz w:val="24"/>
          <w:szCs w:val="24"/>
        </w:rPr>
        <w:t>): May assess “</w:t>
      </w:r>
      <w:r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p>
    <w:p w14:paraId="3A8B4FE6" w14:textId="77777777" w:rsidR="00221223" w:rsidRDefault="00221223" w:rsidP="00FA62DE">
      <w:pPr>
        <w:spacing w:after="0" w:line="240" w:lineRule="auto"/>
        <w:ind w:left="720"/>
        <w:rPr>
          <w:rFonts w:asciiTheme="minorHAnsi" w:hAnsiTheme="minorHAnsi"/>
          <w:i/>
          <w:sz w:val="24"/>
          <w:szCs w:val="24"/>
        </w:rPr>
      </w:pPr>
    </w:p>
    <w:p w14:paraId="0D84F363" w14:textId="77777777" w:rsidR="00221223" w:rsidRPr="00FA62DE" w:rsidRDefault="00221223" w:rsidP="00FA62DE">
      <w:pPr>
        <w:spacing w:after="0" w:line="240" w:lineRule="auto"/>
        <w:ind w:left="720"/>
        <w:rPr>
          <w:rFonts w:asciiTheme="minorHAnsi" w:hAnsiTheme="minorHAnsi"/>
          <w:i/>
          <w:sz w:val="24"/>
          <w:szCs w:val="24"/>
        </w:rPr>
      </w:pPr>
      <w:r w:rsidRPr="00FA62DE">
        <w:rPr>
          <w:rFonts w:asciiTheme="minorHAnsi" w:hAnsiTheme="minorHAnsi"/>
          <w:i/>
          <w:sz w:val="24"/>
          <w:szCs w:val="24"/>
        </w:rPr>
        <w:t>(ii)(C): May assess “maintaining clear and globally interoperable security processes for those portions of the Internet’s system of unique identifiers that ICANN coordinates.”</w:t>
      </w:r>
    </w:p>
    <w:p w14:paraId="4079E5B8" w14:textId="77777777" w:rsidR="00BB6336" w:rsidRDefault="00BB6336" w:rsidP="006B2D32">
      <w:pPr>
        <w:pStyle w:val="ListParagraph"/>
        <w:spacing w:after="0" w:line="240" w:lineRule="auto"/>
        <w:ind w:left="360"/>
        <w:rPr>
          <w:rFonts w:asciiTheme="minorHAnsi" w:hAnsiTheme="minorHAnsi"/>
          <w:sz w:val="24"/>
          <w:szCs w:val="24"/>
        </w:rPr>
      </w:pPr>
    </w:p>
    <w:p w14:paraId="1F6EABFF" w14:textId="77777777" w:rsidR="00BB6336" w:rsidRDefault="00BB6336"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Further</w:t>
      </w:r>
      <w:r w:rsidR="00221223">
        <w:rPr>
          <w:rFonts w:asciiTheme="minorHAnsi" w:hAnsiTheme="minorHAnsi"/>
          <w:sz w:val="24"/>
          <w:szCs w:val="24"/>
        </w:rPr>
        <w:t>,</w:t>
      </w:r>
      <w:r>
        <w:rPr>
          <w:rFonts w:asciiTheme="minorHAnsi" w:hAnsiTheme="minorHAnsi"/>
          <w:sz w:val="24"/>
          <w:szCs w:val="24"/>
        </w:rPr>
        <w:t xml:space="preserve"> </w:t>
      </w:r>
      <w:r w:rsidR="00221223">
        <w:rPr>
          <w:rFonts w:asciiTheme="minorHAnsi" w:hAnsiTheme="minorHAnsi"/>
          <w:sz w:val="24"/>
          <w:szCs w:val="24"/>
        </w:rPr>
        <w:t xml:space="preserve">based on Bylaws Sections (ii)(B-C), </w:t>
      </w:r>
      <w:r>
        <w:rPr>
          <w:rFonts w:asciiTheme="minorHAnsi" w:hAnsiTheme="minorHAnsi"/>
          <w:sz w:val="24"/>
          <w:szCs w:val="24"/>
        </w:rPr>
        <w:t xml:space="preserve">consideration of whether there exists </w:t>
      </w:r>
      <w:r w:rsidR="00232094">
        <w:rPr>
          <w:rFonts w:asciiTheme="minorHAnsi" w:hAnsiTheme="minorHAnsi"/>
          <w:sz w:val="24"/>
          <w:szCs w:val="24"/>
        </w:rPr>
        <w:t>an appropriate and effective</w:t>
      </w:r>
      <w:r>
        <w:rPr>
          <w:rFonts w:asciiTheme="minorHAnsi" w:hAnsiTheme="minorHAnsi"/>
          <w:sz w:val="24"/>
          <w:szCs w:val="24"/>
        </w:rPr>
        <w:t xml:space="preserve"> security planning framework for SSR issues, whether there was an operational SSR impact from moving the IANA services to PTI, how effective ICANN’s coordination is with other organizations that are involved in ICANN’s indentifier space, and what necessary changes are needed to address current and foreseeable SSR issues</w:t>
      </w:r>
      <w:r w:rsidR="00221223">
        <w:rPr>
          <w:rFonts w:asciiTheme="minorHAnsi" w:hAnsiTheme="minorHAnsi"/>
          <w:sz w:val="24"/>
          <w:szCs w:val="24"/>
        </w:rPr>
        <w:t xml:space="preserve"> will be addressed.</w:t>
      </w:r>
    </w:p>
    <w:p w14:paraId="73C91B8B" w14:textId="77777777" w:rsidR="00221223" w:rsidRDefault="00221223" w:rsidP="006B2D32">
      <w:pPr>
        <w:pStyle w:val="ListParagraph"/>
        <w:spacing w:after="0" w:line="240" w:lineRule="auto"/>
        <w:ind w:left="360"/>
        <w:rPr>
          <w:rFonts w:asciiTheme="minorHAnsi" w:hAnsiTheme="minorHAnsi"/>
          <w:sz w:val="24"/>
          <w:szCs w:val="24"/>
        </w:rPr>
      </w:pPr>
    </w:p>
    <w:p w14:paraId="05328F66" w14:textId="77777777" w:rsidR="00221223" w:rsidRDefault="00221223"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All considerations will be investigated and analyzed with a clear intent to produce actionable recommendations that fall within ICANN’s purview.</w:t>
      </w:r>
    </w:p>
    <w:p w14:paraId="7FB3DEBE" w14:textId="77777777" w:rsidR="006114A8" w:rsidRPr="0098021F" w:rsidRDefault="006114A8" w:rsidP="006114A8">
      <w:pPr>
        <w:pStyle w:val="ListParagraph"/>
        <w:spacing w:after="0" w:line="240" w:lineRule="auto"/>
        <w:ind w:left="360"/>
        <w:rPr>
          <w:rFonts w:asciiTheme="minorHAnsi" w:hAnsiTheme="minorHAnsi"/>
          <w:sz w:val="24"/>
          <w:szCs w:val="24"/>
        </w:rPr>
      </w:pPr>
    </w:p>
    <w:p w14:paraId="3275230C" w14:textId="77777777" w:rsidR="006114A8" w:rsidRPr="0098021F" w:rsidRDefault="006114A8" w:rsidP="006114A8">
      <w:pPr>
        <w:pStyle w:val="ListParagraph"/>
        <w:spacing w:after="0" w:line="240" w:lineRule="auto"/>
        <w:ind w:left="360"/>
        <w:rPr>
          <w:rFonts w:asciiTheme="minorHAnsi" w:hAnsiTheme="minorHAnsi"/>
          <w:sz w:val="24"/>
          <w:szCs w:val="24"/>
        </w:rPr>
      </w:pPr>
    </w:p>
    <w:p w14:paraId="52CE5F4C" w14:textId="77777777" w:rsidR="00E354CA" w:rsidRPr="00EF7DB3" w:rsidRDefault="002742AB" w:rsidP="00E354CA">
      <w:pPr>
        <w:pStyle w:val="Heading2"/>
        <w:rPr>
          <w:b/>
          <w:sz w:val="28"/>
        </w:rPr>
      </w:pPr>
      <w:r w:rsidRPr="00EF7DB3">
        <w:rPr>
          <w:b/>
          <w:sz w:val="28"/>
        </w:rPr>
        <w:t>Timeline</w:t>
      </w:r>
    </w:p>
    <w:p w14:paraId="522ABB94" w14:textId="77777777" w:rsidR="00EF7DB3" w:rsidRDefault="00EF7DB3" w:rsidP="00E354CA"/>
    <w:p w14:paraId="4C6AF5DB" w14:textId="77777777" w:rsidR="00E354CA" w:rsidRPr="00EF7DB3" w:rsidRDefault="00E354CA" w:rsidP="00E354CA">
      <w:pPr>
        <w:rPr>
          <w:sz w:val="24"/>
          <w:szCs w:val="24"/>
        </w:rPr>
      </w:pPr>
      <w:r w:rsidRPr="00EF7DB3">
        <w:rPr>
          <w:sz w:val="24"/>
          <w:szCs w:val="24"/>
        </w:rPr>
        <w:t xml:space="preserve">For more details please see the </w:t>
      </w:r>
      <w:r w:rsidR="00B60877" w:rsidRPr="00EF7DB3">
        <w:rPr>
          <w:sz w:val="24"/>
          <w:szCs w:val="24"/>
        </w:rPr>
        <w:t xml:space="preserve">SSR2 </w:t>
      </w:r>
      <w:r w:rsidRPr="00EF7DB3">
        <w:rPr>
          <w:sz w:val="24"/>
          <w:szCs w:val="24"/>
        </w:rPr>
        <w:t xml:space="preserve">workplan. </w:t>
      </w:r>
    </w:p>
    <w:p w14:paraId="3E66AB46" w14:textId="77777777" w:rsidR="00B60877" w:rsidRPr="00EF7DB3" w:rsidRDefault="00D454E8" w:rsidP="00EF7DB3">
      <w:pPr>
        <w:pStyle w:val="ListParagraph"/>
        <w:numPr>
          <w:ilvl w:val="0"/>
          <w:numId w:val="49"/>
        </w:numPr>
        <w:rPr>
          <w:sz w:val="24"/>
          <w:szCs w:val="24"/>
        </w:rPr>
      </w:pPr>
      <w:r w:rsidRPr="00EF7DB3">
        <w:rPr>
          <w:sz w:val="24"/>
          <w:szCs w:val="24"/>
        </w:rPr>
        <w:t>By</w:t>
      </w:r>
      <w:r w:rsidR="00B60877" w:rsidRPr="00EF7DB3">
        <w:rPr>
          <w:sz w:val="24"/>
          <w:szCs w:val="24"/>
        </w:rPr>
        <w:t xml:space="preserve"> ICANN63: Workpla</w:t>
      </w:r>
      <w:r w:rsidRPr="00EF7DB3">
        <w:rPr>
          <w:sz w:val="24"/>
          <w:szCs w:val="24"/>
        </w:rPr>
        <w:t>n,</w:t>
      </w:r>
      <w:r w:rsidR="00B60877" w:rsidRPr="00EF7DB3">
        <w:rPr>
          <w:sz w:val="24"/>
          <w:szCs w:val="24"/>
        </w:rPr>
        <w:t xml:space="preserve"> Communications Plan</w:t>
      </w:r>
      <w:r w:rsidRPr="00EF7DB3">
        <w:rPr>
          <w:sz w:val="24"/>
          <w:szCs w:val="24"/>
        </w:rPr>
        <w:t>, gathering &amp; assessing facts</w:t>
      </w:r>
    </w:p>
    <w:p w14:paraId="03C578AC" w14:textId="77777777" w:rsidR="00E354CA" w:rsidRPr="00EF7DB3" w:rsidRDefault="00E354CA" w:rsidP="00EF7DB3">
      <w:pPr>
        <w:pStyle w:val="ListParagraph"/>
        <w:numPr>
          <w:ilvl w:val="0"/>
          <w:numId w:val="49"/>
        </w:numPr>
        <w:rPr>
          <w:sz w:val="24"/>
          <w:szCs w:val="24"/>
        </w:rPr>
      </w:pPr>
      <w:r w:rsidRPr="00EF7DB3">
        <w:rPr>
          <w:sz w:val="24"/>
          <w:szCs w:val="24"/>
        </w:rPr>
        <w:t>ICANN63 (Barcelona)</w:t>
      </w:r>
      <w:r w:rsidR="00B60877" w:rsidRPr="00EF7DB3">
        <w:rPr>
          <w:sz w:val="24"/>
          <w:szCs w:val="24"/>
        </w:rPr>
        <w:t>: F2F meeting,</w:t>
      </w:r>
      <w:r w:rsidR="00D454E8" w:rsidRPr="00EF7DB3">
        <w:rPr>
          <w:sz w:val="24"/>
          <w:szCs w:val="24"/>
        </w:rPr>
        <w:t xml:space="preserve"> </w:t>
      </w:r>
      <w:r w:rsidR="00B60877" w:rsidRPr="00EF7DB3">
        <w:rPr>
          <w:sz w:val="24"/>
          <w:szCs w:val="24"/>
        </w:rPr>
        <w:t>engagement with community</w:t>
      </w:r>
    </w:p>
    <w:p w14:paraId="49B30299" w14:textId="77777777" w:rsidR="00B60877" w:rsidRPr="00EF7DB3" w:rsidRDefault="00D454E8" w:rsidP="00EF7DB3">
      <w:pPr>
        <w:pStyle w:val="ListParagraph"/>
        <w:numPr>
          <w:ilvl w:val="0"/>
          <w:numId w:val="49"/>
        </w:numPr>
        <w:rPr>
          <w:sz w:val="24"/>
          <w:szCs w:val="24"/>
        </w:rPr>
      </w:pPr>
      <w:r w:rsidRPr="00EF7DB3">
        <w:rPr>
          <w:sz w:val="24"/>
          <w:szCs w:val="24"/>
        </w:rPr>
        <w:t xml:space="preserve">By </w:t>
      </w:r>
      <w:r w:rsidR="00B60877" w:rsidRPr="00EF7DB3">
        <w:rPr>
          <w:sz w:val="24"/>
          <w:szCs w:val="24"/>
        </w:rPr>
        <w:t xml:space="preserve">ICANN64: </w:t>
      </w:r>
      <w:r w:rsidRPr="00EF7DB3">
        <w:rPr>
          <w:sz w:val="24"/>
          <w:szCs w:val="24"/>
        </w:rPr>
        <w:t>Gathering &amp; assessing facts,</w:t>
      </w:r>
      <w:r w:rsidRPr="00EF7DB3" w:rsidDel="00D454E8">
        <w:rPr>
          <w:sz w:val="24"/>
          <w:szCs w:val="24"/>
        </w:rPr>
        <w:t xml:space="preserve"> </w:t>
      </w:r>
      <w:r w:rsidR="00B60877" w:rsidRPr="00EF7DB3">
        <w:rPr>
          <w:sz w:val="24"/>
          <w:szCs w:val="24"/>
        </w:rPr>
        <w:t>creation of draft report</w:t>
      </w:r>
    </w:p>
    <w:p w14:paraId="7377968C" w14:textId="77777777" w:rsidR="00E354CA" w:rsidRPr="00EF7DB3" w:rsidRDefault="00E354CA" w:rsidP="00EF7DB3">
      <w:pPr>
        <w:pStyle w:val="ListParagraph"/>
        <w:numPr>
          <w:ilvl w:val="0"/>
          <w:numId w:val="49"/>
        </w:numPr>
        <w:rPr>
          <w:sz w:val="24"/>
          <w:szCs w:val="24"/>
        </w:rPr>
      </w:pPr>
      <w:r w:rsidRPr="00EF7DB3">
        <w:rPr>
          <w:sz w:val="24"/>
          <w:szCs w:val="24"/>
        </w:rPr>
        <w:t>ICANN64 (Kobe)</w:t>
      </w:r>
      <w:r w:rsidR="00B60877" w:rsidRPr="00EF7DB3">
        <w:rPr>
          <w:sz w:val="24"/>
          <w:szCs w:val="24"/>
        </w:rPr>
        <w:t xml:space="preserve">: F2F meeting, </w:t>
      </w:r>
      <w:r w:rsidR="00D454E8" w:rsidRPr="00EF7DB3">
        <w:rPr>
          <w:sz w:val="24"/>
          <w:szCs w:val="24"/>
        </w:rPr>
        <w:t xml:space="preserve">presentation of draft report and </w:t>
      </w:r>
      <w:r w:rsidR="00B60877" w:rsidRPr="00EF7DB3">
        <w:rPr>
          <w:sz w:val="24"/>
          <w:szCs w:val="24"/>
        </w:rPr>
        <w:t>engagement with community</w:t>
      </w:r>
    </w:p>
    <w:p w14:paraId="4DD77970" w14:textId="77777777" w:rsidR="00B60877" w:rsidRPr="00EF7DB3" w:rsidRDefault="00D454E8" w:rsidP="00EF7DB3">
      <w:pPr>
        <w:pStyle w:val="ListParagraph"/>
        <w:numPr>
          <w:ilvl w:val="0"/>
          <w:numId w:val="49"/>
        </w:numPr>
        <w:rPr>
          <w:sz w:val="24"/>
          <w:szCs w:val="24"/>
        </w:rPr>
      </w:pPr>
      <w:r w:rsidRPr="00EF7DB3">
        <w:rPr>
          <w:sz w:val="24"/>
          <w:szCs w:val="24"/>
        </w:rPr>
        <w:t>By</w:t>
      </w:r>
      <w:r w:rsidR="00B60877" w:rsidRPr="00EF7DB3">
        <w:rPr>
          <w:sz w:val="24"/>
          <w:szCs w:val="24"/>
        </w:rPr>
        <w:t xml:space="preserve"> ICANN65: Public comment period (40 days), comment resolution</w:t>
      </w:r>
    </w:p>
    <w:p w14:paraId="5E5A8BD6" w14:textId="77777777" w:rsidR="00E354CA" w:rsidRPr="00EF7DB3" w:rsidRDefault="00E354CA" w:rsidP="00EF7DB3">
      <w:pPr>
        <w:pStyle w:val="ListParagraph"/>
        <w:numPr>
          <w:ilvl w:val="0"/>
          <w:numId w:val="49"/>
        </w:numPr>
        <w:rPr>
          <w:sz w:val="24"/>
          <w:szCs w:val="24"/>
        </w:rPr>
      </w:pPr>
      <w:r w:rsidRPr="00EF7DB3">
        <w:rPr>
          <w:sz w:val="24"/>
          <w:szCs w:val="24"/>
        </w:rPr>
        <w:lastRenderedPageBreak/>
        <w:t>ICANN65 (Marakesh)</w:t>
      </w:r>
      <w:r w:rsidR="00B60877" w:rsidRPr="00EF7DB3">
        <w:rPr>
          <w:sz w:val="24"/>
          <w:szCs w:val="24"/>
        </w:rPr>
        <w:t xml:space="preserve">: </w:t>
      </w:r>
      <w:r w:rsidR="00D454E8" w:rsidRPr="00EF7DB3">
        <w:rPr>
          <w:sz w:val="24"/>
          <w:szCs w:val="24"/>
        </w:rPr>
        <w:t xml:space="preserve">Presentation of </w:t>
      </w:r>
      <w:r w:rsidR="00081B4B" w:rsidRPr="00EF7DB3">
        <w:rPr>
          <w:sz w:val="24"/>
          <w:szCs w:val="24"/>
        </w:rPr>
        <w:t xml:space="preserve">final </w:t>
      </w:r>
      <w:r w:rsidR="00D454E8" w:rsidRPr="00EF7DB3">
        <w:rPr>
          <w:sz w:val="24"/>
          <w:szCs w:val="24"/>
        </w:rPr>
        <w:t>report</w:t>
      </w:r>
      <w:r w:rsidR="00081B4B" w:rsidRPr="00EF7DB3">
        <w:rPr>
          <w:sz w:val="24"/>
          <w:szCs w:val="24"/>
        </w:rPr>
        <w:t>,</w:t>
      </w:r>
      <w:r w:rsidR="00D454E8" w:rsidRPr="00EF7DB3">
        <w:rPr>
          <w:sz w:val="24"/>
          <w:szCs w:val="24"/>
        </w:rPr>
        <w:t xml:space="preserve"> engagement with community and f</w:t>
      </w:r>
      <w:r w:rsidR="00B60877" w:rsidRPr="00EF7DB3">
        <w:rPr>
          <w:sz w:val="24"/>
          <w:szCs w:val="24"/>
        </w:rPr>
        <w:t>inal delivery</w:t>
      </w:r>
      <w:r w:rsidR="00D454E8" w:rsidRPr="00EF7DB3">
        <w:rPr>
          <w:sz w:val="24"/>
          <w:szCs w:val="24"/>
        </w:rPr>
        <w:t xml:space="preserve"> of it</w:t>
      </w:r>
      <w:r w:rsidR="00B60877" w:rsidRPr="00EF7DB3">
        <w:rPr>
          <w:sz w:val="24"/>
          <w:szCs w:val="24"/>
        </w:rPr>
        <w:t xml:space="preserve"> to board</w:t>
      </w:r>
    </w:p>
    <w:p w14:paraId="52B37BE4" w14:textId="77777777" w:rsidR="002742AB" w:rsidRPr="0006593B" w:rsidRDefault="002742AB" w:rsidP="002742AB">
      <w:pPr>
        <w:pStyle w:val="ListParagraph"/>
        <w:spacing w:after="0" w:line="240" w:lineRule="auto"/>
        <w:ind w:left="0"/>
        <w:rPr>
          <w:rFonts w:asciiTheme="minorHAnsi" w:hAnsiTheme="minorHAnsi"/>
          <w:sz w:val="24"/>
          <w:szCs w:val="24"/>
        </w:rPr>
      </w:pPr>
    </w:p>
    <w:p w14:paraId="4AA4A9ED" w14:textId="77777777" w:rsidR="00644C72" w:rsidRDefault="00644C72" w:rsidP="00644C72">
      <w:pPr>
        <w:spacing w:after="0" w:line="240" w:lineRule="auto"/>
        <w:rPr>
          <w:rFonts w:asciiTheme="minorHAnsi" w:hAnsiTheme="minorHAnsi"/>
          <w:sz w:val="24"/>
          <w:szCs w:val="24"/>
        </w:rPr>
      </w:pPr>
    </w:p>
    <w:p w14:paraId="2A17C99B" w14:textId="77777777" w:rsidR="00644C72" w:rsidRPr="00EF7DB3" w:rsidRDefault="00644C72" w:rsidP="00DD711D">
      <w:pPr>
        <w:pStyle w:val="Heading2"/>
        <w:rPr>
          <w:b/>
          <w:sz w:val="28"/>
        </w:rPr>
      </w:pPr>
      <w:r w:rsidRPr="00EF7DB3">
        <w:rPr>
          <w:b/>
          <w:sz w:val="28"/>
        </w:rPr>
        <w:t>Operation of the Review Team</w:t>
      </w:r>
    </w:p>
    <w:p w14:paraId="6D9E1759" w14:textId="77777777" w:rsidR="00644C72" w:rsidRPr="005B0A42" w:rsidRDefault="00644C72" w:rsidP="00262DCA">
      <w:pPr>
        <w:pStyle w:val="Heading3"/>
      </w:pPr>
      <w:r w:rsidRPr="005B0A42">
        <w:t>Decision Making</w:t>
      </w:r>
    </w:p>
    <w:p w14:paraId="64F29B94" w14:textId="77777777" w:rsidR="00644C72" w:rsidRDefault="00644C72" w:rsidP="00644C72">
      <w:pPr>
        <w:pStyle w:val="ListParagraph"/>
        <w:spacing w:after="0" w:line="240" w:lineRule="auto"/>
        <w:rPr>
          <w:rFonts w:asciiTheme="minorHAnsi" w:hAnsiTheme="minorHAnsi"/>
          <w:sz w:val="24"/>
          <w:szCs w:val="24"/>
        </w:rPr>
      </w:pPr>
    </w:p>
    <w:p w14:paraId="4A476C7C" w14:textId="77777777"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3119A438" w14:textId="77777777"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t>SPECIFIC REVIEWS (iii) –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14:paraId="3FBDC3A6" w14:textId="77777777" w:rsidR="00644C72" w:rsidRPr="00165E7C" w:rsidRDefault="00644C72" w:rsidP="00644C72">
      <w:pPr>
        <w:pStyle w:val="ListParagraph"/>
        <w:spacing w:after="0" w:line="240" w:lineRule="auto"/>
        <w:rPr>
          <w:rFonts w:asciiTheme="minorHAnsi" w:hAnsiTheme="minorHAnsi"/>
          <w:i/>
          <w:sz w:val="24"/>
          <w:szCs w:val="24"/>
        </w:rPr>
      </w:pPr>
    </w:p>
    <w:p w14:paraId="6E077FD5" w14:textId="77777777"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position, or only a small minority of Team members disagree, but most agree. To the extent 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3"/>
      </w:r>
      <w:r w:rsidRPr="00896DAE">
        <w:rPr>
          <w:rFonts w:asciiTheme="minorHAnsi" w:hAnsiTheme="minorHAnsi"/>
          <w:sz w:val="24"/>
          <w:szCs w:val="24"/>
        </w:rPr>
        <w:t xml:space="preserve"> </w:t>
      </w:r>
    </w:p>
    <w:p w14:paraId="30C007FD" w14:textId="77777777" w:rsidR="00644C72" w:rsidRPr="00165E7C" w:rsidRDefault="00644C72" w:rsidP="00644C72">
      <w:pPr>
        <w:pStyle w:val="ListParagraph"/>
        <w:spacing w:after="0" w:line="240" w:lineRule="auto"/>
        <w:rPr>
          <w:rFonts w:asciiTheme="minorHAnsi" w:hAnsiTheme="minorHAnsi"/>
          <w:sz w:val="24"/>
          <w:szCs w:val="24"/>
        </w:rPr>
      </w:pPr>
    </w:p>
    <w:p w14:paraId="51FF4741"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Decisions of the SSR2-RT will be made at meetings, either face-to- face or via teleconference (teleconference or Adobe), and via the SSR2-RT’s email list, as requested by the Co-Chairs. </w:t>
      </w:r>
    </w:p>
    <w:p w14:paraId="495D7A5B" w14:textId="77777777" w:rsidR="00644C72" w:rsidRDefault="00644C72" w:rsidP="00644C72">
      <w:pPr>
        <w:pStyle w:val="ListParagraph"/>
        <w:spacing w:after="0" w:line="240" w:lineRule="auto"/>
        <w:rPr>
          <w:rFonts w:asciiTheme="minorHAnsi" w:hAnsiTheme="minorHAnsi"/>
          <w:sz w:val="24"/>
          <w:szCs w:val="24"/>
        </w:rPr>
      </w:pPr>
    </w:p>
    <w:p w14:paraId="222BC48F" w14:textId="77777777" w:rsidR="00644C72" w:rsidRPr="005B0A42" w:rsidRDefault="00644C72" w:rsidP="00262DCA">
      <w:pPr>
        <w:pStyle w:val="Heading3"/>
      </w:pPr>
      <w:r w:rsidRPr="005B0A42">
        <w:t>Leadership</w:t>
      </w:r>
    </w:p>
    <w:p w14:paraId="04207114" w14:textId="77777777" w:rsidR="00644C72" w:rsidRDefault="00644C72" w:rsidP="00644C72">
      <w:pPr>
        <w:pStyle w:val="ListParagraph"/>
        <w:spacing w:after="0" w:line="240" w:lineRule="auto"/>
        <w:rPr>
          <w:rFonts w:asciiTheme="minorHAnsi" w:hAnsiTheme="minorHAnsi"/>
          <w:sz w:val="24"/>
          <w:szCs w:val="24"/>
        </w:rPr>
      </w:pPr>
    </w:p>
    <w:p w14:paraId="6B9EB88C"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At its meeting on </w:t>
      </w:r>
      <w:r w:rsidR="00081B4B">
        <w:rPr>
          <w:rFonts w:asciiTheme="minorHAnsi" w:hAnsiTheme="minorHAnsi"/>
          <w:sz w:val="24"/>
          <w:szCs w:val="24"/>
        </w:rPr>
        <w:t>22-24 August 2018</w:t>
      </w:r>
      <w:r w:rsidRPr="005B0A42">
        <w:rPr>
          <w:rFonts w:asciiTheme="minorHAnsi" w:hAnsiTheme="minorHAnsi"/>
          <w:sz w:val="24"/>
          <w:szCs w:val="24"/>
        </w:rPr>
        <w:t xml:space="preserve"> the SSR2-RT selected by consensus </w:t>
      </w:r>
      <w:r w:rsidR="00081B4B">
        <w:rPr>
          <w:rFonts w:asciiTheme="minorHAnsi" w:hAnsiTheme="minorHAnsi"/>
          <w:sz w:val="24"/>
          <w:szCs w:val="24"/>
        </w:rPr>
        <w:t xml:space="preserve">Russ Housley as Chair, and </w:t>
      </w:r>
      <w:r w:rsidRPr="005B0A42">
        <w:rPr>
          <w:rFonts w:asciiTheme="minorHAnsi" w:hAnsiTheme="minorHAnsi"/>
          <w:sz w:val="24"/>
          <w:szCs w:val="24"/>
        </w:rPr>
        <w:t>Denise Michel, Eric Osterweil</w:t>
      </w:r>
      <w:r w:rsidR="00081B4B">
        <w:rPr>
          <w:rFonts w:asciiTheme="minorHAnsi" w:hAnsiTheme="minorHAnsi"/>
          <w:sz w:val="24"/>
          <w:szCs w:val="24"/>
        </w:rPr>
        <w:t xml:space="preserve"> and Laurin Weissinger</w:t>
      </w:r>
      <w:r w:rsidRPr="005B0A42">
        <w:rPr>
          <w:rFonts w:asciiTheme="minorHAnsi" w:hAnsiTheme="minorHAnsi"/>
          <w:sz w:val="24"/>
          <w:szCs w:val="24"/>
        </w:rPr>
        <w:t xml:space="preserve"> as </w:t>
      </w:r>
      <w:r w:rsidR="00081B4B">
        <w:rPr>
          <w:rFonts w:asciiTheme="minorHAnsi" w:hAnsiTheme="minorHAnsi"/>
          <w:sz w:val="24"/>
          <w:szCs w:val="24"/>
        </w:rPr>
        <w:t>Vice</w:t>
      </w:r>
      <w:r w:rsidRPr="005B0A42">
        <w:rPr>
          <w:rFonts w:asciiTheme="minorHAnsi" w:hAnsiTheme="minorHAnsi"/>
          <w:sz w:val="24"/>
          <w:szCs w:val="24"/>
        </w:rPr>
        <w:t>-Chairs.</w:t>
      </w:r>
    </w:p>
    <w:p w14:paraId="431ABA1C" w14:textId="77777777" w:rsidR="00644C72" w:rsidRDefault="00644C72" w:rsidP="00644C72">
      <w:pPr>
        <w:pStyle w:val="ListParagraph"/>
        <w:spacing w:after="0" w:line="240" w:lineRule="auto"/>
        <w:rPr>
          <w:rFonts w:asciiTheme="minorHAnsi" w:hAnsiTheme="minorHAnsi"/>
          <w:sz w:val="24"/>
          <w:szCs w:val="24"/>
        </w:rPr>
      </w:pPr>
    </w:p>
    <w:p w14:paraId="7362A9B2"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Responsibilities of </w:t>
      </w:r>
      <w:r w:rsidR="00081B4B">
        <w:rPr>
          <w:rFonts w:asciiTheme="minorHAnsi" w:hAnsiTheme="minorHAnsi"/>
          <w:sz w:val="24"/>
          <w:szCs w:val="24"/>
        </w:rPr>
        <w:t>Chair, and Vice-Chairs</w:t>
      </w:r>
      <w:r w:rsidRPr="005B0A42">
        <w:rPr>
          <w:rFonts w:asciiTheme="minorHAnsi" w:hAnsiTheme="minorHAnsi"/>
          <w:sz w:val="24"/>
          <w:szCs w:val="24"/>
        </w:rPr>
        <w:t xml:space="preserve"> include:</w:t>
      </w:r>
    </w:p>
    <w:p w14:paraId="2B151697" w14:textId="77777777" w:rsidR="00644C72" w:rsidRDefault="00644C72" w:rsidP="00644C72">
      <w:pPr>
        <w:pStyle w:val="ListParagraph"/>
        <w:spacing w:after="0" w:line="240" w:lineRule="auto"/>
        <w:rPr>
          <w:rFonts w:asciiTheme="minorHAnsi" w:hAnsiTheme="minorHAnsi"/>
          <w:sz w:val="24"/>
          <w:szCs w:val="24"/>
        </w:rPr>
      </w:pPr>
    </w:p>
    <w:p w14:paraId="63105B52"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Remain neutral when serving as Chair</w:t>
      </w:r>
      <w:r w:rsidR="00081B4B">
        <w:rPr>
          <w:rFonts w:asciiTheme="minorHAnsi" w:hAnsiTheme="minorHAnsi"/>
          <w:sz w:val="24"/>
          <w:szCs w:val="24"/>
        </w:rPr>
        <w:t>/Vice-Chairs</w:t>
      </w:r>
    </w:p>
    <w:p w14:paraId="058C4909"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14:paraId="71DA957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14:paraId="69A5D797"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14:paraId="1A4CAD60"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lastRenderedPageBreak/>
        <w:t>Ensure effective communication between members and with broader community, board and staff</w:t>
      </w:r>
    </w:p>
    <w:p w14:paraId="0AA3F679"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14:paraId="4F333515"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p>
    <w:p w14:paraId="7A883826"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14:paraId="56DEFB9F"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Provide clarity on team decisions</w:t>
      </w:r>
    </w:p>
    <w:p w14:paraId="4367D94E"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14:paraId="02085750"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14:paraId="150A409A"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14:paraId="455D11B0" w14:textId="77777777" w:rsidR="00644C72" w:rsidRPr="00B75FA0" w:rsidRDefault="00644C72" w:rsidP="00644C72">
      <w:pPr>
        <w:spacing w:after="0" w:line="240" w:lineRule="auto"/>
        <w:ind w:left="1080"/>
        <w:rPr>
          <w:rFonts w:asciiTheme="minorHAnsi" w:hAnsiTheme="minorHAnsi"/>
          <w:sz w:val="24"/>
          <w:szCs w:val="24"/>
        </w:rPr>
      </w:pPr>
    </w:p>
    <w:p w14:paraId="1E7C7132" w14:textId="77777777"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14:paraId="270F3FFE" w14:textId="77777777"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Attend all calls and face to face meetings where feasible</w:t>
      </w:r>
    </w:p>
    <w:p w14:paraId="0F16A8ED" w14:textId="77777777"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on email list</w:t>
      </w:r>
      <w:r w:rsidR="00D10217">
        <w:rPr>
          <w:rFonts w:asciiTheme="minorHAnsi" w:hAnsiTheme="minorHAnsi"/>
          <w:sz w:val="24"/>
          <w:szCs w:val="24"/>
        </w:rPr>
        <w:t>, including providing feedback when requested to do so through that medium</w:t>
      </w:r>
    </w:p>
    <w:p w14:paraId="735B41AB" w14:textId="77777777"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with relevant stakeholder groups within the ICANN community, and within each team member’s local constituencies</w:t>
      </w:r>
      <w:r w:rsidR="00D10217">
        <w:rPr>
          <w:rFonts w:asciiTheme="minorHAnsi" w:hAnsiTheme="minorHAnsi"/>
          <w:sz w:val="24"/>
          <w:szCs w:val="24"/>
        </w:rPr>
        <w:t xml:space="preserve"> </w:t>
      </w:r>
    </w:p>
    <w:p w14:paraId="0EF33875" w14:textId="77777777" w:rsidR="00AB590C"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Provide input and comments based on core expertise and experience</w:t>
      </w:r>
    </w:p>
    <w:p w14:paraId="23C99362" w14:textId="77777777" w:rsidR="00D10217"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Undertake desk research</w:t>
      </w:r>
      <w:r w:rsidR="00F45F02">
        <w:rPr>
          <w:rFonts w:asciiTheme="minorHAnsi" w:hAnsiTheme="minorHAnsi"/>
          <w:sz w:val="24"/>
          <w:szCs w:val="24"/>
        </w:rPr>
        <w:t xml:space="preserve"> as required and in accordance with scope of work</w:t>
      </w:r>
    </w:p>
    <w:p w14:paraId="0727D6E5" w14:textId="77777777"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Be prepared to listen to others and make compromises in order to achieve consensus recommendations</w:t>
      </w:r>
    </w:p>
    <w:p w14:paraId="1E6BBCD3" w14:textId="77777777"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Participate in drafting and sub-groups as required.</w:t>
      </w:r>
    </w:p>
    <w:p w14:paraId="2637B5E2" w14:textId="77777777" w:rsidR="00644C72" w:rsidRPr="00262DCA" w:rsidRDefault="00644C72" w:rsidP="00262DCA">
      <w:pPr>
        <w:spacing w:after="0" w:line="240" w:lineRule="auto"/>
        <w:rPr>
          <w:rFonts w:asciiTheme="minorHAnsi" w:hAnsiTheme="minorHAnsi"/>
          <w:sz w:val="24"/>
          <w:szCs w:val="24"/>
        </w:rPr>
      </w:pPr>
    </w:p>
    <w:p w14:paraId="424960AA" w14:textId="77777777" w:rsidR="00644C72" w:rsidRPr="00262DCA" w:rsidRDefault="00644C72" w:rsidP="00262DCA">
      <w:pPr>
        <w:pStyle w:val="Heading3"/>
      </w:pPr>
      <w:r w:rsidRPr="00262DCA">
        <w:t xml:space="preserve">Electronic Tools </w:t>
      </w:r>
    </w:p>
    <w:p w14:paraId="140E3121" w14:textId="77777777" w:rsidR="00644C72" w:rsidRDefault="00644C72" w:rsidP="00644C72">
      <w:pPr>
        <w:pStyle w:val="ListParagraph"/>
        <w:spacing w:after="0" w:line="240" w:lineRule="auto"/>
        <w:rPr>
          <w:rFonts w:asciiTheme="minorHAnsi" w:hAnsiTheme="minorHAnsi"/>
          <w:b/>
          <w:sz w:val="24"/>
          <w:szCs w:val="24"/>
        </w:rPr>
      </w:pPr>
    </w:p>
    <w:p w14:paraId="7F7F6A85"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 SSR2-RT has an email list (ssr2-review@icann.org) for review team members and support staff to use. All emails exchanged on this list are </w:t>
      </w:r>
      <w:hyperlink r:id="rId14"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14:paraId="56265E9C" w14:textId="77777777" w:rsidR="00262DCA" w:rsidRDefault="00262DCA" w:rsidP="00262DCA">
      <w:pPr>
        <w:spacing w:after="0" w:line="240" w:lineRule="auto"/>
        <w:rPr>
          <w:rFonts w:asciiTheme="minorHAnsi" w:hAnsiTheme="minorHAnsi"/>
          <w:sz w:val="24"/>
          <w:szCs w:val="24"/>
        </w:rPr>
      </w:pPr>
    </w:p>
    <w:p w14:paraId="19086EE6" w14:textId="77777777"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In exceptional circumstances, such as when required due to Non-Disclosure Agreement or Confidential Disclosure Agreement provisions, non-public email exchanges may take place between SSR2-RT members and ICANN staff. When possible a non-confidential summary of such disussions will be posted to the public SSR2-RT mailing list.</w:t>
      </w:r>
    </w:p>
    <w:p w14:paraId="73933A6E" w14:textId="77777777" w:rsidR="00262DCA" w:rsidRDefault="00262DCA" w:rsidP="00262DCA">
      <w:pPr>
        <w:spacing w:after="0" w:line="240" w:lineRule="auto"/>
        <w:rPr>
          <w:rFonts w:asciiTheme="minorHAnsi" w:hAnsiTheme="minorHAnsi"/>
          <w:sz w:val="24"/>
          <w:szCs w:val="24"/>
        </w:rPr>
      </w:pPr>
    </w:p>
    <w:p w14:paraId="723575BC"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5"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14:paraId="07F29D2B" w14:textId="77777777" w:rsidR="00644C72" w:rsidRPr="005230D8" w:rsidRDefault="00644C72" w:rsidP="00644C72">
      <w:pPr>
        <w:pStyle w:val="ListParagraph"/>
        <w:spacing w:after="0" w:line="240" w:lineRule="auto"/>
        <w:ind w:left="1440"/>
        <w:rPr>
          <w:rFonts w:asciiTheme="minorHAnsi" w:hAnsiTheme="minorHAnsi"/>
          <w:sz w:val="24"/>
          <w:szCs w:val="24"/>
        </w:rPr>
      </w:pPr>
    </w:p>
    <w:p w14:paraId="01843572" w14:textId="77777777" w:rsidR="00644C72" w:rsidRPr="00262DCA" w:rsidRDefault="00644C72" w:rsidP="00262DCA">
      <w:pPr>
        <w:pStyle w:val="Heading3"/>
      </w:pPr>
      <w:r w:rsidRPr="00262DCA">
        <w:lastRenderedPageBreak/>
        <w:t>Outreach</w:t>
      </w:r>
    </w:p>
    <w:p w14:paraId="4802FA14" w14:textId="77777777" w:rsidR="00644C72" w:rsidRDefault="00644C72" w:rsidP="00644C72">
      <w:pPr>
        <w:pStyle w:val="ListParagraph"/>
        <w:spacing w:after="0" w:line="240" w:lineRule="auto"/>
        <w:rPr>
          <w:rFonts w:asciiTheme="minorHAnsi" w:hAnsiTheme="minorHAnsi"/>
          <w:b/>
          <w:sz w:val="24"/>
          <w:szCs w:val="24"/>
        </w:rPr>
      </w:pPr>
    </w:p>
    <w:p w14:paraId="3540BCCA"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14:paraId="0F97696D" w14:textId="77777777" w:rsidR="00644C72" w:rsidRDefault="00644C72" w:rsidP="00644C72">
      <w:pPr>
        <w:pStyle w:val="ListParagraph"/>
        <w:spacing w:after="0" w:line="240" w:lineRule="auto"/>
        <w:rPr>
          <w:rFonts w:asciiTheme="minorHAnsi" w:hAnsiTheme="minorHAnsi"/>
          <w:sz w:val="24"/>
          <w:szCs w:val="24"/>
        </w:rPr>
      </w:pPr>
    </w:p>
    <w:p w14:paraId="3EB43E7C" w14:textId="77777777" w:rsidR="00E86D50" w:rsidRPr="00EF7DB3" w:rsidRDefault="00644C72" w:rsidP="00EF7DB3">
      <w:pPr>
        <w:spacing w:after="0" w:line="240" w:lineRule="auto"/>
        <w:rPr>
          <w:rFonts w:asciiTheme="minorHAnsi" w:hAnsiTheme="minorHAnsi"/>
          <w:sz w:val="24"/>
          <w:szCs w:val="24"/>
        </w:rPr>
      </w:pPr>
      <w:r w:rsidRPr="00262DCA">
        <w:rPr>
          <w:rFonts w:asciiTheme="minorHAnsi" w:hAnsiTheme="minorHAnsi"/>
          <w:sz w:val="24"/>
          <w:szCs w:val="24"/>
        </w:rPr>
        <w:t>As such the SSR2-RT will ensure the public has access to, and can provide input on, the Team’s work. 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14:paraId="23CDE441" w14:textId="77777777" w:rsidR="00644C72" w:rsidRPr="00262DCA" w:rsidRDefault="00644C72" w:rsidP="00262DCA">
      <w:pPr>
        <w:pStyle w:val="Heading3"/>
      </w:pPr>
      <w:r w:rsidRPr="00262DCA">
        <w:t>Meetings of the SSR2-RT</w:t>
      </w:r>
    </w:p>
    <w:p w14:paraId="2CBA56D9" w14:textId="77777777" w:rsidR="00644C72" w:rsidRPr="00F83E96" w:rsidRDefault="00644C72" w:rsidP="00644C72">
      <w:pPr>
        <w:spacing w:after="0" w:line="240" w:lineRule="auto"/>
        <w:rPr>
          <w:rFonts w:asciiTheme="minorHAnsi" w:hAnsiTheme="minorHAnsi"/>
          <w:sz w:val="24"/>
          <w:szCs w:val="24"/>
        </w:rPr>
      </w:pPr>
    </w:p>
    <w:p w14:paraId="03A29662"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14:paraId="0F6FCF06" w14:textId="77777777" w:rsidR="00644C72" w:rsidRPr="001C3B54" w:rsidRDefault="00644C72" w:rsidP="00644C72">
      <w:pPr>
        <w:spacing w:after="0" w:line="240" w:lineRule="auto"/>
        <w:ind w:left="1800"/>
        <w:rPr>
          <w:rFonts w:asciiTheme="minorHAnsi" w:hAnsiTheme="minorHAnsi"/>
          <w:sz w:val="24"/>
          <w:szCs w:val="24"/>
        </w:rPr>
      </w:pPr>
    </w:p>
    <w:p w14:paraId="4F65CD1B" w14:textId="77777777" w:rsidR="00644C72" w:rsidRPr="00262DCA" w:rsidRDefault="00644C72" w:rsidP="00262DCA">
      <w:pPr>
        <w:pStyle w:val="Heading4"/>
      </w:pPr>
      <w:r w:rsidRPr="00262DCA">
        <w:t>Meetings Rules and Transparency</w:t>
      </w:r>
    </w:p>
    <w:p w14:paraId="0F7A59EE" w14:textId="77777777" w:rsidR="00644C72" w:rsidRDefault="00644C72" w:rsidP="00644C72">
      <w:pPr>
        <w:pStyle w:val="ListParagraph"/>
        <w:spacing w:after="0" w:line="240" w:lineRule="auto"/>
        <w:ind w:left="1440"/>
        <w:rPr>
          <w:rFonts w:asciiTheme="minorHAnsi" w:hAnsiTheme="minorHAnsi"/>
          <w:sz w:val="24"/>
          <w:szCs w:val="24"/>
        </w:rPr>
      </w:pPr>
    </w:p>
    <w:p w14:paraId="63D8C01F"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14:paraId="0D4F5C1A"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It is expected that review team members who </w:t>
      </w:r>
      <w:r w:rsidR="00F45F02">
        <w:rPr>
          <w:rFonts w:asciiTheme="minorHAnsi" w:hAnsiTheme="minorHAnsi"/>
          <w:sz w:val="24"/>
          <w:szCs w:val="24"/>
        </w:rPr>
        <w:t xml:space="preserve">are unable to attend </w:t>
      </w:r>
      <w:r w:rsidRPr="00425AFF">
        <w:rPr>
          <w:rFonts w:asciiTheme="minorHAnsi" w:hAnsiTheme="minorHAnsi"/>
          <w:sz w:val="24"/>
          <w:szCs w:val="24"/>
        </w:rPr>
        <w:t xml:space="preserve">meetings </w:t>
      </w:r>
      <w:r w:rsidR="00F45F02">
        <w:rPr>
          <w:rFonts w:asciiTheme="minorHAnsi" w:hAnsiTheme="minorHAnsi"/>
          <w:sz w:val="24"/>
          <w:szCs w:val="24"/>
        </w:rPr>
        <w:t xml:space="preserve">(face to face or online) </w:t>
      </w:r>
      <w:r w:rsidRPr="00425AFF">
        <w:rPr>
          <w:rFonts w:asciiTheme="minorHAnsi" w:hAnsiTheme="minorHAnsi"/>
          <w:sz w:val="24"/>
          <w:szCs w:val="24"/>
        </w:rPr>
        <w:t>will listen to the recordings of any meetings missed prior to attending the next meeting.</w:t>
      </w:r>
    </w:p>
    <w:p w14:paraId="388D0812"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14:paraId="157B5DFA"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14:paraId="38D10594" w14:textId="77777777"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6" w:history="1">
        <w:r w:rsidRPr="00425AFF">
          <w:rPr>
            <w:rStyle w:val="Hyperlink"/>
            <w:rFonts w:asciiTheme="minorHAnsi" w:hAnsiTheme="minorHAnsi"/>
            <w:sz w:val="24"/>
            <w:szCs w:val="24"/>
          </w:rPr>
          <w:t>https://community.icann.org/pages/viewpage.action?pageId=64070219</w:t>
        </w:r>
      </w:hyperlink>
    </w:p>
    <w:p w14:paraId="45CFDCBA"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14:paraId="52539CDE" w14:textId="77777777"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14:paraId="6CB5CD8F"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14:paraId="159BC9C8"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14:paraId="1498C79D"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lastRenderedPageBreak/>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14:paraId="442E903A"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14:paraId="495FD1C5"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14:paraId="7BFF3E17"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The Co-Chairs should ensure that the meeting becomes “on the record” again as soon as the topic requiring “off the record” is completed. Observers should be advised that the meeting has become “on the record” again. </w:t>
      </w:r>
    </w:p>
    <w:p w14:paraId="09FDFC28"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14:paraId="6FBF517C"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14:paraId="19A602C7"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14:paraId="10C5422B"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the Confidential Disclosure Framework 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p>
    <w:p w14:paraId="7A883619" w14:textId="77777777"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17"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14:paraId="56904C0D" w14:textId="77777777" w:rsidR="00262DCA" w:rsidRDefault="00262DCA" w:rsidP="00262DCA">
      <w:pPr>
        <w:spacing w:after="0" w:line="240" w:lineRule="auto"/>
        <w:rPr>
          <w:rFonts w:asciiTheme="minorHAnsi" w:hAnsiTheme="minorHAnsi"/>
          <w:sz w:val="24"/>
          <w:szCs w:val="24"/>
        </w:rPr>
      </w:pPr>
    </w:p>
    <w:p w14:paraId="78C26902" w14:textId="77777777" w:rsidR="00644C72" w:rsidRPr="00262DCA" w:rsidRDefault="00644C72" w:rsidP="00425AFF">
      <w:pPr>
        <w:pStyle w:val="Heading3"/>
      </w:pPr>
      <w:r w:rsidRPr="00262DCA">
        <w:t>Sub-teams of the SSR2-RT</w:t>
      </w:r>
    </w:p>
    <w:p w14:paraId="55436D35" w14:textId="77777777" w:rsidR="00644C72" w:rsidRDefault="00644C72" w:rsidP="00644C72">
      <w:pPr>
        <w:pStyle w:val="ListParagraph"/>
        <w:spacing w:after="0" w:line="240" w:lineRule="auto"/>
        <w:rPr>
          <w:rFonts w:asciiTheme="minorHAnsi" w:hAnsiTheme="minorHAnsi"/>
          <w:b/>
          <w:sz w:val="24"/>
          <w:szCs w:val="24"/>
        </w:rPr>
      </w:pPr>
    </w:p>
    <w:p w14:paraId="16C17148" w14:textId="77777777"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14:paraId="1623A7A2"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14:paraId="70E2A879"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14:paraId="426613C2"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14:paraId="6110BF3C"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lastRenderedPageBreak/>
        <w:t>Sub-teams can arrange face-to-face meetings in conjunction with SSR2-RT face-to-face meetings.</w:t>
      </w:r>
    </w:p>
    <w:p w14:paraId="5A853EC1"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14:paraId="44C569C6" w14:textId="77777777"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14:paraId="6477ADD7" w14:textId="77777777" w:rsidR="00ED3525" w:rsidRDefault="00ED3525">
      <w:pPr>
        <w:rPr>
          <w:color w:val="2E75B5"/>
          <w:sz w:val="26"/>
          <w:szCs w:val="26"/>
        </w:rPr>
      </w:pPr>
    </w:p>
    <w:p w14:paraId="5E54F3EF" w14:textId="77777777" w:rsidR="00644C72" w:rsidRPr="00EF7DB3" w:rsidRDefault="00644C72" w:rsidP="00EF7DB3">
      <w:pPr>
        <w:pStyle w:val="Heading2"/>
        <w:rPr>
          <w:b/>
          <w:sz w:val="28"/>
        </w:rPr>
      </w:pPr>
      <w:r w:rsidRPr="00EF7DB3">
        <w:rPr>
          <w:b/>
          <w:sz w:val="28"/>
        </w:rPr>
        <w:t>SSR2-RT Support</w:t>
      </w:r>
    </w:p>
    <w:p w14:paraId="7C1F0810" w14:textId="77777777" w:rsidR="00644C72" w:rsidRPr="00262DCA" w:rsidRDefault="00644C72" w:rsidP="00425AFF">
      <w:pPr>
        <w:pStyle w:val="Heading3"/>
      </w:pPr>
      <w:r w:rsidRPr="00262DCA">
        <w:t>Independent Experts</w:t>
      </w:r>
    </w:p>
    <w:p w14:paraId="4D8551C3" w14:textId="77777777" w:rsidR="00644C72" w:rsidRDefault="00644C72" w:rsidP="00644C72">
      <w:pPr>
        <w:pStyle w:val="ListParagraph"/>
        <w:spacing w:after="0" w:line="240" w:lineRule="auto"/>
        <w:rPr>
          <w:rFonts w:asciiTheme="minorHAnsi" w:hAnsiTheme="minorHAnsi"/>
          <w:sz w:val="24"/>
          <w:szCs w:val="24"/>
        </w:rPr>
      </w:pPr>
    </w:p>
    <w:p w14:paraId="0E9E7ABD" w14:textId="77777777"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70D7506A" w14:textId="77777777" w:rsidR="00262DCA" w:rsidRDefault="00262DCA" w:rsidP="00262DCA">
      <w:pPr>
        <w:spacing w:after="0" w:line="240" w:lineRule="auto"/>
        <w:rPr>
          <w:rFonts w:asciiTheme="minorHAnsi" w:hAnsiTheme="minorHAnsi"/>
          <w:i/>
          <w:sz w:val="24"/>
          <w:szCs w:val="24"/>
        </w:rPr>
      </w:pPr>
    </w:p>
    <w:p w14:paraId="0F34F5B6" w14:textId="77777777"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7DC2FCB0" w14:textId="77777777" w:rsidR="00644C72" w:rsidRDefault="00644C72" w:rsidP="00644C72">
      <w:pPr>
        <w:pStyle w:val="ListParagraph"/>
        <w:spacing w:after="0" w:line="240" w:lineRule="auto"/>
        <w:rPr>
          <w:rFonts w:asciiTheme="minorHAnsi" w:hAnsiTheme="minorHAnsi"/>
          <w:i/>
          <w:sz w:val="24"/>
          <w:szCs w:val="24"/>
        </w:rPr>
      </w:pPr>
    </w:p>
    <w:p w14:paraId="3C64E745" w14:textId="77777777"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14:paraId="06091B4F" w14:textId="77777777" w:rsidR="00644C72" w:rsidRPr="005230D8" w:rsidRDefault="00644C72" w:rsidP="00644C72">
      <w:pPr>
        <w:pStyle w:val="ListParagraph"/>
        <w:spacing w:after="0" w:line="240" w:lineRule="auto"/>
        <w:rPr>
          <w:rFonts w:asciiTheme="minorHAnsi" w:hAnsiTheme="minorHAnsi"/>
          <w:sz w:val="24"/>
          <w:szCs w:val="24"/>
        </w:rPr>
      </w:pPr>
    </w:p>
    <w:p w14:paraId="266965FD" w14:textId="77777777" w:rsidR="00644C72" w:rsidRPr="00262DCA" w:rsidRDefault="00644C72" w:rsidP="00425AFF">
      <w:pPr>
        <w:pStyle w:val="Heading3"/>
      </w:pPr>
      <w:r w:rsidRPr="00262DCA">
        <w:t>Travel Support</w:t>
      </w:r>
    </w:p>
    <w:p w14:paraId="347A6EE8" w14:textId="77777777" w:rsidR="00644C72" w:rsidRDefault="00644C72" w:rsidP="00644C72">
      <w:pPr>
        <w:pStyle w:val="ListParagraph"/>
        <w:spacing w:after="0" w:line="240" w:lineRule="auto"/>
        <w:rPr>
          <w:rFonts w:asciiTheme="minorHAnsi" w:hAnsiTheme="minorHAnsi"/>
          <w:sz w:val="24"/>
          <w:szCs w:val="24"/>
        </w:rPr>
      </w:pPr>
    </w:p>
    <w:p w14:paraId="57FD8582" w14:textId="77777777"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p>
    <w:sectPr w:rsidR="00AF07C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13049" w14:textId="77777777" w:rsidR="00EA4AD7" w:rsidRDefault="00EA4AD7">
      <w:pPr>
        <w:spacing w:after="0" w:line="240" w:lineRule="auto"/>
      </w:pPr>
      <w:r>
        <w:separator/>
      </w:r>
    </w:p>
  </w:endnote>
  <w:endnote w:type="continuationSeparator" w:id="0">
    <w:p w14:paraId="55A08B07" w14:textId="77777777" w:rsidR="00EA4AD7" w:rsidRDefault="00EA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E991F" w14:textId="77777777" w:rsidR="006B6545" w:rsidRDefault="006B654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FED8D" w14:textId="77777777" w:rsidR="00D17DB3" w:rsidRDefault="00D17DB3">
    <w:pPr>
      <w:tabs>
        <w:tab w:val="center" w:pos="4680"/>
        <w:tab w:val="right" w:pos="9360"/>
      </w:tabs>
      <w:spacing w:after="720" w:line="240" w:lineRule="auto"/>
      <w:jc w:val="right"/>
    </w:pPr>
    <w:r>
      <w:fldChar w:fldCharType="begin"/>
    </w:r>
    <w:r>
      <w:instrText>PAGE</w:instrText>
    </w:r>
    <w:r>
      <w:fldChar w:fldCharType="separate"/>
    </w:r>
    <w:r w:rsidR="00EB0416">
      <w:rPr>
        <w:noProof/>
      </w:rPr>
      <w:t>1</w:t>
    </w:r>
    <w:r>
      <w:fldChar w:fldCharType="end"/>
    </w:r>
    <w:r>
      <w:t xml:space="preserve"> of </w:t>
    </w:r>
    <w:r>
      <w:fldChar w:fldCharType="begin"/>
    </w:r>
    <w:r>
      <w:instrText>NUMPAGES</w:instrText>
    </w:r>
    <w:r>
      <w:fldChar w:fldCharType="separate"/>
    </w:r>
    <w:r w:rsidR="00EB0416">
      <w:rPr>
        <w:noProof/>
      </w:rPr>
      <w:t>10</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4BB90" w14:textId="77777777" w:rsidR="006B6545" w:rsidRDefault="006B65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97EF3" w14:textId="77777777" w:rsidR="00EA4AD7" w:rsidRDefault="00EA4AD7">
      <w:pPr>
        <w:spacing w:after="0" w:line="240" w:lineRule="auto"/>
      </w:pPr>
      <w:r>
        <w:separator/>
      </w:r>
    </w:p>
  </w:footnote>
  <w:footnote w:type="continuationSeparator" w:id="0">
    <w:p w14:paraId="29E89126" w14:textId="77777777" w:rsidR="00EA4AD7" w:rsidRDefault="00EA4AD7">
      <w:pPr>
        <w:spacing w:after="0" w:line="240" w:lineRule="auto"/>
      </w:pPr>
      <w:r>
        <w:continuationSeparator/>
      </w:r>
    </w:p>
  </w:footnote>
  <w:footnote w:id="1">
    <w:p w14:paraId="6376439F" w14:textId="77777777" w:rsidR="003152D1" w:rsidRDefault="003152D1" w:rsidP="003152D1">
      <w:pPr>
        <w:pStyle w:val="FootnoteText"/>
      </w:pPr>
      <w:r>
        <w:rPr>
          <w:rStyle w:val="FootnoteReference"/>
        </w:rPr>
        <w:footnoteRef/>
      </w:r>
      <w:r>
        <w:t xml:space="preserve"> </w:t>
      </w:r>
      <w:r w:rsidRPr="00081B4B">
        <w:t xml:space="preserve">As updated </w:t>
      </w:r>
      <w:r>
        <w:t>and adopted by the SSR2 Team in August 2018</w:t>
      </w:r>
      <w:r w:rsidRPr="00081B4B">
        <w:t>.</w:t>
      </w:r>
    </w:p>
  </w:footnote>
  <w:footnote w:id="2">
    <w:p w14:paraId="4B0D13F6" w14:textId="77777777" w:rsidR="003152D1" w:rsidRPr="002C37AD" w:rsidRDefault="003152D1" w:rsidP="003152D1">
      <w:pPr>
        <w:pStyle w:val="FootnoteText"/>
      </w:pPr>
      <w:r>
        <w:rPr>
          <w:rStyle w:val="FootnoteReference"/>
        </w:rPr>
        <w:footnoteRef/>
      </w:r>
      <w:r w:rsidR="00EF7DB3">
        <w:t xml:space="preserve"> </w:t>
      </w:r>
      <w:r w:rsidR="00EF7DB3" w:rsidRPr="00EF7DB3">
        <w:rPr>
          <w:color w:val="auto"/>
        </w:rPr>
        <w:t>Based on</w:t>
      </w:r>
      <w:r w:rsidRPr="00EF7DB3">
        <w:rPr>
          <w:color w:val="auto"/>
        </w:rPr>
        <w:t xml:space="preserve">: </w:t>
      </w:r>
      <w:hyperlink r:id="rId1" w:history="1">
        <w:r w:rsidRPr="00EF7DB3">
          <w:rPr>
            <w:rStyle w:val="Hyperlink"/>
            <w:color w:val="auto"/>
          </w:rPr>
          <w:t>https://www.icann.org/resources/</w:t>
        </w:r>
        <w:r w:rsidRPr="00EF7DB3">
          <w:rPr>
            <w:rStyle w:val="Hyperlink"/>
            <w:color w:val="4472C4" w:themeColor="accent5"/>
          </w:rPr>
          <w:t>pages</w:t>
        </w:r>
        <w:r w:rsidRPr="00EF7DB3">
          <w:rPr>
            <w:rStyle w:val="Hyperlink"/>
            <w:color w:val="auto"/>
          </w:rPr>
          <w:t>/ssr-role-remit-2015-01-19-en</w:t>
        </w:r>
      </w:hyperlink>
      <w:r w:rsidRPr="00EF7DB3">
        <w:rPr>
          <w:color w:val="auto"/>
        </w:rPr>
        <w:t xml:space="preserve"> </w:t>
      </w:r>
    </w:p>
  </w:footnote>
  <w:footnote w:id="3">
    <w:p w14:paraId="4FC39F1B" w14:textId="77777777" w:rsidR="00644C72" w:rsidRDefault="00644C72" w:rsidP="00644C72">
      <w:pPr>
        <w:pStyle w:val="FootnoteText"/>
      </w:pPr>
      <w:r>
        <w:rPr>
          <w:rStyle w:val="FootnoteReference"/>
        </w:rPr>
        <w:footnoteRef/>
      </w:r>
      <w:r>
        <w:t xml:space="preserve"> The nature and use of consensus and minority views are informed by the “</w:t>
      </w:r>
      <w:hyperlink r:id="rId2"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D0934" w14:textId="77777777" w:rsidR="006B6545" w:rsidRDefault="006B654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D023E" w14:textId="77777777" w:rsidR="00D17DB3" w:rsidRDefault="00D17DB3">
    <w:pPr>
      <w:tabs>
        <w:tab w:val="center" w:pos="4680"/>
        <w:tab w:val="right" w:pos="9360"/>
      </w:tabs>
      <w:spacing w:before="720" w:after="0" w:line="240" w:lineRule="aut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6C108" w14:textId="77777777" w:rsidR="006B6545" w:rsidRDefault="006B654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6">
    <w:nsid w:val="743724DB"/>
    <w:multiLevelType w:val="hybridMultilevel"/>
    <w:tmpl w:val="535C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5"/>
  </w:num>
  <w:num w:numId="4">
    <w:abstractNumId w:val="7"/>
  </w:num>
  <w:num w:numId="5">
    <w:abstractNumId w:val="36"/>
  </w:num>
  <w:num w:numId="6">
    <w:abstractNumId w:val="32"/>
  </w:num>
  <w:num w:numId="7">
    <w:abstractNumId w:val="31"/>
  </w:num>
  <w:num w:numId="8">
    <w:abstractNumId w:val="22"/>
  </w:num>
  <w:num w:numId="9">
    <w:abstractNumId w:val="23"/>
  </w:num>
  <w:num w:numId="10">
    <w:abstractNumId w:val="2"/>
  </w:num>
  <w:num w:numId="11">
    <w:abstractNumId w:val="47"/>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2"/>
  </w:num>
  <w:num w:numId="21">
    <w:abstractNumId w:val="12"/>
  </w:num>
  <w:num w:numId="22">
    <w:abstractNumId w:val="1"/>
  </w:num>
  <w:num w:numId="23">
    <w:abstractNumId w:val="40"/>
  </w:num>
  <w:num w:numId="24">
    <w:abstractNumId w:val="26"/>
  </w:num>
  <w:num w:numId="25">
    <w:abstractNumId w:val="38"/>
  </w:num>
  <w:num w:numId="26">
    <w:abstractNumId w:val="48"/>
  </w:num>
  <w:num w:numId="27">
    <w:abstractNumId w:val="16"/>
  </w:num>
  <w:num w:numId="28">
    <w:abstractNumId w:val="9"/>
  </w:num>
  <w:num w:numId="29">
    <w:abstractNumId w:val="10"/>
  </w:num>
  <w:num w:numId="30">
    <w:abstractNumId w:val="8"/>
  </w:num>
  <w:num w:numId="31">
    <w:abstractNumId w:val="3"/>
  </w:num>
  <w:num w:numId="32">
    <w:abstractNumId w:val="39"/>
  </w:num>
  <w:num w:numId="33">
    <w:abstractNumId w:val="27"/>
  </w:num>
  <w:num w:numId="34">
    <w:abstractNumId w:val="37"/>
  </w:num>
  <w:num w:numId="35">
    <w:abstractNumId w:val="35"/>
  </w:num>
  <w:num w:numId="36">
    <w:abstractNumId w:val="43"/>
  </w:num>
  <w:num w:numId="37">
    <w:abstractNumId w:val="11"/>
  </w:num>
  <w:num w:numId="38">
    <w:abstractNumId w:val="28"/>
  </w:num>
  <w:num w:numId="39">
    <w:abstractNumId w:val="20"/>
  </w:num>
  <w:num w:numId="40">
    <w:abstractNumId w:val="0"/>
  </w:num>
  <w:num w:numId="41">
    <w:abstractNumId w:val="44"/>
  </w:num>
  <w:num w:numId="42">
    <w:abstractNumId w:val="19"/>
  </w:num>
  <w:num w:numId="43">
    <w:abstractNumId w:val="30"/>
  </w:num>
  <w:num w:numId="44">
    <w:abstractNumId w:val="41"/>
  </w:num>
  <w:num w:numId="45">
    <w:abstractNumId w:val="29"/>
  </w:num>
  <w:num w:numId="46">
    <w:abstractNumId w:val="17"/>
  </w:num>
  <w:num w:numId="47">
    <w:abstractNumId w:val="21"/>
  </w:num>
  <w:num w:numId="48">
    <w:abstractNumId w:val="1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0E"/>
    <w:rsid w:val="00000D09"/>
    <w:rsid w:val="00002565"/>
    <w:rsid w:val="00020710"/>
    <w:rsid w:val="000227A7"/>
    <w:rsid w:val="00023355"/>
    <w:rsid w:val="0002661C"/>
    <w:rsid w:val="00030C42"/>
    <w:rsid w:val="000331C5"/>
    <w:rsid w:val="00036C06"/>
    <w:rsid w:val="000433EE"/>
    <w:rsid w:val="000445B1"/>
    <w:rsid w:val="00046095"/>
    <w:rsid w:val="0005220D"/>
    <w:rsid w:val="00055B43"/>
    <w:rsid w:val="000612B0"/>
    <w:rsid w:val="00062F74"/>
    <w:rsid w:val="0006593B"/>
    <w:rsid w:val="00076C4C"/>
    <w:rsid w:val="00081B4B"/>
    <w:rsid w:val="000843EF"/>
    <w:rsid w:val="00091BC5"/>
    <w:rsid w:val="00091E25"/>
    <w:rsid w:val="000A12E1"/>
    <w:rsid w:val="000A45C4"/>
    <w:rsid w:val="000B1C84"/>
    <w:rsid w:val="000B461E"/>
    <w:rsid w:val="000C2F82"/>
    <w:rsid w:val="000C396A"/>
    <w:rsid w:val="000C783C"/>
    <w:rsid w:val="00100FFF"/>
    <w:rsid w:val="00101A7D"/>
    <w:rsid w:val="00103E8B"/>
    <w:rsid w:val="00105C09"/>
    <w:rsid w:val="001079F4"/>
    <w:rsid w:val="00110E7B"/>
    <w:rsid w:val="0011248A"/>
    <w:rsid w:val="00116ACE"/>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C5B8B"/>
    <w:rsid w:val="001D17D5"/>
    <w:rsid w:val="001D6C5F"/>
    <w:rsid w:val="001E09E2"/>
    <w:rsid w:val="001E0A2A"/>
    <w:rsid w:val="001E6767"/>
    <w:rsid w:val="0021355F"/>
    <w:rsid w:val="00213D2E"/>
    <w:rsid w:val="00215A63"/>
    <w:rsid w:val="00220DCA"/>
    <w:rsid w:val="00221223"/>
    <w:rsid w:val="00232094"/>
    <w:rsid w:val="00232C56"/>
    <w:rsid w:val="00247F1C"/>
    <w:rsid w:val="002542ED"/>
    <w:rsid w:val="00262DCA"/>
    <w:rsid w:val="00264C5C"/>
    <w:rsid w:val="002705AF"/>
    <w:rsid w:val="00271538"/>
    <w:rsid w:val="002730F3"/>
    <w:rsid w:val="002742AB"/>
    <w:rsid w:val="00281A71"/>
    <w:rsid w:val="002917E8"/>
    <w:rsid w:val="002918F1"/>
    <w:rsid w:val="00293BB9"/>
    <w:rsid w:val="002A73B1"/>
    <w:rsid w:val="002C37AD"/>
    <w:rsid w:val="002C3EB4"/>
    <w:rsid w:val="002C550E"/>
    <w:rsid w:val="002D45A7"/>
    <w:rsid w:val="002E122D"/>
    <w:rsid w:val="002F2231"/>
    <w:rsid w:val="00305594"/>
    <w:rsid w:val="00306FC6"/>
    <w:rsid w:val="003152D1"/>
    <w:rsid w:val="00327694"/>
    <w:rsid w:val="00344A5A"/>
    <w:rsid w:val="00356C0B"/>
    <w:rsid w:val="00362626"/>
    <w:rsid w:val="00364F6F"/>
    <w:rsid w:val="00387A49"/>
    <w:rsid w:val="00391DD8"/>
    <w:rsid w:val="003A4111"/>
    <w:rsid w:val="003B1C8A"/>
    <w:rsid w:val="003B4121"/>
    <w:rsid w:val="003C6C24"/>
    <w:rsid w:val="003D2C48"/>
    <w:rsid w:val="003D3BEB"/>
    <w:rsid w:val="003E3A8F"/>
    <w:rsid w:val="003F0E32"/>
    <w:rsid w:val="003F6129"/>
    <w:rsid w:val="00400BFE"/>
    <w:rsid w:val="00410126"/>
    <w:rsid w:val="0041391F"/>
    <w:rsid w:val="00425AFF"/>
    <w:rsid w:val="0043185D"/>
    <w:rsid w:val="00434D64"/>
    <w:rsid w:val="0043695B"/>
    <w:rsid w:val="00440A5E"/>
    <w:rsid w:val="0044630B"/>
    <w:rsid w:val="00451903"/>
    <w:rsid w:val="00452277"/>
    <w:rsid w:val="00455B74"/>
    <w:rsid w:val="00461F3D"/>
    <w:rsid w:val="00470392"/>
    <w:rsid w:val="00486C3F"/>
    <w:rsid w:val="00497576"/>
    <w:rsid w:val="004B0375"/>
    <w:rsid w:val="004C38D2"/>
    <w:rsid w:val="004D4351"/>
    <w:rsid w:val="004D437C"/>
    <w:rsid w:val="004D52FF"/>
    <w:rsid w:val="004E1B3C"/>
    <w:rsid w:val="004E28A8"/>
    <w:rsid w:val="00503BF5"/>
    <w:rsid w:val="005044C4"/>
    <w:rsid w:val="00520897"/>
    <w:rsid w:val="005230D8"/>
    <w:rsid w:val="005238FB"/>
    <w:rsid w:val="00534BAE"/>
    <w:rsid w:val="00535CAB"/>
    <w:rsid w:val="0054348B"/>
    <w:rsid w:val="0055567E"/>
    <w:rsid w:val="00557030"/>
    <w:rsid w:val="00557CAA"/>
    <w:rsid w:val="00564AC2"/>
    <w:rsid w:val="0057674C"/>
    <w:rsid w:val="00577CFF"/>
    <w:rsid w:val="005978F5"/>
    <w:rsid w:val="005A151B"/>
    <w:rsid w:val="005B0A42"/>
    <w:rsid w:val="005E175B"/>
    <w:rsid w:val="005E4949"/>
    <w:rsid w:val="005F16C2"/>
    <w:rsid w:val="005F1D5A"/>
    <w:rsid w:val="005F75ED"/>
    <w:rsid w:val="006042C4"/>
    <w:rsid w:val="006109DF"/>
    <w:rsid w:val="006114A8"/>
    <w:rsid w:val="0061487A"/>
    <w:rsid w:val="006269EB"/>
    <w:rsid w:val="006310F5"/>
    <w:rsid w:val="006321DC"/>
    <w:rsid w:val="00634AD7"/>
    <w:rsid w:val="00643F52"/>
    <w:rsid w:val="00644C72"/>
    <w:rsid w:val="00656331"/>
    <w:rsid w:val="00664EC6"/>
    <w:rsid w:val="0066540E"/>
    <w:rsid w:val="006801BB"/>
    <w:rsid w:val="00682F8B"/>
    <w:rsid w:val="00685F63"/>
    <w:rsid w:val="0068702C"/>
    <w:rsid w:val="00691ED5"/>
    <w:rsid w:val="00696C72"/>
    <w:rsid w:val="006B065E"/>
    <w:rsid w:val="006B2D32"/>
    <w:rsid w:val="006B2F37"/>
    <w:rsid w:val="006B3E3F"/>
    <w:rsid w:val="006B6545"/>
    <w:rsid w:val="006C179F"/>
    <w:rsid w:val="006C1BE7"/>
    <w:rsid w:val="006D4568"/>
    <w:rsid w:val="006E2052"/>
    <w:rsid w:val="006E25A2"/>
    <w:rsid w:val="007023C0"/>
    <w:rsid w:val="00704CC2"/>
    <w:rsid w:val="007052D6"/>
    <w:rsid w:val="00707FDB"/>
    <w:rsid w:val="0071354A"/>
    <w:rsid w:val="007258CF"/>
    <w:rsid w:val="00727EC3"/>
    <w:rsid w:val="00732B16"/>
    <w:rsid w:val="00751DEF"/>
    <w:rsid w:val="007556E8"/>
    <w:rsid w:val="0075648D"/>
    <w:rsid w:val="00764780"/>
    <w:rsid w:val="007741AA"/>
    <w:rsid w:val="00780619"/>
    <w:rsid w:val="007849BF"/>
    <w:rsid w:val="00787085"/>
    <w:rsid w:val="007905A3"/>
    <w:rsid w:val="00792344"/>
    <w:rsid w:val="0079401B"/>
    <w:rsid w:val="007942C3"/>
    <w:rsid w:val="007A33B5"/>
    <w:rsid w:val="007D00CE"/>
    <w:rsid w:val="007D256F"/>
    <w:rsid w:val="007D55DC"/>
    <w:rsid w:val="007D6E2C"/>
    <w:rsid w:val="007E16D8"/>
    <w:rsid w:val="007F0AD3"/>
    <w:rsid w:val="00805594"/>
    <w:rsid w:val="00813604"/>
    <w:rsid w:val="00821052"/>
    <w:rsid w:val="008251C5"/>
    <w:rsid w:val="00833D83"/>
    <w:rsid w:val="00836D3F"/>
    <w:rsid w:val="00843C3F"/>
    <w:rsid w:val="00852337"/>
    <w:rsid w:val="0085398E"/>
    <w:rsid w:val="008561D2"/>
    <w:rsid w:val="00856325"/>
    <w:rsid w:val="00856C31"/>
    <w:rsid w:val="00856DEC"/>
    <w:rsid w:val="008570A7"/>
    <w:rsid w:val="00857769"/>
    <w:rsid w:val="0086406E"/>
    <w:rsid w:val="00873408"/>
    <w:rsid w:val="00875EA5"/>
    <w:rsid w:val="00877257"/>
    <w:rsid w:val="00877EAA"/>
    <w:rsid w:val="0088455F"/>
    <w:rsid w:val="0088610B"/>
    <w:rsid w:val="00887745"/>
    <w:rsid w:val="0088778B"/>
    <w:rsid w:val="00892F7A"/>
    <w:rsid w:val="00896DAE"/>
    <w:rsid w:val="008A48D7"/>
    <w:rsid w:val="008A7D28"/>
    <w:rsid w:val="008B7C79"/>
    <w:rsid w:val="008C16A2"/>
    <w:rsid w:val="008C44CF"/>
    <w:rsid w:val="008D390E"/>
    <w:rsid w:val="008D6617"/>
    <w:rsid w:val="008E09D5"/>
    <w:rsid w:val="008E6653"/>
    <w:rsid w:val="008E70B3"/>
    <w:rsid w:val="008F36A1"/>
    <w:rsid w:val="00907296"/>
    <w:rsid w:val="0091198A"/>
    <w:rsid w:val="00931C60"/>
    <w:rsid w:val="00933E65"/>
    <w:rsid w:val="00940D3C"/>
    <w:rsid w:val="009460A9"/>
    <w:rsid w:val="00953D88"/>
    <w:rsid w:val="009555DC"/>
    <w:rsid w:val="00955A17"/>
    <w:rsid w:val="009612A1"/>
    <w:rsid w:val="00965B62"/>
    <w:rsid w:val="00966C1D"/>
    <w:rsid w:val="0098021F"/>
    <w:rsid w:val="00993CDF"/>
    <w:rsid w:val="009A755E"/>
    <w:rsid w:val="009B0AFB"/>
    <w:rsid w:val="009B3725"/>
    <w:rsid w:val="009C303D"/>
    <w:rsid w:val="009D422F"/>
    <w:rsid w:val="009D7944"/>
    <w:rsid w:val="009E7E16"/>
    <w:rsid w:val="009F3BEE"/>
    <w:rsid w:val="009F61FB"/>
    <w:rsid w:val="00A131A6"/>
    <w:rsid w:val="00A25380"/>
    <w:rsid w:val="00A26CA8"/>
    <w:rsid w:val="00A47C5E"/>
    <w:rsid w:val="00A52732"/>
    <w:rsid w:val="00A54EA2"/>
    <w:rsid w:val="00A55189"/>
    <w:rsid w:val="00A62C88"/>
    <w:rsid w:val="00A710CC"/>
    <w:rsid w:val="00A76EC3"/>
    <w:rsid w:val="00A83784"/>
    <w:rsid w:val="00A8477E"/>
    <w:rsid w:val="00A9385C"/>
    <w:rsid w:val="00AA0E15"/>
    <w:rsid w:val="00AA4F3E"/>
    <w:rsid w:val="00AA6738"/>
    <w:rsid w:val="00AB590C"/>
    <w:rsid w:val="00AC0A32"/>
    <w:rsid w:val="00AC1C5E"/>
    <w:rsid w:val="00AC6443"/>
    <w:rsid w:val="00AF07C5"/>
    <w:rsid w:val="00AF50A0"/>
    <w:rsid w:val="00B009D6"/>
    <w:rsid w:val="00B05FDD"/>
    <w:rsid w:val="00B06A3E"/>
    <w:rsid w:val="00B10DB6"/>
    <w:rsid w:val="00B121DC"/>
    <w:rsid w:val="00B246AB"/>
    <w:rsid w:val="00B257D8"/>
    <w:rsid w:val="00B34B63"/>
    <w:rsid w:val="00B46DFC"/>
    <w:rsid w:val="00B5741F"/>
    <w:rsid w:val="00B60877"/>
    <w:rsid w:val="00B75FA0"/>
    <w:rsid w:val="00B833B6"/>
    <w:rsid w:val="00B8340F"/>
    <w:rsid w:val="00B83ADB"/>
    <w:rsid w:val="00B922C5"/>
    <w:rsid w:val="00BB6336"/>
    <w:rsid w:val="00BC3005"/>
    <w:rsid w:val="00BC35CB"/>
    <w:rsid w:val="00BD56BB"/>
    <w:rsid w:val="00C03C33"/>
    <w:rsid w:val="00C100D6"/>
    <w:rsid w:val="00C21095"/>
    <w:rsid w:val="00C30097"/>
    <w:rsid w:val="00C34C42"/>
    <w:rsid w:val="00C46D14"/>
    <w:rsid w:val="00C5684E"/>
    <w:rsid w:val="00C56EB1"/>
    <w:rsid w:val="00C632C4"/>
    <w:rsid w:val="00C7192B"/>
    <w:rsid w:val="00C72CC9"/>
    <w:rsid w:val="00C74BD4"/>
    <w:rsid w:val="00C75652"/>
    <w:rsid w:val="00C75EA0"/>
    <w:rsid w:val="00C8254F"/>
    <w:rsid w:val="00C83B87"/>
    <w:rsid w:val="00C86C99"/>
    <w:rsid w:val="00CA1354"/>
    <w:rsid w:val="00CA288D"/>
    <w:rsid w:val="00CB03C1"/>
    <w:rsid w:val="00CB65AB"/>
    <w:rsid w:val="00CB7CBF"/>
    <w:rsid w:val="00CC0EA7"/>
    <w:rsid w:val="00CD06D6"/>
    <w:rsid w:val="00CD706B"/>
    <w:rsid w:val="00CD72BC"/>
    <w:rsid w:val="00CE121B"/>
    <w:rsid w:val="00CE1563"/>
    <w:rsid w:val="00CE29BA"/>
    <w:rsid w:val="00CE5A80"/>
    <w:rsid w:val="00CF621C"/>
    <w:rsid w:val="00D03C10"/>
    <w:rsid w:val="00D04763"/>
    <w:rsid w:val="00D10217"/>
    <w:rsid w:val="00D138A1"/>
    <w:rsid w:val="00D17DB3"/>
    <w:rsid w:val="00D23333"/>
    <w:rsid w:val="00D258EF"/>
    <w:rsid w:val="00D26903"/>
    <w:rsid w:val="00D454E8"/>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5436"/>
    <w:rsid w:val="00DD711D"/>
    <w:rsid w:val="00DE1C68"/>
    <w:rsid w:val="00DF5723"/>
    <w:rsid w:val="00E30D38"/>
    <w:rsid w:val="00E354CA"/>
    <w:rsid w:val="00E40042"/>
    <w:rsid w:val="00E50942"/>
    <w:rsid w:val="00E62911"/>
    <w:rsid w:val="00E86D50"/>
    <w:rsid w:val="00E900F9"/>
    <w:rsid w:val="00E91B06"/>
    <w:rsid w:val="00EA1CB0"/>
    <w:rsid w:val="00EA4AD7"/>
    <w:rsid w:val="00EA6496"/>
    <w:rsid w:val="00EB0416"/>
    <w:rsid w:val="00EB159C"/>
    <w:rsid w:val="00EB29B0"/>
    <w:rsid w:val="00EB5EB8"/>
    <w:rsid w:val="00ED1634"/>
    <w:rsid w:val="00ED1A48"/>
    <w:rsid w:val="00ED3525"/>
    <w:rsid w:val="00EE5742"/>
    <w:rsid w:val="00EE5C18"/>
    <w:rsid w:val="00EE667F"/>
    <w:rsid w:val="00EF0815"/>
    <w:rsid w:val="00EF7250"/>
    <w:rsid w:val="00EF7DB3"/>
    <w:rsid w:val="00F11D29"/>
    <w:rsid w:val="00F2412A"/>
    <w:rsid w:val="00F268E0"/>
    <w:rsid w:val="00F3052F"/>
    <w:rsid w:val="00F36104"/>
    <w:rsid w:val="00F40EEE"/>
    <w:rsid w:val="00F45F02"/>
    <w:rsid w:val="00F728A0"/>
    <w:rsid w:val="00F7321B"/>
    <w:rsid w:val="00F80387"/>
    <w:rsid w:val="00F83E96"/>
    <w:rsid w:val="00F921B8"/>
    <w:rsid w:val="00F96A97"/>
    <w:rsid w:val="00FA62DE"/>
    <w:rsid w:val="00FA7738"/>
    <w:rsid w:val="00FA7A86"/>
    <w:rsid w:val="00FB495A"/>
    <w:rsid w:val="00FB4C9F"/>
    <w:rsid w:val="00FC7B26"/>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DB7D12"/>
  <w15:docId w15:val="{CD5FEF35-4A3E-BC43-9882-723AA408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 w:type="paragraph" w:styleId="Header">
    <w:name w:val="header"/>
    <w:basedOn w:val="Normal"/>
    <w:link w:val="HeaderChar"/>
    <w:uiPriority w:val="99"/>
    <w:unhideWhenUsed/>
    <w:rsid w:val="006B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45"/>
  </w:style>
  <w:style w:type="paragraph" w:styleId="Footer">
    <w:name w:val="footer"/>
    <w:basedOn w:val="Normal"/>
    <w:link w:val="FooterChar"/>
    <w:uiPriority w:val="99"/>
    <w:unhideWhenUsed/>
    <w:rsid w:val="006B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45"/>
  </w:style>
  <w:style w:type="character" w:customStyle="1" w:styleId="UnresolvedMention1">
    <w:name w:val="Unresolved Mention1"/>
    <w:basedOn w:val="DefaultParagraphFont"/>
    <w:uiPriority w:val="99"/>
    <w:rsid w:val="00436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3125032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29319038">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702895575">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reviews/specific-reviews"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community.icann.org/display/SSR/SSR1+Review" TargetMode="External"/><Relationship Id="rId11" Type="http://schemas.openxmlformats.org/officeDocument/2006/relationships/hyperlink" Target="https://www.icann.org/resources/board-material/resolutions-2017-02-03-en" TargetMode="External"/><Relationship Id="rId12" Type="http://schemas.openxmlformats.org/officeDocument/2006/relationships/hyperlink" Target="https://www.icann.org/resources/pages/governance/bylaws-en" TargetMode="External"/><Relationship Id="rId13" Type="http://schemas.openxmlformats.org/officeDocument/2006/relationships/hyperlink" Target="https://www.icann.org/resources/pages/governance/bylaws-en" TargetMode="External"/><Relationship Id="rId14" Type="http://schemas.openxmlformats.org/officeDocument/2006/relationships/hyperlink" Target="https://community.icann.org/display/SSR/Email+Archives" TargetMode="External"/><Relationship Id="rId15" Type="http://schemas.openxmlformats.org/officeDocument/2006/relationships/hyperlink" Target="https://community.icann.org/display/SSR/SSR2+Review" TargetMode="External"/><Relationship Id="rId16" Type="http://schemas.openxmlformats.org/officeDocument/2006/relationships/hyperlink" Target="https://community.icann.org/pages/viewpage.action?pageId=64070219" TargetMode="External"/><Relationship Id="rId17" Type="http://schemas.openxmlformats.org/officeDocument/2006/relationships/hyperlink" Target="https://community.icann.org/display/SSR/Fact+Sheet"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ssr-role-remit-2015-01-19-en" TargetMode="External"/><Relationship Id="rId2"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089E-692B-1F4F-A8BF-8433D93D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3045</Words>
  <Characters>17361</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Jennifer Bryce</cp:lastModifiedBy>
  <cp:revision>2</cp:revision>
  <cp:lastPrinted>2017-04-11T05:08:00Z</cp:lastPrinted>
  <dcterms:created xsi:type="dcterms:W3CDTF">2018-09-04T19:28:00Z</dcterms:created>
  <dcterms:modified xsi:type="dcterms:W3CDTF">2018-09-04T19:28:00Z</dcterms:modified>
  <cp:category/>
</cp:coreProperties>
</file>