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Rule="auto"/>
        <w:rPr>
          <w:b w:val="1"/>
          <w:color w:val="172b4d"/>
          <w:sz w:val="21"/>
          <w:szCs w:val="21"/>
        </w:rPr>
      </w:pPr>
      <w:r w:rsidDel="00000000" w:rsidR="00000000" w:rsidRPr="00000000">
        <w:rPr>
          <w:b w:val="1"/>
          <w:color w:val="172b4d"/>
          <w:sz w:val="21"/>
          <w:szCs w:val="21"/>
          <w:rtl w:val="0"/>
        </w:rPr>
        <w:t xml:space="preserve">Registration Data Accuracy Scoping Team Recommendations #1 and #2</w:t>
      </w:r>
    </w:p>
    <w:p w:rsidR="00000000" w:rsidDel="00000000" w:rsidP="00000000" w:rsidRDefault="00000000" w:rsidRPr="00000000" w14:paraId="00000002">
      <w:pPr>
        <w:shd w:fill="ffffff" w:val="clear"/>
        <w:spacing w:before="160" w:lineRule="auto"/>
        <w:rPr>
          <w:b w:val="1"/>
          <w:color w:val="172b4d"/>
          <w:sz w:val="21"/>
          <w:szCs w:val="21"/>
        </w:rPr>
      </w:pPr>
      <w:r w:rsidDel="00000000" w:rsidR="00000000" w:rsidRPr="00000000">
        <w:rPr>
          <w:b w:val="1"/>
          <w:color w:val="172b4d"/>
          <w:sz w:val="21"/>
          <w:szCs w:val="21"/>
          <w:rtl w:val="0"/>
        </w:rPr>
        <w:t xml:space="preserve">Submitted by Seconded by</w:t>
      </w:r>
    </w:p>
    <w:p w:rsidR="00000000" w:rsidDel="00000000" w:rsidP="00000000" w:rsidRDefault="00000000" w:rsidRPr="00000000" w14:paraId="00000003">
      <w:pPr>
        <w:shd w:fill="ffffff" w:val="clear"/>
        <w:spacing w:before="160" w:lineRule="auto"/>
        <w:rPr>
          <w:color w:val="172b4d"/>
          <w:sz w:val="21"/>
          <w:szCs w:val="21"/>
        </w:rPr>
      </w:pPr>
      <w:r w:rsidDel="00000000" w:rsidR="00000000" w:rsidRPr="00000000">
        <w:rPr>
          <w:color w:val="172b4d"/>
          <w:sz w:val="21"/>
          <w:szCs w:val="21"/>
          <w:rtl w:val="0"/>
        </w:rPr>
        <w:t xml:space="preserve">Whereas, the GNSO Council </w:t>
      </w:r>
      <w:hyperlink r:id="rId7">
        <w:r w:rsidDel="00000000" w:rsidR="00000000" w:rsidRPr="00000000">
          <w:rPr>
            <w:color w:val="0052cc"/>
            <w:sz w:val="21"/>
            <w:szCs w:val="21"/>
            <w:u w:val="single"/>
            <w:rtl w:val="0"/>
          </w:rPr>
          <w:t xml:space="preserve">resolved</w:t>
        </w:r>
      </w:hyperlink>
      <w:r w:rsidDel="00000000" w:rsidR="00000000" w:rsidRPr="00000000">
        <w:rPr>
          <w:color w:val="172b4d"/>
          <w:sz w:val="21"/>
          <w:szCs w:val="21"/>
          <w:rtl w:val="0"/>
        </w:rPr>
        <w:t xml:space="preserve"> on 17 November 2022 to defer consideration of</w:t>
      </w:r>
      <w:hyperlink r:id="rId8">
        <w:r w:rsidDel="00000000" w:rsidR="00000000" w:rsidRPr="00000000">
          <w:rPr>
            <w:color w:val="172b4d"/>
            <w:sz w:val="21"/>
            <w:szCs w:val="21"/>
            <w:rtl w:val="0"/>
          </w:rPr>
          <w:t xml:space="preserve"> </w:t>
        </w:r>
      </w:hyperlink>
      <w:hyperlink r:id="rId9">
        <w:r w:rsidDel="00000000" w:rsidR="00000000" w:rsidRPr="00000000">
          <w:rPr>
            <w:color w:val="0000ff"/>
            <w:sz w:val="21"/>
            <w:szCs w:val="21"/>
            <w:u w:val="single"/>
            <w:rtl w:val="0"/>
          </w:rPr>
          <w:t xml:space="preserve">Recommendations #1 and #2</w:t>
        </w:r>
      </w:hyperlink>
      <w:r w:rsidDel="00000000" w:rsidR="00000000" w:rsidRPr="00000000">
        <w:rPr>
          <w:color w:val="172b4d"/>
          <w:sz w:val="21"/>
          <w:szCs w:val="21"/>
          <w:rtl w:val="0"/>
        </w:rPr>
        <w:t xml:space="preserve"> of the Registration Data Accuracy Scoping Team until such time as the Data Processing Agreement (DPA) negotiations between ICANN org and Contracted Parties have completed and there is feedback from ICANN org on if/how it anticipates the requesting and processing of registration data will be undertaken in the context of measuring accuracy, or for six months, whichever is the shorter;</w:t>
      </w:r>
    </w:p>
    <w:p w:rsidR="00000000" w:rsidDel="00000000" w:rsidP="00000000" w:rsidRDefault="00000000" w:rsidRPr="00000000" w14:paraId="00000004">
      <w:pPr>
        <w:shd w:fill="ffffff" w:val="clear"/>
        <w:spacing w:before="160" w:lineRule="auto"/>
        <w:rPr>
          <w:color w:val="172b4d"/>
          <w:sz w:val="21"/>
          <w:szCs w:val="21"/>
        </w:rPr>
      </w:pPr>
      <w:r w:rsidDel="00000000" w:rsidR="00000000" w:rsidRPr="00000000">
        <w:rPr>
          <w:color w:val="172b4d"/>
          <w:sz w:val="21"/>
          <w:szCs w:val="21"/>
          <w:rtl w:val="0"/>
        </w:rPr>
        <w:t xml:space="preserve">Whereas, recommendation #1 from the Scoping Team recommended ICANN org to carry out a voluntary registrar survey regarding registrar practices for data accuracy;</w:t>
      </w:r>
    </w:p>
    <w:p w:rsidR="00000000" w:rsidDel="00000000" w:rsidP="00000000" w:rsidRDefault="00000000" w:rsidRPr="00000000" w14:paraId="00000005">
      <w:pPr>
        <w:shd w:fill="ffffff" w:val="clear"/>
        <w:spacing w:before="160" w:lineRule="auto"/>
        <w:rPr>
          <w:color w:val="172b4d"/>
          <w:sz w:val="21"/>
          <w:szCs w:val="21"/>
        </w:rPr>
      </w:pPr>
      <w:r w:rsidDel="00000000" w:rsidR="00000000" w:rsidRPr="00000000">
        <w:rPr>
          <w:color w:val="172b4d"/>
          <w:sz w:val="21"/>
          <w:szCs w:val="21"/>
          <w:rtl w:val="0"/>
        </w:rPr>
        <w:t xml:space="preserve">Whereas, recommendation #2 from the Scoping Team recommended ICANN org to conduct a registrar audit;</w:t>
      </w:r>
    </w:p>
    <w:p w:rsidR="00000000" w:rsidDel="00000000" w:rsidP="00000000" w:rsidRDefault="00000000" w:rsidRPr="00000000" w14:paraId="00000006">
      <w:pPr>
        <w:shd w:fill="ffffff" w:val="clear"/>
        <w:spacing w:before="160" w:lineRule="auto"/>
        <w:rPr>
          <w:color w:val="172b4d"/>
          <w:sz w:val="21"/>
          <w:szCs w:val="21"/>
        </w:rPr>
      </w:pPr>
      <w:r w:rsidDel="00000000" w:rsidR="00000000" w:rsidRPr="00000000">
        <w:rPr>
          <w:color w:val="172b4d"/>
          <w:sz w:val="21"/>
          <w:szCs w:val="21"/>
          <w:rtl w:val="0"/>
        </w:rPr>
        <w:t xml:space="preserve">Whereas,</w:t>
      </w:r>
      <w:r w:rsidDel="00000000" w:rsidR="00000000" w:rsidRPr="00000000">
        <w:rPr>
          <w:rFonts w:ascii="Calibri" w:cs="Calibri" w:eastAsia="Calibri" w:hAnsi="Calibri"/>
          <w:sz w:val="24"/>
          <w:szCs w:val="24"/>
          <w:rtl w:val="0"/>
        </w:rPr>
        <w:t xml:space="preserve"> </w:t>
      </w:r>
      <w:r w:rsidDel="00000000" w:rsidR="00000000" w:rsidRPr="00000000">
        <w:rPr>
          <w:color w:val="172b4d"/>
          <w:sz w:val="21"/>
          <w:szCs w:val="21"/>
          <w:rtl w:val="0"/>
        </w:rPr>
        <w:t xml:space="preserve">ICANN org conducted a comprehensive assessment of the four scenarios and provided its</w:t>
      </w:r>
      <w:hyperlink r:id="rId10">
        <w:r w:rsidDel="00000000" w:rsidR="00000000" w:rsidRPr="00000000">
          <w:rPr>
            <w:color w:val="172b4d"/>
            <w:sz w:val="21"/>
            <w:szCs w:val="21"/>
            <w:rtl w:val="0"/>
          </w:rPr>
          <w:t xml:space="preserve"> </w:t>
        </w:r>
      </w:hyperlink>
      <w:hyperlink r:id="rId11">
        <w:r w:rsidDel="00000000" w:rsidR="00000000" w:rsidRPr="00000000">
          <w:rPr>
            <w:color w:val="0000ff"/>
            <w:sz w:val="21"/>
            <w:szCs w:val="21"/>
            <w:u w:val="single"/>
            <w:rtl w:val="0"/>
          </w:rPr>
          <w:t xml:space="preserve">assessment</w:t>
        </w:r>
      </w:hyperlink>
      <w:r w:rsidDel="00000000" w:rsidR="00000000" w:rsidRPr="00000000">
        <w:rPr>
          <w:color w:val="172b4d"/>
          <w:sz w:val="21"/>
          <w:szCs w:val="21"/>
          <w:rtl w:val="0"/>
        </w:rPr>
        <w:t xml:space="preserve"> on Registration Data Accuracy efforts on 19 October 2023, noting specifically:  </w:t>
      </w:r>
    </w:p>
    <w:p w:rsidR="00000000" w:rsidDel="00000000" w:rsidP="00000000" w:rsidRDefault="00000000" w:rsidRPr="00000000" w14:paraId="00000007">
      <w:pPr>
        <w:numPr>
          <w:ilvl w:val="0"/>
          <w:numId w:val="2"/>
        </w:numPr>
        <w:shd w:fill="ffffff" w:val="clear"/>
        <w:spacing w:after="0" w:before="240" w:lineRule="auto"/>
        <w:ind w:left="720" w:hanging="360"/>
        <w:rPr>
          <w:rFonts w:ascii="Calibri" w:cs="Calibri" w:eastAsia="Calibri" w:hAnsi="Calibri"/>
          <w:color w:val="172b4d"/>
          <w:sz w:val="24"/>
          <w:szCs w:val="24"/>
        </w:rPr>
      </w:pPr>
      <w:r w:rsidDel="00000000" w:rsidR="00000000" w:rsidRPr="00000000">
        <w:rPr>
          <w:color w:val="172b4d"/>
          <w:sz w:val="21"/>
          <w:szCs w:val="21"/>
          <w:rtl w:val="0"/>
        </w:rPr>
        <w:t xml:space="preserve">It is unclear whether [the scenarios] would provide useful data to inform the Accuracy Scoping Team’s efforts;</w:t>
      </w:r>
      <w:r w:rsidDel="00000000" w:rsidR="00000000" w:rsidRPr="00000000">
        <w:rPr>
          <w:rtl w:val="0"/>
        </w:rPr>
      </w:r>
    </w:p>
    <w:p w:rsidR="00000000" w:rsidDel="00000000" w:rsidP="00000000" w:rsidRDefault="00000000" w:rsidRPr="00000000" w14:paraId="00000008">
      <w:pPr>
        <w:numPr>
          <w:ilvl w:val="0"/>
          <w:numId w:val="2"/>
        </w:numPr>
        <w:shd w:fill="ffffff" w:val="clear"/>
        <w:spacing w:after="0" w:before="0" w:lineRule="auto"/>
        <w:ind w:left="720" w:hanging="360"/>
        <w:rPr>
          <w:rFonts w:ascii="Calibri" w:cs="Calibri" w:eastAsia="Calibri" w:hAnsi="Calibri"/>
          <w:color w:val="172b4d"/>
          <w:sz w:val="24"/>
          <w:szCs w:val="24"/>
        </w:rPr>
      </w:pPr>
      <w:r w:rsidDel="00000000" w:rsidR="00000000" w:rsidRPr="00000000">
        <w:rPr>
          <w:color w:val="172b4d"/>
          <w:sz w:val="21"/>
          <w:szCs w:val="21"/>
          <w:rtl w:val="0"/>
        </w:rPr>
        <w:t xml:space="preserve">The scenarios are not expected to provide data as it relates to identity verification of the registrant or veracity of the contact information (i.e., the data belongs to the data subject);</w:t>
      </w:r>
      <w:r w:rsidDel="00000000" w:rsidR="00000000" w:rsidRPr="00000000">
        <w:rPr>
          <w:rtl w:val="0"/>
        </w:rPr>
      </w:r>
    </w:p>
    <w:p w:rsidR="00000000" w:rsidDel="00000000" w:rsidP="00000000" w:rsidRDefault="00000000" w:rsidRPr="00000000" w14:paraId="00000009">
      <w:pPr>
        <w:numPr>
          <w:ilvl w:val="0"/>
          <w:numId w:val="2"/>
        </w:numPr>
        <w:shd w:fill="ffffff" w:val="clear"/>
        <w:spacing w:after="0" w:before="0" w:lineRule="auto"/>
        <w:ind w:left="720" w:hanging="360"/>
        <w:rPr>
          <w:rFonts w:ascii="Calibri" w:cs="Calibri" w:eastAsia="Calibri" w:hAnsi="Calibri"/>
          <w:color w:val="172b4d"/>
          <w:sz w:val="24"/>
          <w:szCs w:val="24"/>
        </w:rPr>
      </w:pPr>
      <w:r w:rsidDel="00000000" w:rsidR="00000000" w:rsidRPr="00000000">
        <w:rPr>
          <w:color w:val="172b4d"/>
          <w:sz w:val="21"/>
          <w:szCs w:val="21"/>
          <w:rtl w:val="0"/>
        </w:rPr>
        <w:t xml:space="preserve">The costs associated with a full-scale registrar audit [Scoping Team Recommendation #2] may be prohibitive when taking into account the relatively low level of insight the audit may yield;</w:t>
      </w: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0" w:lineRule="auto"/>
        <w:ind w:left="720" w:hanging="360"/>
        <w:rPr>
          <w:rFonts w:ascii="Calibri" w:cs="Calibri" w:eastAsia="Calibri" w:hAnsi="Calibri"/>
          <w:color w:val="172b4d"/>
          <w:sz w:val="24"/>
          <w:szCs w:val="24"/>
        </w:rPr>
      </w:pPr>
      <w:r w:rsidDel="00000000" w:rsidR="00000000" w:rsidRPr="00000000">
        <w:rPr>
          <w:color w:val="172b4d"/>
          <w:sz w:val="21"/>
          <w:szCs w:val="21"/>
          <w:rtl w:val="0"/>
        </w:rPr>
        <w:t xml:space="preserve">ICANN does not have the authority to mandate collection of nonpublic registration data necessary to conduct reviews outside of auditing current contractual requirements; and</w:t>
      </w:r>
      <w:r w:rsidDel="00000000" w:rsidR="00000000" w:rsidRPr="00000000">
        <w:rPr>
          <w:rtl w:val="0"/>
        </w:rPr>
      </w:r>
    </w:p>
    <w:p w:rsidR="00000000" w:rsidDel="00000000" w:rsidP="00000000" w:rsidRDefault="00000000" w:rsidRPr="00000000" w14:paraId="0000000B">
      <w:pPr>
        <w:numPr>
          <w:ilvl w:val="0"/>
          <w:numId w:val="2"/>
        </w:numPr>
        <w:shd w:fill="ffffff" w:val="clear"/>
        <w:spacing w:after="0" w:before="0" w:lineRule="auto"/>
        <w:ind w:left="720" w:hanging="360"/>
        <w:rPr>
          <w:rFonts w:ascii="Calibri" w:cs="Calibri" w:eastAsia="Calibri" w:hAnsi="Calibri"/>
          <w:color w:val="172b4d"/>
          <w:sz w:val="24"/>
          <w:szCs w:val="24"/>
        </w:rPr>
      </w:pPr>
      <w:r w:rsidDel="00000000" w:rsidR="00000000" w:rsidRPr="00000000">
        <w:rPr>
          <w:color w:val="172b4d"/>
          <w:sz w:val="21"/>
          <w:szCs w:val="21"/>
          <w:rtl w:val="0"/>
        </w:rPr>
        <w:t xml:space="preserve">ICANN may not be able to demonstrate the purpose of some of the data processing outweighs the rights of the impacted data subject;</w:t>
      </w:r>
      <w:r w:rsidDel="00000000" w:rsidR="00000000" w:rsidRPr="00000000">
        <w:rPr>
          <w:rtl w:val="0"/>
        </w:rPr>
      </w:r>
    </w:p>
    <w:p w:rsidR="00000000" w:rsidDel="00000000" w:rsidP="00000000" w:rsidRDefault="00000000" w:rsidRPr="00000000" w14:paraId="0000000C">
      <w:pPr>
        <w:numPr>
          <w:ilvl w:val="0"/>
          <w:numId w:val="2"/>
        </w:numPr>
        <w:shd w:fill="ffffff" w:val="clear"/>
        <w:spacing w:before="0" w:lineRule="auto"/>
        <w:ind w:left="720" w:hanging="360"/>
        <w:rPr>
          <w:rFonts w:ascii="Calibri" w:cs="Calibri" w:eastAsia="Calibri" w:hAnsi="Calibri"/>
          <w:color w:val="172b4d"/>
          <w:sz w:val="24"/>
          <w:szCs w:val="24"/>
        </w:rPr>
      </w:pPr>
      <w:r w:rsidDel="00000000" w:rsidR="00000000" w:rsidRPr="00000000">
        <w:rPr>
          <w:color w:val="172b4d"/>
          <w:sz w:val="21"/>
          <w:szCs w:val="21"/>
          <w:rtl w:val="0"/>
        </w:rPr>
        <w:t xml:space="preserve">Based on the voluntary nature of the survey [Scoping Team Recommendation #1], should a significant portion of registrars not participate, information collected may be statistically disproportionate to registration data that exists across all registered gTLD domain names.</w:t>
      </w:r>
      <w:r w:rsidDel="00000000" w:rsidR="00000000" w:rsidRPr="00000000">
        <w:rPr>
          <w:rtl w:val="0"/>
        </w:rPr>
      </w:r>
    </w:p>
    <w:p w:rsidR="00000000" w:rsidDel="00000000" w:rsidP="00000000" w:rsidRDefault="00000000" w:rsidRPr="00000000" w14:paraId="0000000D">
      <w:pPr>
        <w:shd w:fill="ffffff" w:val="clear"/>
        <w:spacing w:before="160" w:lineRule="auto"/>
        <w:rPr>
          <w:color w:val="172b4d"/>
          <w:sz w:val="21"/>
          <w:szCs w:val="21"/>
        </w:rPr>
      </w:pPr>
      <w:r w:rsidDel="00000000" w:rsidR="00000000" w:rsidRPr="00000000">
        <w:rPr>
          <w:color w:val="172b4d"/>
          <w:sz w:val="21"/>
          <w:szCs w:val="21"/>
          <w:rtl w:val="0"/>
        </w:rPr>
        <w:t xml:space="preserve">Whereas, the GNSO Council discussed ICANN org’s</w:t>
      </w:r>
      <w:hyperlink r:id="rId12">
        <w:r w:rsidDel="00000000" w:rsidR="00000000" w:rsidRPr="00000000">
          <w:rPr>
            <w:color w:val="172b4d"/>
            <w:sz w:val="21"/>
            <w:szCs w:val="21"/>
            <w:rtl w:val="0"/>
          </w:rPr>
          <w:t xml:space="preserve"> </w:t>
        </w:r>
      </w:hyperlink>
      <w:hyperlink r:id="rId13">
        <w:r w:rsidDel="00000000" w:rsidR="00000000" w:rsidRPr="00000000">
          <w:rPr>
            <w:color w:val="0052cc"/>
            <w:sz w:val="21"/>
            <w:szCs w:val="21"/>
            <w:u w:val="single"/>
            <w:rtl w:val="0"/>
          </w:rPr>
          <w:t xml:space="preserve">assessment</w:t>
        </w:r>
      </w:hyperlink>
      <w:r w:rsidDel="00000000" w:rsidR="00000000" w:rsidRPr="00000000">
        <w:rPr>
          <w:color w:val="172b4d"/>
          <w:sz w:val="21"/>
          <w:szCs w:val="21"/>
          <w:rtl w:val="0"/>
        </w:rPr>
        <w:t xml:space="preserve"> during its meeting on</w:t>
      </w:r>
      <w:hyperlink r:id="rId14">
        <w:r w:rsidDel="00000000" w:rsidR="00000000" w:rsidRPr="00000000">
          <w:rPr>
            <w:color w:val="0052cc"/>
            <w:sz w:val="21"/>
            <w:szCs w:val="21"/>
            <w:rtl w:val="0"/>
          </w:rPr>
          <w:t xml:space="preserve"> </w:t>
        </w:r>
      </w:hyperlink>
      <w:hyperlink r:id="rId15">
        <w:r w:rsidDel="00000000" w:rsidR="00000000" w:rsidRPr="00000000">
          <w:rPr>
            <w:color w:val="0052cc"/>
            <w:sz w:val="21"/>
            <w:szCs w:val="21"/>
            <w:u w:val="single"/>
            <w:rtl w:val="0"/>
          </w:rPr>
          <w:t xml:space="preserve">16 November 2023</w:t>
        </w:r>
      </w:hyperlink>
      <w:r w:rsidDel="00000000" w:rsidR="00000000" w:rsidRPr="00000000">
        <w:rPr>
          <w:color w:val="172b4d"/>
          <w:sz w:val="21"/>
          <w:szCs w:val="21"/>
          <w:rtl w:val="0"/>
        </w:rPr>
        <w:t xml:space="preserve">.</w:t>
      </w:r>
    </w:p>
    <w:p w:rsidR="00000000" w:rsidDel="00000000" w:rsidP="00000000" w:rsidRDefault="00000000" w:rsidRPr="00000000" w14:paraId="0000000E">
      <w:pPr>
        <w:shd w:fill="ffffff" w:val="clear"/>
        <w:spacing w:before="160" w:lineRule="auto"/>
        <w:rPr>
          <w:color w:val="172b4d"/>
          <w:sz w:val="21"/>
          <w:szCs w:val="21"/>
        </w:rPr>
      </w:pPr>
      <w:r w:rsidDel="00000000" w:rsidR="00000000" w:rsidRPr="00000000">
        <w:rPr>
          <w:color w:val="172b4d"/>
          <w:sz w:val="21"/>
          <w:szCs w:val="21"/>
          <w:rtl w:val="0"/>
        </w:rPr>
        <w:t xml:space="preserve">Whereas, the GNSO Council deferred the consideration of the Scoping Team’s recommendations for an additional six months on</w:t>
      </w:r>
      <w:hyperlink r:id="rId16">
        <w:r w:rsidDel="00000000" w:rsidR="00000000" w:rsidRPr="00000000">
          <w:rPr>
            <w:color w:val="172b4d"/>
            <w:sz w:val="21"/>
            <w:szCs w:val="21"/>
            <w:rtl w:val="0"/>
          </w:rPr>
          <w:t xml:space="preserve"> </w:t>
        </w:r>
      </w:hyperlink>
      <w:hyperlink r:id="rId17">
        <w:r w:rsidDel="00000000" w:rsidR="00000000" w:rsidRPr="00000000">
          <w:rPr>
            <w:color w:val="0000ff"/>
            <w:sz w:val="21"/>
            <w:szCs w:val="21"/>
            <w:u w:val="single"/>
            <w:rtl w:val="0"/>
          </w:rPr>
          <w:t xml:space="preserve">15 February 2024</w:t>
        </w:r>
      </w:hyperlink>
      <w:r w:rsidDel="00000000" w:rsidR="00000000" w:rsidRPr="00000000">
        <w:rPr>
          <w:color w:val="172b4d"/>
          <w:sz w:val="21"/>
          <w:szCs w:val="21"/>
          <w:rtl w:val="0"/>
        </w:rPr>
        <w:t xml:space="preserve">, noting that, barring (i) completion of the Data Processing Agreement, (ii) implementation of the NIS2 directive, or (iii) publication of the Inferential Analysis of Maliciously Registered Domains (INFERMAL) Study, it may not be the appropriate time to consider the Accuracy Scoping Team’s recommendations.</w:t>
      </w:r>
    </w:p>
    <w:p w:rsidR="00000000" w:rsidDel="00000000" w:rsidP="00000000" w:rsidRDefault="00000000" w:rsidRPr="00000000" w14:paraId="0000000F">
      <w:pPr>
        <w:shd w:fill="ffffff" w:val="clear"/>
        <w:spacing w:before="160" w:lineRule="auto"/>
        <w:rPr>
          <w:color w:val="172b4d"/>
          <w:sz w:val="21"/>
          <w:szCs w:val="21"/>
        </w:rPr>
      </w:pPr>
      <w:r w:rsidDel="00000000" w:rsidR="00000000" w:rsidRPr="00000000">
        <w:rPr>
          <w:color w:val="172b4d"/>
          <w:sz w:val="21"/>
          <w:szCs w:val="21"/>
          <w:rtl w:val="0"/>
        </w:rPr>
        <w:t xml:space="preserve">Whereas, the GNSO Council further discussed the limitations noted in ICANN org’s</w:t>
      </w:r>
      <w:hyperlink r:id="rId18">
        <w:r w:rsidDel="00000000" w:rsidR="00000000" w:rsidRPr="00000000">
          <w:rPr>
            <w:color w:val="172b4d"/>
            <w:sz w:val="21"/>
            <w:szCs w:val="21"/>
            <w:rtl w:val="0"/>
          </w:rPr>
          <w:t xml:space="preserve"> </w:t>
        </w:r>
      </w:hyperlink>
      <w:hyperlink r:id="rId19">
        <w:r w:rsidDel="00000000" w:rsidR="00000000" w:rsidRPr="00000000">
          <w:rPr>
            <w:color w:val="0000ff"/>
            <w:sz w:val="21"/>
            <w:szCs w:val="21"/>
            <w:u w:val="single"/>
            <w:rtl w:val="0"/>
          </w:rPr>
          <w:t xml:space="preserve">assessment</w:t>
        </w:r>
      </w:hyperlink>
      <w:r w:rsidDel="00000000" w:rsidR="00000000" w:rsidRPr="00000000">
        <w:rPr>
          <w:color w:val="172b4d"/>
          <w:sz w:val="21"/>
          <w:szCs w:val="21"/>
          <w:rtl w:val="0"/>
        </w:rPr>
        <w:t xml:space="preserve"> during its meetings on</w:t>
      </w:r>
      <w:hyperlink r:id="rId20">
        <w:r w:rsidDel="00000000" w:rsidR="00000000" w:rsidRPr="00000000">
          <w:rPr>
            <w:color w:val="172b4d"/>
            <w:sz w:val="21"/>
            <w:szCs w:val="21"/>
            <w:rtl w:val="0"/>
          </w:rPr>
          <w:t xml:space="preserve"> </w:t>
        </w:r>
      </w:hyperlink>
      <w:hyperlink r:id="rId21">
        <w:r w:rsidDel="00000000" w:rsidR="00000000" w:rsidRPr="00000000">
          <w:rPr>
            <w:color w:val="0000ff"/>
            <w:sz w:val="21"/>
            <w:szCs w:val="21"/>
            <w:u w:val="single"/>
            <w:rtl w:val="0"/>
          </w:rPr>
          <w:t xml:space="preserve">12 June 2024</w:t>
        </w:r>
      </w:hyperlink>
      <w:r w:rsidDel="00000000" w:rsidR="00000000" w:rsidRPr="00000000">
        <w:rPr>
          <w:rtl w:val="0"/>
        </w:rPr>
        <w:t xml:space="preserve">, </w:t>
      </w:r>
      <w:hyperlink r:id="rId22">
        <w:r w:rsidDel="00000000" w:rsidR="00000000" w:rsidRPr="00000000">
          <w:rPr>
            <w:color w:val="0000ff"/>
            <w:sz w:val="21"/>
            <w:szCs w:val="21"/>
            <w:u w:val="single"/>
            <w:rtl w:val="0"/>
          </w:rPr>
          <w:t xml:space="preserve">18 July 2024</w:t>
        </w:r>
      </w:hyperlink>
      <w:r w:rsidDel="00000000" w:rsidR="00000000" w:rsidRPr="00000000">
        <w:rPr>
          <w:color w:val="172b4d"/>
          <w:sz w:val="21"/>
          <w:szCs w:val="21"/>
          <w:rtl w:val="0"/>
        </w:rPr>
        <w:t xml:space="preserve">, and </w:t>
      </w:r>
      <w:hyperlink r:id="rId23">
        <w:r w:rsidDel="00000000" w:rsidR="00000000" w:rsidRPr="00000000">
          <w:rPr>
            <w:color w:val="1155cc"/>
            <w:sz w:val="21"/>
            <w:szCs w:val="21"/>
            <w:u w:val="single"/>
            <w:rtl w:val="0"/>
          </w:rPr>
          <w:t xml:space="preserve">8 August 2024</w:t>
        </w:r>
      </w:hyperlink>
      <w:r w:rsidDel="00000000" w:rsidR="00000000" w:rsidRPr="00000000">
        <w:rPr>
          <w:color w:val="172b4d"/>
          <w:sz w:val="21"/>
          <w:szCs w:val="21"/>
          <w:rtl w:val="0"/>
        </w:rPr>
        <w:t xml:space="preserve"> and discussed the limitations with proceeding with Recommendations #1 and #2 and the limitations with restarting the Accuracy Scoping Team.</w:t>
      </w:r>
    </w:p>
    <w:p w:rsidR="00000000" w:rsidDel="00000000" w:rsidP="00000000" w:rsidRDefault="00000000" w:rsidRPr="00000000" w14:paraId="00000010">
      <w:pPr>
        <w:shd w:fill="ffffff" w:val="clear"/>
        <w:spacing w:before="160" w:lineRule="auto"/>
        <w:rPr>
          <w:color w:val="172b4d"/>
          <w:sz w:val="21"/>
          <w:szCs w:val="21"/>
        </w:rPr>
      </w:pPr>
      <w:r w:rsidDel="00000000" w:rsidR="00000000" w:rsidRPr="00000000">
        <w:rPr>
          <w:color w:val="172b4d"/>
          <w:sz w:val="21"/>
          <w:szCs w:val="21"/>
          <w:rtl w:val="0"/>
        </w:rPr>
        <w:t xml:space="preserve">Whereas, the GNSO Council recognizes the importance of Registration Data Accuracy to the ICANN community and commits to continue its discussion of how best to move forward on this topic.</w:t>
      </w:r>
    </w:p>
    <w:p w:rsidR="00000000" w:rsidDel="00000000" w:rsidP="00000000" w:rsidRDefault="00000000" w:rsidRPr="00000000" w14:paraId="00000011">
      <w:pPr>
        <w:shd w:fill="ffffff" w:val="clear"/>
        <w:spacing w:before="160" w:lineRule="auto"/>
        <w:rPr>
          <w:color w:val="172b4d"/>
          <w:sz w:val="21"/>
          <w:szCs w:val="21"/>
        </w:rPr>
      </w:pPr>
      <w:r w:rsidDel="00000000" w:rsidR="00000000" w:rsidRPr="00000000">
        <w:rPr>
          <w:color w:val="172b4d"/>
          <w:sz w:val="21"/>
          <w:szCs w:val="21"/>
          <w:rtl w:val="0"/>
        </w:rPr>
        <w:t xml:space="preserve">Whereas, the GNSO Council believes further consideration of how to make meaningful progress on the topic of Registration Data Accuracy is necessary, and accordingly, will further defer consideration of the Accuracy Scoping Team’s Recommendations #1 and #2 for an additional six months while it discusses how to proceed.</w:t>
      </w:r>
    </w:p>
    <w:p w:rsidR="00000000" w:rsidDel="00000000" w:rsidP="00000000" w:rsidRDefault="00000000" w:rsidRPr="00000000" w14:paraId="00000012">
      <w:pPr>
        <w:shd w:fill="ffffff" w:val="clear"/>
        <w:spacing w:before="160" w:lineRule="auto"/>
        <w:rPr>
          <w:color w:val="172b4d"/>
          <w:sz w:val="21"/>
          <w:szCs w:val="21"/>
        </w:rPr>
      </w:pPr>
      <w:r w:rsidDel="00000000" w:rsidR="00000000" w:rsidRPr="00000000">
        <w:rPr>
          <w:color w:val="172b4d"/>
          <w:sz w:val="21"/>
          <w:szCs w:val="21"/>
          <w:rtl w:val="0"/>
        </w:rPr>
        <w:t xml:space="preserve">Resolved,</w:t>
      </w:r>
    </w:p>
    <w:p w:rsidR="00000000" w:rsidDel="00000000" w:rsidP="00000000" w:rsidRDefault="00000000" w:rsidRPr="00000000" w14:paraId="00000013">
      <w:pPr>
        <w:numPr>
          <w:ilvl w:val="0"/>
          <w:numId w:val="1"/>
        </w:numPr>
        <w:shd w:fill="ffffff" w:val="clear"/>
        <w:spacing w:after="0" w:before="240" w:lineRule="auto"/>
        <w:ind w:left="720" w:hanging="360"/>
        <w:rPr>
          <w:sz w:val="24"/>
          <w:szCs w:val="24"/>
        </w:rPr>
      </w:pPr>
      <w:r w:rsidDel="00000000" w:rsidR="00000000" w:rsidRPr="00000000">
        <w:rPr>
          <w:sz w:val="21"/>
          <w:szCs w:val="21"/>
          <w:rtl w:val="0"/>
        </w:rPr>
        <w:t xml:space="preserve">The GNSO Council will defer consideration of the Registration Data Accuracy Scoping Team’s Recommendations #1 and #2 for an additional six months while it determines how to make meaningful progress on the topic.</w:t>
      </w:r>
      <w:r w:rsidDel="00000000" w:rsidR="00000000" w:rsidRPr="00000000">
        <w:rPr>
          <w:rtl w:val="0"/>
        </w:rPr>
      </w:r>
    </w:p>
    <w:p w:rsidR="00000000" w:rsidDel="00000000" w:rsidP="00000000" w:rsidRDefault="00000000" w:rsidRPr="00000000" w14:paraId="00000014">
      <w:pPr>
        <w:numPr>
          <w:ilvl w:val="0"/>
          <w:numId w:val="1"/>
        </w:numPr>
        <w:shd w:fill="ffffff" w:val="clear"/>
        <w:spacing w:before="0" w:lineRule="auto"/>
        <w:ind w:left="720" w:hanging="360"/>
        <w:rPr>
          <w:color w:val="172b4d"/>
          <w:sz w:val="24"/>
          <w:szCs w:val="24"/>
        </w:rPr>
      </w:pPr>
      <w:r w:rsidDel="00000000" w:rsidR="00000000" w:rsidRPr="00000000">
        <w:rPr>
          <w:color w:val="172b4d"/>
          <w:sz w:val="21"/>
          <w:szCs w:val="21"/>
          <w:rtl w:val="0"/>
        </w:rPr>
        <w:t xml:space="preserve">The GNSO Council recognizes the importance of Registration Data Accuracy to the ICANN community and commits to continue its discussion of how best to move forward on this topic.</w:t>
      </w:r>
      <w:r w:rsidDel="00000000" w:rsidR="00000000" w:rsidRPr="00000000">
        <w:rPr>
          <w:rtl w:val="0"/>
        </w:rPr>
      </w:r>
    </w:p>
    <w:p w:rsidR="00000000" w:rsidDel="00000000" w:rsidP="00000000" w:rsidRDefault="00000000" w:rsidRPr="00000000" w14:paraId="00000015">
      <w:pPr>
        <w:shd w:fill="ffffff" w:val="clear"/>
        <w:ind w:left="360" w:firstLine="0"/>
        <w:rPr>
          <w:color w:val="172b4d"/>
          <w:sz w:val="21"/>
          <w:szCs w:val="21"/>
        </w:rPr>
      </w:pPr>
      <w:r w:rsidDel="00000000" w:rsidR="00000000" w:rsidRPr="00000000">
        <w:rPr>
          <w:color w:val="172b4d"/>
          <w:sz w:val="21"/>
          <w:szCs w:val="21"/>
          <w:rtl w:val="0"/>
        </w:rPr>
        <w:t xml:space="preserve"> </w:t>
      </w:r>
    </w:p>
    <w:p w:rsidR="00000000" w:rsidDel="00000000" w:rsidP="00000000" w:rsidRDefault="00000000" w:rsidRPr="00000000" w14:paraId="00000016">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gnsocouncilmeetings/Final+Proposed+Agenda+2024-06-12" TargetMode="External"/><Relationship Id="rId11" Type="http://schemas.openxmlformats.org/officeDocument/2006/relationships/hyperlink" Target="https://mm.icann.org/pipermail/council/attachments/20231019/268b914e/Report_AssessmentofRegDataAccuracyScenarios-0001.pdf" TargetMode="External"/><Relationship Id="rId22" Type="http://schemas.openxmlformats.org/officeDocument/2006/relationships/hyperlink" Target="https://community.icann.org/display/gnsocouncilmeetings/Final+Proposed+Agenda+2024-07-18" TargetMode="External"/><Relationship Id="rId10" Type="http://schemas.openxmlformats.org/officeDocument/2006/relationships/hyperlink" Target="https://mm.icann.org/pipermail/council/attachments/20231019/268b914e/Report_AssessmentofRegDataAccuracyScenarios-0001.pdf" TargetMode="External"/><Relationship Id="rId21" Type="http://schemas.openxmlformats.org/officeDocument/2006/relationships/hyperlink" Target="https://community.icann.org/display/gnsocouncilmeetings/Final+Proposed+Agenda+2024-06-12" TargetMode="External"/><Relationship Id="rId13" Type="http://schemas.openxmlformats.org/officeDocument/2006/relationships/hyperlink" Target="https://mm.icann.org/pipermail/council/attachments/20231019/268b914e/Report_AssessmentofRegDataAccuracyScenarios-0001.pdf" TargetMode="External"/><Relationship Id="rId12" Type="http://schemas.openxmlformats.org/officeDocument/2006/relationships/hyperlink" Target="https://mm.icann.org/pipermail/council/attachments/20231019/268b914e/Report_AssessmentofRegDataAccuracyScenarios-0001.pdf" TargetMode="External"/><Relationship Id="rId23" Type="http://schemas.openxmlformats.org/officeDocument/2006/relationships/hyperlink" Target="https://community.icann.org/display/gnsocouncilmeetings/Final+Proposed+Agenda+2024-08-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2/correspondence/palage-et-al-to-gnso-council-rda-assignments-et-al-05sep22-en..pdf" TargetMode="External"/><Relationship Id="rId15" Type="http://schemas.openxmlformats.org/officeDocument/2006/relationships/hyperlink" Target="https://community.icann.org/display/gnsocouncilmeetings/Final+Proposed+Agenda+2023-11-16" TargetMode="External"/><Relationship Id="rId14" Type="http://schemas.openxmlformats.org/officeDocument/2006/relationships/hyperlink" Target="https://community.icann.org/display/gnsocouncilmeetings/Final+Proposed+Agenda+2023-11-16" TargetMode="External"/><Relationship Id="rId17" Type="http://schemas.openxmlformats.org/officeDocument/2006/relationships/hyperlink" Target="https://community.icann.org/display/gnsocouncilmeetings/Motions+2024-02-15" TargetMode="External"/><Relationship Id="rId16" Type="http://schemas.openxmlformats.org/officeDocument/2006/relationships/hyperlink" Target="https://community.icann.org/display/gnsocouncilmeetings/Motions+2024-02-15" TargetMode="External"/><Relationship Id="rId5" Type="http://schemas.openxmlformats.org/officeDocument/2006/relationships/styles" Target="styles.xml"/><Relationship Id="rId19" Type="http://schemas.openxmlformats.org/officeDocument/2006/relationships/hyperlink" Target="https://mm.icann.org/pipermail/council/attachments/20231019/268b914e/Report_AssessmentofRegDataAccuracyScenarios-0001.pdf" TargetMode="External"/><Relationship Id="rId6" Type="http://schemas.openxmlformats.org/officeDocument/2006/relationships/customXml" Target="../customXML/item1.xml"/><Relationship Id="rId18" Type="http://schemas.openxmlformats.org/officeDocument/2006/relationships/hyperlink" Target="https://mm.icann.org/pipermail/council/attachments/20231019/268b914e/Report_AssessmentofRegDataAccuracyScenarios-0001.pdf" TargetMode="External"/><Relationship Id="rId7" Type="http://schemas.openxmlformats.org/officeDocument/2006/relationships/hyperlink" Target="https://gnso.icann.org/en/council/resolutions/2020-current#20221117-4" TargetMode="External"/><Relationship Id="rId8" Type="http://schemas.openxmlformats.org/officeDocument/2006/relationships/hyperlink" Target="https://gnso.icann.org/sites/default/files/policy/2022/correspondence/palage-et-al-to-gnso-council-rda-assignments-et-al-05sep2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I+G9HaZklxVxN5dMQzqJginpA==">CgMxLjA4AHIhMUNFU1ZrM0NybWpKSWQ3YmRiSnJRMjFVVkFVQVRZQ1dC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