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5A4D" w14:textId="77777777"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b/>
          <w:bCs/>
          <w:color w:val="172B4D"/>
          <w:sz w:val="21"/>
          <w:szCs w:val="21"/>
        </w:rPr>
        <w:t>Registration Data Accuracy Scoping Team Recommendations #1 and #2 – extending deferral of consideration by six months</w:t>
      </w:r>
    </w:p>
    <w:p w14:paraId="1BE9D683" w14:textId="77777777" w:rsidR="00531CF0" w:rsidRDefault="00531CF0" w:rsidP="00531CF0">
      <w:pPr>
        <w:shd w:val="clear" w:color="auto" w:fill="FFFFFF"/>
        <w:rPr>
          <w:rFonts w:ascii="Arial" w:eastAsia="Times New Roman" w:hAnsi="Arial" w:cs="Arial"/>
          <w:b/>
          <w:bCs/>
          <w:color w:val="172B4D"/>
          <w:sz w:val="21"/>
          <w:szCs w:val="21"/>
        </w:rPr>
      </w:pPr>
    </w:p>
    <w:p w14:paraId="4B8B1656" w14:textId="2F138BE0"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b/>
          <w:bCs/>
          <w:color w:val="172B4D"/>
          <w:sz w:val="21"/>
          <w:szCs w:val="21"/>
        </w:rPr>
        <w:t>Submitted by Greg DiBiase</w:t>
      </w:r>
    </w:p>
    <w:p w14:paraId="31E4BD55" w14:textId="77777777"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b/>
          <w:bCs/>
          <w:color w:val="172B4D"/>
          <w:sz w:val="21"/>
          <w:szCs w:val="21"/>
        </w:rPr>
        <w:t>Seconded by</w:t>
      </w:r>
    </w:p>
    <w:p w14:paraId="2F40226C" w14:textId="77777777"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 </w:t>
      </w:r>
    </w:p>
    <w:p w14:paraId="4A755A15" w14:textId="77777777"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Whereas,</w:t>
      </w:r>
    </w:p>
    <w:p w14:paraId="6143DC83" w14:textId="77777777" w:rsidR="00531CF0" w:rsidRDefault="00531CF0" w:rsidP="00531CF0">
      <w:pPr>
        <w:shd w:val="clear" w:color="auto" w:fill="FFFFFF"/>
        <w:rPr>
          <w:rFonts w:ascii="Arial" w:eastAsia="Times New Roman" w:hAnsi="Arial" w:cs="Arial"/>
          <w:color w:val="172B4D"/>
          <w:sz w:val="21"/>
          <w:szCs w:val="21"/>
        </w:rPr>
      </w:pPr>
    </w:p>
    <w:p w14:paraId="130DB119" w14:textId="6D4DEB2C"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 xml:space="preserve">The GNSO Council </w:t>
      </w:r>
      <w:hyperlink r:id="rId5" w:anchor="20221117-4" w:history="1">
        <w:r w:rsidRPr="00531CF0">
          <w:rPr>
            <w:rFonts w:ascii="Arial" w:eastAsia="Times New Roman" w:hAnsi="Arial" w:cs="Arial"/>
            <w:color w:val="0052CC"/>
            <w:sz w:val="21"/>
            <w:szCs w:val="21"/>
            <w:u w:val="single"/>
          </w:rPr>
          <w:t>resolved</w:t>
        </w:r>
      </w:hyperlink>
      <w:r w:rsidRPr="00531CF0">
        <w:rPr>
          <w:rFonts w:ascii="Arial" w:eastAsia="Times New Roman" w:hAnsi="Arial" w:cs="Arial"/>
          <w:color w:val="172B4D"/>
          <w:sz w:val="21"/>
          <w:szCs w:val="21"/>
        </w:rPr>
        <w:t xml:space="preserve"> on 17 November 2022 to defer consideration of recommendations #1 and #2 of the Registration Data Accuracy Scoping Team </w:t>
      </w:r>
      <w:hyperlink r:id="rId6" w:history="1">
        <w:r w:rsidRPr="00531CF0">
          <w:rPr>
            <w:rFonts w:ascii="Arial" w:eastAsia="Times New Roman" w:hAnsi="Arial" w:cs="Arial"/>
            <w:color w:val="0052CC"/>
            <w:sz w:val="21"/>
            <w:szCs w:val="21"/>
            <w:u w:val="single"/>
          </w:rPr>
          <w:t>write up</w:t>
        </w:r>
      </w:hyperlink>
      <w:r w:rsidRPr="00531CF0">
        <w:rPr>
          <w:rFonts w:ascii="Arial" w:eastAsia="Times New Roman" w:hAnsi="Arial" w:cs="Arial"/>
          <w:color w:val="172B4D"/>
          <w:sz w:val="21"/>
          <w:szCs w:val="21"/>
        </w:rPr>
        <w:t xml:space="preserve"> until such time as the Data Processing Agreement (DPA) negotiations between ICANN org and Contracted Parties have completed and there is feedback from ICANN org on if/how it anticipates the requesting and processing of registration data will be undertaken in the context of measuring accuracy, or for six months, whichever is the shorter;</w:t>
      </w:r>
    </w:p>
    <w:p w14:paraId="6497B05B" w14:textId="77777777" w:rsidR="00531CF0" w:rsidRDefault="00531CF0" w:rsidP="00531CF0">
      <w:pPr>
        <w:shd w:val="clear" w:color="auto" w:fill="FFFFFF"/>
        <w:rPr>
          <w:rFonts w:ascii="Arial" w:eastAsia="Times New Roman" w:hAnsi="Arial" w:cs="Arial"/>
          <w:color w:val="172B4D"/>
          <w:sz w:val="21"/>
          <w:szCs w:val="21"/>
        </w:rPr>
      </w:pPr>
    </w:p>
    <w:p w14:paraId="0F4FBAEA" w14:textId="036F6C3A"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Whereas,</w:t>
      </w:r>
    </w:p>
    <w:p w14:paraId="2AE63DBA" w14:textId="77777777" w:rsidR="00531CF0" w:rsidRDefault="00531CF0" w:rsidP="00531CF0">
      <w:pPr>
        <w:shd w:val="clear" w:color="auto" w:fill="FFFFFF"/>
        <w:rPr>
          <w:rFonts w:ascii="Arial" w:eastAsia="Times New Roman" w:hAnsi="Arial" w:cs="Arial"/>
          <w:color w:val="172B4D"/>
          <w:sz w:val="21"/>
          <w:szCs w:val="21"/>
        </w:rPr>
      </w:pPr>
    </w:p>
    <w:p w14:paraId="00C26AA5" w14:textId="2A55713F"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 xml:space="preserve">The GNSO Council </w:t>
      </w:r>
      <w:hyperlink r:id="rId7" w:history="1">
        <w:r w:rsidRPr="00531CF0">
          <w:rPr>
            <w:rFonts w:ascii="Arial" w:eastAsia="Times New Roman" w:hAnsi="Arial" w:cs="Arial"/>
            <w:color w:val="0052CC"/>
            <w:sz w:val="21"/>
            <w:szCs w:val="21"/>
            <w:u w:val="single"/>
          </w:rPr>
          <w:t>wrote</w:t>
        </w:r>
      </w:hyperlink>
      <w:r w:rsidRPr="00531CF0">
        <w:rPr>
          <w:rFonts w:ascii="Arial" w:eastAsia="Times New Roman" w:hAnsi="Arial" w:cs="Arial"/>
          <w:color w:val="172B4D"/>
          <w:sz w:val="21"/>
          <w:szCs w:val="21"/>
        </w:rPr>
        <w:t xml:space="preserve"> to ICANN org to obtain this feedback and received a </w:t>
      </w:r>
      <w:hyperlink r:id="rId8" w:history="1">
        <w:r w:rsidRPr="00531CF0">
          <w:rPr>
            <w:rFonts w:ascii="Arial" w:eastAsia="Times New Roman" w:hAnsi="Arial" w:cs="Arial"/>
            <w:color w:val="0052CC"/>
            <w:sz w:val="21"/>
            <w:szCs w:val="21"/>
            <w:u w:val="single"/>
          </w:rPr>
          <w:t>response</w:t>
        </w:r>
      </w:hyperlink>
      <w:r w:rsidRPr="00531CF0">
        <w:rPr>
          <w:rFonts w:ascii="Arial" w:eastAsia="Times New Roman" w:hAnsi="Arial" w:cs="Arial"/>
          <w:color w:val="172B4D"/>
          <w:sz w:val="21"/>
          <w:szCs w:val="21"/>
        </w:rPr>
        <w:t xml:space="preserve"> providing a status update on 14 March 2023 which was also presented during its April 2023 meeting;</w:t>
      </w:r>
    </w:p>
    <w:p w14:paraId="3D81E1EE" w14:textId="77777777" w:rsidR="00531CF0" w:rsidRPr="00531CF0" w:rsidRDefault="00531CF0" w:rsidP="00531CF0">
      <w:pPr>
        <w:numPr>
          <w:ilvl w:val="0"/>
          <w:numId w:val="1"/>
        </w:numPr>
        <w:shd w:val="clear" w:color="auto" w:fill="FFFFFF"/>
        <w:spacing w:before="240"/>
        <w:textAlignment w:val="baseline"/>
        <w:rPr>
          <w:rFonts w:ascii="Calibri" w:eastAsia="Times New Roman" w:hAnsi="Calibri" w:cs="Calibri"/>
          <w:color w:val="172B4D"/>
        </w:rPr>
      </w:pPr>
      <w:r w:rsidRPr="00531CF0">
        <w:rPr>
          <w:rFonts w:ascii="Arial" w:eastAsia="Times New Roman" w:hAnsi="Arial" w:cs="Arial"/>
          <w:color w:val="172B4D"/>
          <w:sz w:val="21"/>
          <w:szCs w:val="21"/>
        </w:rPr>
        <w:t>ICANN org’s work on the scenarios that have been identified to review the accuracy of registration data and the data protection questions that arise from these scenarios is still ongoing;</w:t>
      </w:r>
    </w:p>
    <w:p w14:paraId="3AC544D3" w14:textId="77777777" w:rsidR="00531CF0" w:rsidRPr="00531CF0" w:rsidRDefault="00531CF0" w:rsidP="00531CF0">
      <w:pPr>
        <w:numPr>
          <w:ilvl w:val="0"/>
          <w:numId w:val="1"/>
        </w:numPr>
        <w:shd w:val="clear" w:color="auto" w:fill="FFFFFF"/>
        <w:textAlignment w:val="baseline"/>
        <w:rPr>
          <w:rFonts w:ascii="Calibri" w:eastAsia="Times New Roman" w:hAnsi="Calibri" w:cs="Calibri"/>
          <w:color w:val="172B4D"/>
        </w:rPr>
      </w:pPr>
      <w:r w:rsidRPr="00531CF0">
        <w:rPr>
          <w:rFonts w:ascii="Arial" w:eastAsia="Times New Roman" w:hAnsi="Arial" w:cs="Arial"/>
          <w:color w:val="172B4D"/>
          <w:sz w:val="21"/>
          <w:szCs w:val="21"/>
        </w:rPr>
        <w:t>Negotiations between ICANN org and Contracted Parties on a DPA have not completed yet.</w:t>
      </w:r>
    </w:p>
    <w:p w14:paraId="3CEE1E08" w14:textId="77777777" w:rsidR="00531CF0" w:rsidRPr="00531CF0" w:rsidRDefault="00531CF0" w:rsidP="00531CF0">
      <w:pPr>
        <w:shd w:val="clear" w:color="auto" w:fill="FFFFFF"/>
        <w:spacing w:before="160"/>
        <w:rPr>
          <w:rFonts w:ascii="Times New Roman" w:eastAsia="Times New Roman" w:hAnsi="Times New Roman" w:cs="Times New Roman"/>
        </w:rPr>
      </w:pPr>
      <w:r w:rsidRPr="00531CF0">
        <w:rPr>
          <w:rFonts w:ascii="Arial" w:eastAsia="Times New Roman" w:hAnsi="Arial" w:cs="Arial"/>
          <w:color w:val="172B4D"/>
          <w:sz w:val="21"/>
          <w:szCs w:val="21"/>
        </w:rPr>
        <w:t>Whereas,</w:t>
      </w:r>
    </w:p>
    <w:p w14:paraId="2FC837DB" w14:textId="77777777" w:rsidR="00531CF0" w:rsidRDefault="00531CF0" w:rsidP="00531CF0">
      <w:pPr>
        <w:shd w:val="clear" w:color="auto" w:fill="FFFFFF"/>
        <w:rPr>
          <w:rFonts w:ascii="Arial" w:eastAsia="Times New Roman" w:hAnsi="Arial" w:cs="Arial"/>
          <w:color w:val="172B4D"/>
          <w:sz w:val="21"/>
          <w:szCs w:val="21"/>
        </w:rPr>
      </w:pPr>
    </w:p>
    <w:p w14:paraId="1602E868" w14:textId="5DDAD91E"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ICANN org conducted a comprehensive assessment of the four scenarios and provided an</w:t>
      </w:r>
      <w:hyperlink r:id="rId9" w:history="1">
        <w:r w:rsidRPr="00531CF0">
          <w:rPr>
            <w:rFonts w:ascii="Arial" w:eastAsia="Times New Roman" w:hAnsi="Arial" w:cs="Arial"/>
            <w:color w:val="172B4D"/>
            <w:sz w:val="21"/>
            <w:szCs w:val="21"/>
            <w:u w:val="single"/>
          </w:rPr>
          <w:t xml:space="preserve"> </w:t>
        </w:r>
        <w:r w:rsidRPr="00531CF0">
          <w:rPr>
            <w:rFonts w:ascii="Arial" w:eastAsia="Times New Roman" w:hAnsi="Arial" w:cs="Arial"/>
            <w:color w:val="0000FF"/>
            <w:sz w:val="21"/>
            <w:szCs w:val="21"/>
            <w:u w:val="single"/>
          </w:rPr>
          <w:t>update</w:t>
        </w:r>
      </w:hyperlink>
      <w:r w:rsidRPr="00531CF0">
        <w:rPr>
          <w:rFonts w:ascii="Arial" w:eastAsia="Times New Roman" w:hAnsi="Arial" w:cs="Arial"/>
          <w:color w:val="172B4D"/>
          <w:sz w:val="21"/>
          <w:szCs w:val="21"/>
        </w:rPr>
        <w:t xml:space="preserve"> on Registration Data Accuracy efforts on 19 October 2023, noting specifically:  </w:t>
      </w:r>
    </w:p>
    <w:p w14:paraId="089AACE9" w14:textId="77777777" w:rsidR="00531CF0" w:rsidRPr="00531CF0" w:rsidRDefault="00531CF0" w:rsidP="00531CF0">
      <w:pPr>
        <w:numPr>
          <w:ilvl w:val="0"/>
          <w:numId w:val="2"/>
        </w:numPr>
        <w:shd w:val="clear" w:color="auto" w:fill="FFFFFF"/>
        <w:spacing w:before="160"/>
        <w:ind w:left="1440"/>
        <w:textAlignment w:val="baseline"/>
        <w:rPr>
          <w:rFonts w:ascii="Arial" w:eastAsia="Times New Roman" w:hAnsi="Arial" w:cs="Arial"/>
          <w:color w:val="172B4D"/>
          <w:sz w:val="22"/>
          <w:szCs w:val="22"/>
        </w:rPr>
      </w:pPr>
      <w:r w:rsidRPr="00531CF0">
        <w:rPr>
          <w:rFonts w:ascii="Arial" w:eastAsia="Times New Roman" w:hAnsi="Arial" w:cs="Arial"/>
          <w:color w:val="172B4D"/>
          <w:sz w:val="21"/>
          <w:szCs w:val="21"/>
        </w:rPr>
        <w:t>it is unclear whether [the scenarios] would provide useful data to inform the Accuracy Scoping Team’s efforts;</w:t>
      </w:r>
    </w:p>
    <w:p w14:paraId="30E812EE" w14:textId="77777777" w:rsidR="00531CF0" w:rsidRPr="00531CF0" w:rsidRDefault="00531CF0" w:rsidP="00531CF0">
      <w:pPr>
        <w:numPr>
          <w:ilvl w:val="0"/>
          <w:numId w:val="2"/>
        </w:numPr>
        <w:shd w:val="clear" w:color="auto" w:fill="FFFFFF"/>
        <w:ind w:left="1440"/>
        <w:textAlignment w:val="baseline"/>
        <w:rPr>
          <w:rFonts w:ascii="Arial" w:eastAsia="Times New Roman" w:hAnsi="Arial" w:cs="Arial"/>
          <w:color w:val="172B4D"/>
          <w:sz w:val="22"/>
          <w:szCs w:val="22"/>
        </w:rPr>
      </w:pPr>
      <w:r w:rsidRPr="00531CF0">
        <w:rPr>
          <w:rFonts w:ascii="Arial" w:eastAsia="Times New Roman" w:hAnsi="Arial" w:cs="Arial"/>
          <w:color w:val="172B4D"/>
          <w:sz w:val="21"/>
          <w:szCs w:val="21"/>
        </w:rPr>
        <w:t>the scenarios are not expected to provide data as it relates to identity verification of the registrant or veracity of the contact information (i.e., the data belongs to the data subject);</w:t>
      </w:r>
    </w:p>
    <w:p w14:paraId="522AF559" w14:textId="77777777" w:rsidR="00531CF0" w:rsidRPr="00531CF0" w:rsidRDefault="00531CF0" w:rsidP="00531CF0">
      <w:pPr>
        <w:numPr>
          <w:ilvl w:val="0"/>
          <w:numId w:val="2"/>
        </w:numPr>
        <w:shd w:val="clear" w:color="auto" w:fill="FFFFFF"/>
        <w:ind w:left="1440"/>
        <w:textAlignment w:val="baseline"/>
        <w:rPr>
          <w:rFonts w:ascii="Arial" w:eastAsia="Times New Roman" w:hAnsi="Arial" w:cs="Arial"/>
          <w:color w:val="172B4D"/>
          <w:sz w:val="22"/>
          <w:szCs w:val="22"/>
        </w:rPr>
      </w:pPr>
      <w:r w:rsidRPr="00531CF0">
        <w:rPr>
          <w:rFonts w:ascii="Arial" w:eastAsia="Times New Roman" w:hAnsi="Arial" w:cs="Arial"/>
          <w:color w:val="172B4D"/>
          <w:sz w:val="21"/>
          <w:szCs w:val="21"/>
        </w:rPr>
        <w:t>the costs associated with a full-scale registrar audit may be prohibitive when taking into account the relatively low level of insight the audit may yield;</w:t>
      </w:r>
    </w:p>
    <w:p w14:paraId="55133CB6" w14:textId="77777777" w:rsidR="00531CF0" w:rsidRPr="00531CF0" w:rsidRDefault="00531CF0" w:rsidP="00531CF0">
      <w:pPr>
        <w:numPr>
          <w:ilvl w:val="0"/>
          <w:numId w:val="2"/>
        </w:numPr>
        <w:shd w:val="clear" w:color="auto" w:fill="FFFFFF"/>
        <w:ind w:left="1440"/>
        <w:textAlignment w:val="baseline"/>
        <w:rPr>
          <w:rFonts w:ascii="Arial" w:eastAsia="Times New Roman" w:hAnsi="Arial" w:cs="Arial"/>
          <w:color w:val="172B4D"/>
          <w:sz w:val="22"/>
          <w:szCs w:val="22"/>
        </w:rPr>
      </w:pPr>
      <w:r w:rsidRPr="00531CF0">
        <w:rPr>
          <w:rFonts w:ascii="Arial" w:eastAsia="Times New Roman" w:hAnsi="Arial" w:cs="Arial"/>
          <w:color w:val="172B4D"/>
          <w:sz w:val="21"/>
          <w:szCs w:val="21"/>
        </w:rPr>
        <w:t>ICANN does not have the authority to mandate collection of nonpublic registration data necessary to conduct reviews outside of auditing current contractual requirements; and</w:t>
      </w:r>
    </w:p>
    <w:p w14:paraId="5E0CE2BD" w14:textId="77777777" w:rsidR="00531CF0" w:rsidRPr="00531CF0" w:rsidRDefault="00531CF0" w:rsidP="00531CF0">
      <w:pPr>
        <w:numPr>
          <w:ilvl w:val="0"/>
          <w:numId w:val="2"/>
        </w:numPr>
        <w:shd w:val="clear" w:color="auto" w:fill="FFFFFF"/>
        <w:ind w:left="1440"/>
        <w:textAlignment w:val="baseline"/>
        <w:rPr>
          <w:rFonts w:ascii="Arial" w:eastAsia="Times New Roman" w:hAnsi="Arial" w:cs="Arial"/>
          <w:color w:val="172B4D"/>
          <w:sz w:val="22"/>
          <w:szCs w:val="22"/>
        </w:rPr>
      </w:pPr>
      <w:r w:rsidRPr="00531CF0">
        <w:rPr>
          <w:rFonts w:ascii="Arial" w:eastAsia="Times New Roman" w:hAnsi="Arial" w:cs="Arial"/>
          <w:color w:val="172B4D"/>
          <w:sz w:val="21"/>
          <w:szCs w:val="21"/>
        </w:rPr>
        <w:t>ICANN may not be able to demonstrate the purpose of some of the data processing outweighs the rights of the impacted data subject.</w:t>
      </w:r>
    </w:p>
    <w:p w14:paraId="2F635796" w14:textId="77777777" w:rsidR="00531CF0" w:rsidRPr="00531CF0" w:rsidRDefault="00531CF0" w:rsidP="00531CF0">
      <w:pPr>
        <w:shd w:val="clear" w:color="auto" w:fill="FFFFFF"/>
        <w:spacing w:before="160"/>
        <w:rPr>
          <w:rFonts w:ascii="Times New Roman" w:eastAsia="Times New Roman" w:hAnsi="Times New Roman" w:cs="Times New Roman"/>
        </w:rPr>
      </w:pPr>
      <w:r w:rsidRPr="00531CF0">
        <w:rPr>
          <w:rFonts w:ascii="Arial" w:eastAsia="Times New Roman" w:hAnsi="Arial" w:cs="Arial"/>
          <w:color w:val="172B4D"/>
          <w:sz w:val="21"/>
          <w:szCs w:val="21"/>
        </w:rPr>
        <w:t>Whereas,</w:t>
      </w:r>
    </w:p>
    <w:p w14:paraId="7A1A43CF" w14:textId="77777777" w:rsidR="00531CF0" w:rsidRDefault="00531CF0" w:rsidP="00531CF0">
      <w:pPr>
        <w:shd w:val="clear" w:color="auto" w:fill="FFFFFF"/>
        <w:rPr>
          <w:rFonts w:ascii="Arial" w:eastAsia="Times New Roman" w:hAnsi="Arial" w:cs="Arial"/>
          <w:color w:val="172B4D"/>
          <w:sz w:val="21"/>
          <w:szCs w:val="21"/>
        </w:rPr>
      </w:pPr>
    </w:p>
    <w:p w14:paraId="1123D0B0" w14:textId="74D713AA"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The GNSO Council discussed ICANN org’s</w:t>
      </w:r>
      <w:hyperlink r:id="rId10" w:history="1">
        <w:r w:rsidRPr="00531CF0">
          <w:rPr>
            <w:rFonts w:ascii="Arial" w:eastAsia="Times New Roman" w:hAnsi="Arial" w:cs="Arial"/>
            <w:color w:val="172B4D"/>
            <w:sz w:val="21"/>
            <w:szCs w:val="21"/>
            <w:u w:val="single"/>
          </w:rPr>
          <w:t xml:space="preserve"> </w:t>
        </w:r>
        <w:r w:rsidRPr="00531CF0">
          <w:rPr>
            <w:rFonts w:ascii="Arial" w:eastAsia="Times New Roman" w:hAnsi="Arial" w:cs="Arial"/>
            <w:color w:val="0000FF"/>
            <w:sz w:val="21"/>
            <w:szCs w:val="21"/>
            <w:u w:val="single"/>
          </w:rPr>
          <w:t>update</w:t>
        </w:r>
      </w:hyperlink>
      <w:r w:rsidRPr="00531CF0">
        <w:rPr>
          <w:rFonts w:ascii="Arial" w:eastAsia="Times New Roman" w:hAnsi="Arial" w:cs="Arial"/>
          <w:color w:val="000000"/>
          <w:sz w:val="21"/>
          <w:szCs w:val="21"/>
        </w:rPr>
        <w:t xml:space="preserve"> during its meeting on</w:t>
      </w:r>
      <w:hyperlink r:id="rId11" w:history="1">
        <w:r w:rsidRPr="00531CF0">
          <w:rPr>
            <w:rFonts w:ascii="Arial" w:eastAsia="Times New Roman" w:hAnsi="Arial" w:cs="Arial"/>
            <w:color w:val="000000"/>
            <w:sz w:val="21"/>
            <w:szCs w:val="21"/>
            <w:u w:val="single"/>
          </w:rPr>
          <w:t xml:space="preserve"> </w:t>
        </w:r>
        <w:r w:rsidRPr="00531CF0">
          <w:rPr>
            <w:rFonts w:ascii="Arial" w:eastAsia="Times New Roman" w:hAnsi="Arial" w:cs="Arial"/>
            <w:color w:val="0000FF"/>
            <w:sz w:val="21"/>
            <w:szCs w:val="21"/>
            <w:u w:val="single"/>
          </w:rPr>
          <w:t>16 November 2023</w:t>
        </w:r>
      </w:hyperlink>
      <w:r w:rsidRPr="00531CF0">
        <w:rPr>
          <w:rFonts w:ascii="Arial" w:eastAsia="Times New Roman" w:hAnsi="Arial" w:cs="Arial"/>
          <w:color w:val="000000"/>
          <w:sz w:val="21"/>
          <w:szCs w:val="21"/>
        </w:rPr>
        <w:t xml:space="preserve"> and</w:t>
      </w:r>
    </w:p>
    <w:p w14:paraId="2609B672" w14:textId="77777777"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noted that, barring (</w:t>
      </w:r>
      <w:proofErr w:type="spellStart"/>
      <w:r w:rsidRPr="00531CF0">
        <w:rPr>
          <w:rFonts w:ascii="Arial" w:eastAsia="Times New Roman" w:hAnsi="Arial" w:cs="Arial"/>
          <w:color w:val="172B4D"/>
          <w:sz w:val="21"/>
          <w:szCs w:val="21"/>
        </w:rPr>
        <w:t>i</w:t>
      </w:r>
      <w:proofErr w:type="spellEnd"/>
      <w:r w:rsidRPr="00531CF0">
        <w:rPr>
          <w:rFonts w:ascii="Arial" w:eastAsia="Times New Roman" w:hAnsi="Arial" w:cs="Arial"/>
          <w:color w:val="172B4D"/>
          <w:sz w:val="21"/>
          <w:szCs w:val="21"/>
        </w:rPr>
        <w:t>) completion of the Data Processing Agreement, (ii) implementation of the NIS2 directive, or (iii) publication of the Inferential Analysis of Maliciously Registered Domains (INFERMAL) Study, it may not be the appropriate time to consider the Accuracy Scoping Team’s recommendations.</w:t>
      </w:r>
    </w:p>
    <w:p w14:paraId="5DA90A54" w14:textId="77777777" w:rsidR="00531CF0" w:rsidRPr="00531CF0" w:rsidRDefault="00531CF0" w:rsidP="00531CF0">
      <w:pPr>
        <w:rPr>
          <w:rFonts w:ascii="Times New Roman" w:eastAsia="Times New Roman" w:hAnsi="Times New Roman" w:cs="Times New Roman"/>
        </w:rPr>
      </w:pPr>
      <w:r w:rsidRPr="00531CF0">
        <w:rPr>
          <w:rFonts w:ascii="Times New Roman" w:eastAsia="Times New Roman" w:hAnsi="Times New Roman" w:cs="Times New Roman"/>
          <w:color w:val="000000"/>
        </w:rPr>
        <w:t> </w:t>
      </w:r>
    </w:p>
    <w:p w14:paraId="38FE2D54" w14:textId="77777777"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t> </w:t>
      </w:r>
    </w:p>
    <w:p w14:paraId="42B1245F" w14:textId="77777777" w:rsidR="00531CF0" w:rsidRDefault="00531CF0" w:rsidP="00531CF0">
      <w:pPr>
        <w:shd w:val="clear" w:color="auto" w:fill="FFFFFF"/>
        <w:rPr>
          <w:rFonts w:ascii="Arial" w:eastAsia="Times New Roman" w:hAnsi="Arial" w:cs="Arial"/>
          <w:color w:val="172B4D"/>
          <w:sz w:val="21"/>
          <w:szCs w:val="21"/>
        </w:rPr>
      </w:pPr>
    </w:p>
    <w:p w14:paraId="7918394A" w14:textId="77777777" w:rsidR="00531CF0" w:rsidRDefault="00531CF0" w:rsidP="00531CF0">
      <w:pPr>
        <w:shd w:val="clear" w:color="auto" w:fill="FFFFFF"/>
        <w:rPr>
          <w:rFonts w:ascii="Arial" w:eastAsia="Times New Roman" w:hAnsi="Arial" w:cs="Arial"/>
          <w:color w:val="172B4D"/>
          <w:sz w:val="21"/>
          <w:szCs w:val="21"/>
        </w:rPr>
      </w:pPr>
    </w:p>
    <w:p w14:paraId="0A1DD02D" w14:textId="20CD252F" w:rsidR="00531CF0" w:rsidRPr="00531CF0" w:rsidRDefault="00531CF0" w:rsidP="00531CF0">
      <w:pPr>
        <w:shd w:val="clear" w:color="auto" w:fill="FFFFFF"/>
        <w:rPr>
          <w:rFonts w:ascii="Times New Roman" w:eastAsia="Times New Roman" w:hAnsi="Times New Roman" w:cs="Times New Roman"/>
        </w:rPr>
      </w:pPr>
      <w:r w:rsidRPr="00531CF0">
        <w:rPr>
          <w:rFonts w:ascii="Arial" w:eastAsia="Times New Roman" w:hAnsi="Arial" w:cs="Arial"/>
          <w:color w:val="172B4D"/>
          <w:sz w:val="21"/>
          <w:szCs w:val="21"/>
        </w:rPr>
        <w:lastRenderedPageBreak/>
        <w:t>Resolved,</w:t>
      </w:r>
    </w:p>
    <w:p w14:paraId="34C80DF6" w14:textId="77777777" w:rsidR="00531CF0" w:rsidRPr="00531CF0" w:rsidRDefault="00531CF0" w:rsidP="00531CF0">
      <w:pPr>
        <w:numPr>
          <w:ilvl w:val="0"/>
          <w:numId w:val="3"/>
        </w:numPr>
        <w:shd w:val="clear" w:color="auto" w:fill="FFFFFF"/>
        <w:spacing w:before="240"/>
        <w:textAlignment w:val="baseline"/>
        <w:rPr>
          <w:rFonts w:ascii="Calibri" w:eastAsia="Times New Roman" w:hAnsi="Calibri" w:cs="Calibri"/>
          <w:color w:val="172B4D"/>
        </w:rPr>
      </w:pPr>
      <w:r w:rsidRPr="00531CF0">
        <w:rPr>
          <w:rFonts w:ascii="Arial" w:eastAsia="Times New Roman" w:hAnsi="Arial" w:cs="Arial"/>
          <w:color w:val="172B4D"/>
          <w:sz w:val="21"/>
          <w:szCs w:val="21"/>
        </w:rPr>
        <w:t xml:space="preserve">The GNSO Council extends the deferral of consideration of recommendations #1 and #2 of the Registration Data Accuracy Scoping Team </w:t>
      </w:r>
      <w:hyperlink r:id="rId12" w:history="1">
        <w:r w:rsidRPr="00531CF0">
          <w:rPr>
            <w:rFonts w:ascii="Arial" w:eastAsia="Times New Roman" w:hAnsi="Arial" w:cs="Arial"/>
            <w:color w:val="0052CC"/>
            <w:sz w:val="21"/>
            <w:szCs w:val="21"/>
            <w:u w:val="single"/>
          </w:rPr>
          <w:t>write up</w:t>
        </w:r>
      </w:hyperlink>
      <w:r w:rsidRPr="00531CF0">
        <w:rPr>
          <w:rFonts w:ascii="Arial" w:eastAsia="Times New Roman" w:hAnsi="Arial" w:cs="Arial"/>
          <w:color w:val="172B4D"/>
          <w:sz w:val="21"/>
          <w:szCs w:val="21"/>
        </w:rPr>
        <w:t xml:space="preserve"> for an additional six months.</w:t>
      </w:r>
    </w:p>
    <w:p w14:paraId="79CC785F" w14:textId="77777777" w:rsidR="00531CF0" w:rsidRPr="00531CF0" w:rsidRDefault="00531CF0" w:rsidP="00531CF0">
      <w:pPr>
        <w:numPr>
          <w:ilvl w:val="0"/>
          <w:numId w:val="3"/>
        </w:numPr>
        <w:shd w:val="clear" w:color="auto" w:fill="FFFFFF"/>
        <w:textAlignment w:val="baseline"/>
        <w:rPr>
          <w:rFonts w:ascii="Calibri" w:eastAsia="Times New Roman" w:hAnsi="Calibri" w:cs="Calibri"/>
          <w:color w:val="172B4D"/>
        </w:rPr>
      </w:pPr>
      <w:r w:rsidRPr="00531CF0">
        <w:rPr>
          <w:rFonts w:ascii="Arial" w:eastAsia="Times New Roman" w:hAnsi="Arial" w:cs="Arial"/>
          <w:color w:val="172B4D"/>
          <w:sz w:val="21"/>
          <w:szCs w:val="21"/>
        </w:rPr>
        <w:t>The GNSO Council commits to considering the Scoping Team recommendations at an earlier date if DPA negotiations have been completed before six months have passed or another significant event, such as the implementation of the NIS2 directive or the publication Inferential Analysis of Maliciously Registered Domains (INFERMAL) Study, occurs before six months have passed.</w:t>
      </w:r>
    </w:p>
    <w:p w14:paraId="3432C4D5" w14:textId="77777777" w:rsidR="00531CF0" w:rsidRPr="00531CF0" w:rsidRDefault="00531CF0" w:rsidP="00531CF0">
      <w:pPr>
        <w:rPr>
          <w:rFonts w:ascii="Times New Roman" w:eastAsia="Times New Roman" w:hAnsi="Times New Roman" w:cs="Times New Roman"/>
        </w:rPr>
      </w:pPr>
      <w:r w:rsidRPr="00531CF0">
        <w:rPr>
          <w:rFonts w:ascii="Calibri" w:eastAsia="Times New Roman" w:hAnsi="Calibri" w:cs="Calibri"/>
          <w:color w:val="000000"/>
        </w:rPr>
        <w:t> </w:t>
      </w:r>
    </w:p>
    <w:p w14:paraId="1AB5DDA6" w14:textId="77777777" w:rsidR="00531CF0" w:rsidRPr="00531CF0" w:rsidRDefault="00531CF0" w:rsidP="00531CF0">
      <w:pPr>
        <w:rPr>
          <w:rFonts w:ascii="Times New Roman" w:eastAsia="Times New Roman" w:hAnsi="Times New Roman" w:cs="Times New Roman"/>
        </w:rPr>
      </w:pPr>
    </w:p>
    <w:p w14:paraId="68C8E740" w14:textId="77777777" w:rsidR="006546A0" w:rsidRDefault="006546A0"/>
    <w:sectPr w:rsidR="0065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694"/>
    <w:multiLevelType w:val="multilevel"/>
    <w:tmpl w:val="8DFA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D2614"/>
    <w:multiLevelType w:val="multilevel"/>
    <w:tmpl w:val="114C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C1A53"/>
    <w:multiLevelType w:val="multilevel"/>
    <w:tmpl w:val="388C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F0"/>
    <w:rsid w:val="00531CF0"/>
    <w:rsid w:val="006546A0"/>
    <w:rsid w:val="006C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56FF"/>
  <w15:chartTrackingRefBased/>
  <w15:docId w15:val="{CE2A307B-8D1A-294E-8922-1645BECE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C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31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policy/2023/correspondence/gutterman-to-ducos-14mar23-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nso.icann.org/sites/default/files/policy/2022/correspondence/gnso-council-et-al-to-gutterman-01dec22-en.pdf" TargetMode="External"/><Relationship Id="rId12" Type="http://schemas.openxmlformats.org/officeDocument/2006/relationships/hyperlink" Target="https://gnso.icann.org/sites/default/files/policy/2022/correspondence/palage-et-al-to-gnso-council-rda-assignments-et-al-05sep22-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sites/default/files/policy/2022/correspondence/palage-et-al-to-gnso-council-rda-assignments-et-al-05sep22-en..pdf" TargetMode="External"/><Relationship Id="rId11" Type="http://schemas.openxmlformats.org/officeDocument/2006/relationships/hyperlink" Target="https://community.icann.org/display/gnsocouncilmeetings/Final+Proposed+Agenda+2023-11-16" TargetMode="External"/><Relationship Id="rId5" Type="http://schemas.openxmlformats.org/officeDocument/2006/relationships/hyperlink" Target="https://gnso.icann.org/en/council/resolutions/2020-current" TargetMode="External"/><Relationship Id="rId10" Type="http://schemas.openxmlformats.org/officeDocument/2006/relationships/hyperlink" Target="https://mm.icann.org/pipermail/council/2023-October/027397.html" TargetMode="External"/><Relationship Id="rId4" Type="http://schemas.openxmlformats.org/officeDocument/2006/relationships/webSettings" Target="webSettings.xml"/><Relationship Id="rId9" Type="http://schemas.openxmlformats.org/officeDocument/2006/relationships/hyperlink" Target="https://mm.icann.org/pipermail/council/2023-October/02739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DiBiase, Gregory</cp:lastModifiedBy>
  <cp:revision>2</cp:revision>
  <dcterms:created xsi:type="dcterms:W3CDTF">2024-02-05T19:12:00Z</dcterms:created>
  <dcterms:modified xsi:type="dcterms:W3CDTF">2024-02-05T19:12:00Z</dcterms:modified>
</cp:coreProperties>
</file>