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7A305" w14:textId="2CCF6F53" w:rsidR="00F53A47" w:rsidRDefault="007744BD" w:rsidP="00F53A47">
      <w:pPr>
        <w:widowControl w:val="0"/>
        <w:autoSpaceDE w:val="0"/>
        <w:autoSpaceDN w:val="0"/>
        <w:adjustRightInd w:val="0"/>
        <w:rPr>
          <w:rFonts w:ascii="Times New Roman" w:hAnsi="Times New Roman" w:cs="Times New Roman"/>
        </w:rPr>
      </w:pPr>
      <w:bookmarkStart w:id="0" w:name="_GoBack"/>
      <w:bookmarkEnd w:id="0"/>
      <w:r>
        <w:rPr>
          <w:rFonts w:ascii="Times New Roman" w:hAnsi="Times New Roman" w:cs="Times New Roman"/>
        </w:rPr>
        <w:t xml:space="preserve">15 </w:t>
      </w:r>
      <w:r w:rsidR="00F53A47">
        <w:rPr>
          <w:rFonts w:ascii="Times New Roman" w:hAnsi="Times New Roman" w:cs="Times New Roman"/>
        </w:rPr>
        <w:t>September 2015</w:t>
      </w:r>
    </w:p>
    <w:p w14:paraId="1E85F3E0" w14:textId="77777777" w:rsidR="00F53A47" w:rsidRDefault="00F53A47" w:rsidP="00F53A47">
      <w:pPr>
        <w:widowControl w:val="0"/>
        <w:autoSpaceDE w:val="0"/>
        <w:autoSpaceDN w:val="0"/>
        <w:adjustRightInd w:val="0"/>
        <w:rPr>
          <w:rFonts w:ascii="Times New Roman" w:hAnsi="Times New Roman" w:cs="Times New Roman"/>
        </w:rPr>
      </w:pPr>
    </w:p>
    <w:p w14:paraId="75E69A7D" w14:textId="33C2BFAA" w:rsidR="007744BD" w:rsidRDefault="007744BD" w:rsidP="00F53A47">
      <w:pPr>
        <w:widowControl w:val="0"/>
        <w:autoSpaceDE w:val="0"/>
        <w:autoSpaceDN w:val="0"/>
        <w:adjustRightInd w:val="0"/>
        <w:rPr>
          <w:rFonts w:ascii="Times New Roman" w:hAnsi="Times New Roman" w:cs="Times New Roman"/>
        </w:rPr>
      </w:pPr>
      <w:r>
        <w:rPr>
          <w:rFonts w:ascii="Times New Roman" w:hAnsi="Times New Roman" w:cs="Times New Roman"/>
        </w:rPr>
        <w:t>Steve Crocker</w:t>
      </w:r>
    </w:p>
    <w:p w14:paraId="60F50B63" w14:textId="1AB730E7" w:rsidR="007744BD" w:rsidRDefault="007744BD" w:rsidP="00F53A47">
      <w:pPr>
        <w:widowControl w:val="0"/>
        <w:autoSpaceDE w:val="0"/>
        <w:autoSpaceDN w:val="0"/>
        <w:adjustRightInd w:val="0"/>
        <w:rPr>
          <w:rFonts w:ascii="Times New Roman" w:hAnsi="Times New Roman" w:cs="Times New Roman"/>
        </w:rPr>
      </w:pPr>
      <w:r>
        <w:rPr>
          <w:rFonts w:ascii="Times New Roman" w:hAnsi="Times New Roman" w:cs="Times New Roman"/>
        </w:rPr>
        <w:t>Chairman, ICANN Board of Directors</w:t>
      </w:r>
    </w:p>
    <w:p w14:paraId="13681340" w14:textId="77777777" w:rsidR="007744BD" w:rsidRDefault="007744BD" w:rsidP="00F53A47">
      <w:pPr>
        <w:widowControl w:val="0"/>
        <w:autoSpaceDE w:val="0"/>
        <w:autoSpaceDN w:val="0"/>
        <w:adjustRightInd w:val="0"/>
        <w:rPr>
          <w:rFonts w:ascii="Times New Roman" w:hAnsi="Times New Roman" w:cs="Times New Roman"/>
        </w:rPr>
      </w:pPr>
    </w:p>
    <w:p w14:paraId="00DBDFAB" w14:textId="77777777" w:rsidR="007744BD" w:rsidRDefault="007744BD" w:rsidP="00F53A47">
      <w:pPr>
        <w:widowControl w:val="0"/>
        <w:autoSpaceDE w:val="0"/>
        <w:autoSpaceDN w:val="0"/>
        <w:adjustRightInd w:val="0"/>
        <w:rPr>
          <w:rFonts w:ascii="Times New Roman" w:hAnsi="Times New Roman" w:cs="Times New Roman"/>
        </w:rPr>
      </w:pPr>
    </w:p>
    <w:p w14:paraId="510944EF" w14:textId="77777777" w:rsidR="00F53A47" w:rsidRDefault="00F53A47" w:rsidP="00F53A47">
      <w:r>
        <w:t>Dear Steve,</w:t>
      </w:r>
    </w:p>
    <w:p w14:paraId="6A9B59A2" w14:textId="77777777" w:rsidR="008C16FF" w:rsidRDefault="008C16FF" w:rsidP="00F53A47">
      <w:pPr>
        <w:widowControl w:val="0"/>
        <w:autoSpaceDE w:val="0"/>
        <w:autoSpaceDN w:val="0"/>
        <w:adjustRightInd w:val="0"/>
        <w:rPr>
          <w:rFonts w:ascii="Times New Roman" w:hAnsi="Times New Roman" w:cs="Times New Roman"/>
        </w:rPr>
      </w:pPr>
    </w:p>
    <w:p w14:paraId="0D39F262" w14:textId="77777777" w:rsidR="007744BD" w:rsidRPr="007744BD" w:rsidRDefault="007744BD" w:rsidP="007744BD">
      <w:pPr>
        <w:widowControl w:val="0"/>
        <w:autoSpaceDE w:val="0"/>
        <w:autoSpaceDN w:val="0"/>
        <w:adjustRightInd w:val="0"/>
        <w:rPr>
          <w:rFonts w:ascii="Times New Roman" w:hAnsi="Times New Roman" w:cs="Times New Roman"/>
          <w:b/>
          <w:u w:val="single"/>
        </w:rPr>
      </w:pPr>
      <w:r w:rsidRPr="007744BD">
        <w:rPr>
          <w:rFonts w:ascii="Times New Roman" w:hAnsi="Times New Roman" w:cs="Times New Roman"/>
          <w:b/>
          <w:u w:val="single"/>
        </w:rPr>
        <w:t xml:space="preserve">Re: ICANN Board New </w:t>
      </w:r>
      <w:proofErr w:type="spellStart"/>
      <w:r w:rsidRPr="007744BD">
        <w:rPr>
          <w:rFonts w:ascii="Times New Roman" w:hAnsi="Times New Roman" w:cs="Times New Roman"/>
          <w:b/>
          <w:u w:val="single"/>
        </w:rPr>
        <w:t>gTLD</w:t>
      </w:r>
      <w:proofErr w:type="spellEnd"/>
      <w:r w:rsidRPr="007744BD">
        <w:rPr>
          <w:rFonts w:ascii="Times New Roman" w:hAnsi="Times New Roman" w:cs="Times New Roman"/>
          <w:b/>
          <w:u w:val="single"/>
        </w:rPr>
        <w:t xml:space="preserve"> Program Committee Resolutions Concerning Exclusive Registry Access for </w:t>
      </w:r>
      <w:proofErr w:type="spellStart"/>
      <w:r w:rsidRPr="007744BD">
        <w:rPr>
          <w:rFonts w:ascii="Times New Roman" w:hAnsi="Times New Roman" w:cs="Times New Roman"/>
          <w:b/>
          <w:u w:val="single"/>
        </w:rPr>
        <w:t>gTLD</w:t>
      </w:r>
      <w:proofErr w:type="spellEnd"/>
      <w:r w:rsidRPr="007744BD">
        <w:rPr>
          <w:rFonts w:ascii="Times New Roman" w:hAnsi="Times New Roman" w:cs="Times New Roman"/>
          <w:b/>
          <w:u w:val="single"/>
        </w:rPr>
        <w:t xml:space="preserve"> Strings Representing Generic Terms</w:t>
      </w:r>
    </w:p>
    <w:p w14:paraId="03143FF8" w14:textId="77777777" w:rsidR="007744BD" w:rsidRDefault="007744BD" w:rsidP="007744BD">
      <w:pPr>
        <w:widowControl w:val="0"/>
        <w:autoSpaceDE w:val="0"/>
        <w:autoSpaceDN w:val="0"/>
        <w:adjustRightInd w:val="0"/>
        <w:rPr>
          <w:rFonts w:ascii="Times New Roman" w:hAnsi="Times New Roman" w:cs="Times New Roman"/>
        </w:rPr>
      </w:pPr>
    </w:p>
    <w:p w14:paraId="64CA7E61" w14:textId="1508BD9A" w:rsidR="001525B5" w:rsidRDefault="001525B5" w:rsidP="00F53A47">
      <w:pPr>
        <w:widowControl w:val="0"/>
        <w:autoSpaceDE w:val="0"/>
        <w:autoSpaceDN w:val="0"/>
        <w:adjustRightInd w:val="0"/>
        <w:rPr>
          <w:rFonts w:ascii="Times New Roman" w:hAnsi="Times New Roman" w:cs="Times New Roman"/>
        </w:rPr>
      </w:pPr>
      <w:r>
        <w:rPr>
          <w:rFonts w:ascii="Times New Roman" w:hAnsi="Times New Roman" w:cs="Times New Roman"/>
        </w:rPr>
        <w:t>Thank you for your letter of 27 July 2015 requesting that the GNSO include</w:t>
      </w:r>
      <w:r w:rsidR="007744BD">
        <w:rPr>
          <w:rFonts w:ascii="Times New Roman" w:hAnsi="Times New Roman" w:cs="Times New Roman"/>
        </w:rPr>
        <w:t xml:space="preserve">, </w:t>
      </w:r>
      <w:r w:rsidR="007744BD">
        <w:rPr>
          <w:rFonts w:ascii="Times New Roman" w:hAnsi="Times New Roman" w:cs="Times New Roman"/>
        </w:rPr>
        <w:t xml:space="preserve">as part of its policy development processes related to New </w:t>
      </w:r>
      <w:proofErr w:type="spellStart"/>
      <w:r w:rsidR="007744BD">
        <w:rPr>
          <w:rFonts w:ascii="Times New Roman" w:hAnsi="Times New Roman" w:cs="Times New Roman"/>
        </w:rPr>
        <w:t>gTLD</w:t>
      </w:r>
      <w:proofErr w:type="spellEnd"/>
      <w:r w:rsidR="007744BD">
        <w:rPr>
          <w:rFonts w:ascii="Times New Roman" w:hAnsi="Times New Roman" w:cs="Times New Roman"/>
        </w:rPr>
        <w:t xml:space="preserve"> subsequent procedures</w:t>
      </w:r>
      <w:r w:rsidR="007744BD">
        <w:rPr>
          <w:rFonts w:ascii="Times New Roman" w:hAnsi="Times New Roman" w:cs="Times New Roman"/>
        </w:rPr>
        <w:t>,</w:t>
      </w:r>
      <w:r>
        <w:rPr>
          <w:rFonts w:ascii="Times New Roman" w:hAnsi="Times New Roman" w:cs="Times New Roman"/>
        </w:rPr>
        <w:t xml:space="preserve"> the subject of exclusive registry access for generic strings serving a public interest goal.</w:t>
      </w:r>
      <w:r w:rsidR="008C16FF">
        <w:rPr>
          <w:rFonts w:ascii="Times New Roman" w:hAnsi="Times New Roman" w:cs="Times New Roman"/>
        </w:rPr>
        <w:t xml:space="preserve"> </w:t>
      </w:r>
      <w:r w:rsidR="00C31BB1">
        <w:rPr>
          <w:rFonts w:ascii="Times New Roman" w:hAnsi="Times New Roman" w:cs="Times New Roman"/>
        </w:rPr>
        <w:t xml:space="preserve">I can </w:t>
      </w:r>
      <w:r w:rsidR="000550CA">
        <w:rPr>
          <w:rFonts w:ascii="Times New Roman" w:hAnsi="Times New Roman" w:cs="Times New Roman"/>
        </w:rPr>
        <w:t>confirm that t</w:t>
      </w:r>
      <w:r w:rsidR="008C16FF">
        <w:rPr>
          <w:rFonts w:ascii="Times New Roman" w:hAnsi="Times New Roman" w:cs="Times New Roman"/>
        </w:rPr>
        <w:t xml:space="preserve">he Preliminary Issue Report on New </w:t>
      </w:r>
      <w:proofErr w:type="spellStart"/>
      <w:r w:rsidR="008C16FF">
        <w:rPr>
          <w:rFonts w:ascii="Times New Roman" w:hAnsi="Times New Roman" w:cs="Times New Roman"/>
        </w:rPr>
        <w:t>gTLD</w:t>
      </w:r>
      <w:proofErr w:type="spellEnd"/>
      <w:r w:rsidR="008C16FF">
        <w:rPr>
          <w:rFonts w:ascii="Times New Roman" w:hAnsi="Times New Roman" w:cs="Times New Roman"/>
        </w:rPr>
        <w:t xml:space="preserve"> Subsequent Procedures, which is currently available for public comment (</w:t>
      </w:r>
      <w:hyperlink r:id="rId8" w:history="1">
        <w:r w:rsidR="000550CA" w:rsidRPr="00C203D1">
          <w:rPr>
            <w:rStyle w:val="Hyperlink"/>
            <w:rFonts w:ascii="Times New Roman" w:hAnsi="Times New Roman" w:cs="Times New Roman"/>
          </w:rPr>
          <w:t>https://www.icann.org/public-comments/new-gtld-subsequent-prelim-2015-08-31-en</w:t>
        </w:r>
      </w:hyperlink>
      <w:r w:rsidR="000550CA">
        <w:rPr>
          <w:rFonts w:ascii="Times New Roman" w:hAnsi="Times New Roman" w:cs="Times New Roman"/>
        </w:rPr>
        <w:t xml:space="preserve">), contains a discreet subject for </w:t>
      </w:r>
      <w:r w:rsidR="004F58B8">
        <w:rPr>
          <w:rFonts w:ascii="Times New Roman" w:hAnsi="Times New Roman" w:cs="Times New Roman"/>
        </w:rPr>
        <w:t>each of</w:t>
      </w:r>
      <w:r w:rsidR="000550CA">
        <w:rPr>
          <w:rFonts w:ascii="Times New Roman" w:hAnsi="Times New Roman" w:cs="Times New Roman"/>
        </w:rPr>
        <w:t xml:space="preserve"> Closed Generics </w:t>
      </w:r>
      <w:r w:rsidR="002E68BF">
        <w:rPr>
          <w:rFonts w:ascii="Times New Roman" w:hAnsi="Times New Roman" w:cs="Times New Roman"/>
        </w:rPr>
        <w:t xml:space="preserve">(Section 4.3.11 of the report) </w:t>
      </w:r>
      <w:r w:rsidR="000550CA">
        <w:rPr>
          <w:rFonts w:ascii="Times New Roman" w:hAnsi="Times New Roman" w:cs="Times New Roman"/>
        </w:rPr>
        <w:t>and the Global Public Interest</w:t>
      </w:r>
      <w:r w:rsidR="002E68BF">
        <w:rPr>
          <w:rFonts w:ascii="Times New Roman" w:hAnsi="Times New Roman" w:cs="Times New Roman"/>
        </w:rPr>
        <w:t xml:space="preserve"> (4.3.9 of the report)</w:t>
      </w:r>
      <w:r w:rsidR="004F58B8">
        <w:rPr>
          <w:rFonts w:ascii="Times New Roman" w:hAnsi="Times New Roman" w:cs="Times New Roman"/>
        </w:rPr>
        <w:t xml:space="preserve">, as </w:t>
      </w:r>
      <w:r w:rsidR="00C31BB1">
        <w:rPr>
          <w:rFonts w:ascii="Times New Roman" w:hAnsi="Times New Roman" w:cs="Times New Roman"/>
        </w:rPr>
        <w:t>each</w:t>
      </w:r>
      <w:r w:rsidR="004F58B8">
        <w:rPr>
          <w:rFonts w:ascii="Times New Roman" w:hAnsi="Times New Roman" w:cs="Times New Roman"/>
        </w:rPr>
        <w:t xml:space="preserve"> pertains to New </w:t>
      </w:r>
      <w:proofErr w:type="spellStart"/>
      <w:r w:rsidR="004F58B8">
        <w:rPr>
          <w:rFonts w:ascii="Times New Roman" w:hAnsi="Times New Roman" w:cs="Times New Roman"/>
        </w:rPr>
        <w:t>gTLDs</w:t>
      </w:r>
      <w:proofErr w:type="spellEnd"/>
      <w:r w:rsidR="000550CA">
        <w:rPr>
          <w:rFonts w:ascii="Times New Roman" w:hAnsi="Times New Roman" w:cs="Times New Roman"/>
        </w:rPr>
        <w:t>.</w:t>
      </w:r>
      <w:r w:rsidR="00CB67B3">
        <w:rPr>
          <w:rFonts w:ascii="Times New Roman" w:hAnsi="Times New Roman" w:cs="Times New Roman"/>
        </w:rPr>
        <w:t xml:space="preserve"> Excerpts of each of these sections can be found in Annex A</w:t>
      </w:r>
      <w:r w:rsidR="00C31BB1">
        <w:rPr>
          <w:rFonts w:ascii="Times New Roman" w:hAnsi="Times New Roman" w:cs="Times New Roman"/>
        </w:rPr>
        <w:t xml:space="preserve"> to this letter</w:t>
      </w:r>
      <w:r w:rsidR="00CB67B3">
        <w:rPr>
          <w:rFonts w:ascii="Times New Roman" w:hAnsi="Times New Roman" w:cs="Times New Roman"/>
        </w:rPr>
        <w:t>.</w:t>
      </w:r>
    </w:p>
    <w:p w14:paraId="475F49F8" w14:textId="77777777" w:rsidR="000550CA" w:rsidRDefault="000550CA" w:rsidP="00F53A47">
      <w:pPr>
        <w:widowControl w:val="0"/>
        <w:autoSpaceDE w:val="0"/>
        <w:autoSpaceDN w:val="0"/>
        <w:adjustRightInd w:val="0"/>
        <w:rPr>
          <w:rFonts w:ascii="Times New Roman" w:hAnsi="Times New Roman" w:cs="Times New Roman"/>
        </w:rPr>
      </w:pPr>
    </w:p>
    <w:p w14:paraId="244CEF7E" w14:textId="7AE3B11D" w:rsidR="00786C07" w:rsidRDefault="000550CA" w:rsidP="00F53A47">
      <w:pPr>
        <w:widowControl w:val="0"/>
        <w:autoSpaceDE w:val="0"/>
        <w:autoSpaceDN w:val="0"/>
        <w:adjustRightInd w:val="0"/>
        <w:rPr>
          <w:rFonts w:ascii="Times New Roman" w:hAnsi="Times New Roman" w:cs="Times New Roman"/>
        </w:rPr>
      </w:pPr>
      <w:r>
        <w:rPr>
          <w:rFonts w:ascii="Times New Roman" w:hAnsi="Times New Roman" w:cs="Times New Roman"/>
        </w:rPr>
        <w:t>The GNSO Council would</w:t>
      </w:r>
      <w:r w:rsidR="00C31BB1">
        <w:rPr>
          <w:rFonts w:ascii="Times New Roman" w:hAnsi="Times New Roman" w:cs="Times New Roman"/>
        </w:rPr>
        <w:t>,</w:t>
      </w:r>
      <w:r>
        <w:rPr>
          <w:rFonts w:ascii="Times New Roman" w:hAnsi="Times New Roman" w:cs="Times New Roman"/>
        </w:rPr>
        <w:t xml:space="preserve"> </w:t>
      </w:r>
      <w:r w:rsidR="00786C07">
        <w:rPr>
          <w:rFonts w:ascii="Times New Roman" w:hAnsi="Times New Roman" w:cs="Times New Roman"/>
        </w:rPr>
        <w:t>however</w:t>
      </w:r>
      <w:r w:rsidR="00C31BB1">
        <w:rPr>
          <w:rFonts w:ascii="Times New Roman" w:hAnsi="Times New Roman" w:cs="Times New Roman"/>
        </w:rPr>
        <w:t>,</w:t>
      </w:r>
      <w:r w:rsidR="00786C07">
        <w:rPr>
          <w:rFonts w:ascii="Times New Roman" w:hAnsi="Times New Roman" w:cs="Times New Roman"/>
        </w:rPr>
        <w:t xml:space="preserve"> </w:t>
      </w:r>
      <w:r>
        <w:rPr>
          <w:rFonts w:ascii="Times New Roman" w:hAnsi="Times New Roman" w:cs="Times New Roman"/>
        </w:rPr>
        <w:t xml:space="preserve">like to take this opportunity to note that there are challenges </w:t>
      </w:r>
      <w:r w:rsidR="00786C07">
        <w:rPr>
          <w:rFonts w:ascii="Times New Roman" w:hAnsi="Times New Roman" w:cs="Times New Roman"/>
        </w:rPr>
        <w:t xml:space="preserve">related to the definition or scope of </w:t>
      </w:r>
      <w:r w:rsidR="00C31BB1">
        <w:rPr>
          <w:rFonts w:ascii="Times New Roman" w:hAnsi="Times New Roman" w:cs="Times New Roman"/>
        </w:rPr>
        <w:t>“</w:t>
      </w:r>
      <w:r w:rsidR="00786C07">
        <w:rPr>
          <w:rFonts w:ascii="Times New Roman" w:hAnsi="Times New Roman" w:cs="Times New Roman"/>
        </w:rPr>
        <w:t>global public interest</w:t>
      </w:r>
      <w:r w:rsidR="00C31BB1">
        <w:rPr>
          <w:rFonts w:ascii="Times New Roman" w:hAnsi="Times New Roman" w:cs="Times New Roman"/>
        </w:rPr>
        <w:t>”</w:t>
      </w:r>
      <w:r w:rsidR="00786C07">
        <w:rPr>
          <w:rFonts w:ascii="Times New Roman" w:hAnsi="Times New Roman" w:cs="Times New Roman"/>
        </w:rPr>
        <w:t xml:space="preserve">, as well as determining how </w:t>
      </w:r>
      <w:r w:rsidR="00C31BB1">
        <w:rPr>
          <w:rFonts w:ascii="Times New Roman" w:hAnsi="Times New Roman" w:cs="Times New Roman"/>
        </w:rPr>
        <w:t>this</w:t>
      </w:r>
      <w:r w:rsidR="00786C07">
        <w:rPr>
          <w:rFonts w:ascii="Times New Roman" w:hAnsi="Times New Roman" w:cs="Times New Roman"/>
        </w:rPr>
        <w:t xml:space="preserve"> should </w:t>
      </w:r>
      <w:r w:rsidR="008D418F">
        <w:rPr>
          <w:rFonts w:ascii="Times New Roman" w:hAnsi="Times New Roman" w:cs="Times New Roman"/>
        </w:rPr>
        <w:t xml:space="preserve">be </w:t>
      </w:r>
      <w:r w:rsidR="00786C07">
        <w:rPr>
          <w:rFonts w:ascii="Times New Roman" w:hAnsi="Times New Roman" w:cs="Times New Roman"/>
        </w:rPr>
        <w:t xml:space="preserve">integrated into the </w:t>
      </w:r>
      <w:proofErr w:type="gramStart"/>
      <w:r w:rsidR="00786C07">
        <w:rPr>
          <w:rFonts w:ascii="Times New Roman" w:hAnsi="Times New Roman" w:cs="Times New Roman"/>
        </w:rPr>
        <w:t>New</w:t>
      </w:r>
      <w:proofErr w:type="gramEnd"/>
      <w:r w:rsidR="00786C07">
        <w:rPr>
          <w:rFonts w:ascii="Times New Roman" w:hAnsi="Times New Roman" w:cs="Times New Roman"/>
        </w:rPr>
        <w:t xml:space="preserve"> </w:t>
      </w:r>
      <w:proofErr w:type="spellStart"/>
      <w:r w:rsidR="00786C07">
        <w:rPr>
          <w:rFonts w:ascii="Times New Roman" w:hAnsi="Times New Roman" w:cs="Times New Roman"/>
        </w:rPr>
        <w:t>gTLD</w:t>
      </w:r>
      <w:proofErr w:type="spellEnd"/>
      <w:r w:rsidR="00786C07">
        <w:rPr>
          <w:rFonts w:ascii="Times New Roman" w:hAnsi="Times New Roman" w:cs="Times New Roman"/>
        </w:rPr>
        <w:t xml:space="preserve"> Program, especially as it relates to exclusive registry access to generic strings. </w:t>
      </w:r>
      <w:r w:rsidR="00C31BB1">
        <w:rPr>
          <w:rFonts w:ascii="Times New Roman" w:hAnsi="Times New Roman" w:cs="Times New Roman"/>
        </w:rPr>
        <w:t>Therefore, w</w:t>
      </w:r>
      <w:r w:rsidR="008D418F">
        <w:rPr>
          <w:rFonts w:ascii="Times New Roman" w:hAnsi="Times New Roman" w:cs="Times New Roman"/>
        </w:rPr>
        <w:t>e</w:t>
      </w:r>
      <w:r w:rsidR="00786C07">
        <w:rPr>
          <w:rFonts w:ascii="Times New Roman" w:hAnsi="Times New Roman" w:cs="Times New Roman"/>
        </w:rPr>
        <w:t xml:space="preserve"> welcome any </w:t>
      </w:r>
      <w:r w:rsidR="00C31BB1">
        <w:rPr>
          <w:rFonts w:ascii="Times New Roman" w:hAnsi="Times New Roman" w:cs="Times New Roman"/>
        </w:rPr>
        <w:t xml:space="preserve">input that you or </w:t>
      </w:r>
      <w:r w:rsidR="00786C07">
        <w:rPr>
          <w:rFonts w:ascii="Times New Roman" w:hAnsi="Times New Roman" w:cs="Times New Roman"/>
        </w:rPr>
        <w:t xml:space="preserve">the ICANN Board may have on </w:t>
      </w:r>
      <w:r w:rsidR="00C31BB1">
        <w:rPr>
          <w:rFonts w:ascii="Times New Roman" w:hAnsi="Times New Roman" w:cs="Times New Roman"/>
        </w:rPr>
        <w:t>this</w:t>
      </w:r>
      <w:r w:rsidR="00786C07">
        <w:rPr>
          <w:rFonts w:ascii="Times New Roman" w:hAnsi="Times New Roman" w:cs="Times New Roman"/>
        </w:rPr>
        <w:t xml:space="preserve"> subject, which could be returned </w:t>
      </w:r>
      <w:r w:rsidR="00C31BB1">
        <w:rPr>
          <w:rFonts w:ascii="Times New Roman" w:hAnsi="Times New Roman" w:cs="Times New Roman"/>
        </w:rPr>
        <w:t xml:space="preserve">either </w:t>
      </w:r>
      <w:r w:rsidR="00786C07">
        <w:rPr>
          <w:rFonts w:ascii="Times New Roman" w:hAnsi="Times New Roman" w:cs="Times New Roman"/>
        </w:rPr>
        <w:t>via correspondence or perhaps a</w:t>
      </w:r>
      <w:r w:rsidR="008D418F">
        <w:rPr>
          <w:rFonts w:ascii="Times New Roman" w:hAnsi="Times New Roman" w:cs="Times New Roman"/>
        </w:rPr>
        <w:t>s</w:t>
      </w:r>
      <w:r w:rsidR="00786C07">
        <w:rPr>
          <w:rFonts w:ascii="Times New Roman" w:hAnsi="Times New Roman" w:cs="Times New Roman"/>
        </w:rPr>
        <w:t xml:space="preserve"> public comment to the Preliminary Issue Report. </w:t>
      </w:r>
    </w:p>
    <w:p w14:paraId="46C9CB6B" w14:textId="77777777" w:rsidR="00786C07" w:rsidRDefault="00786C07" w:rsidP="00F53A47">
      <w:pPr>
        <w:widowControl w:val="0"/>
        <w:autoSpaceDE w:val="0"/>
        <w:autoSpaceDN w:val="0"/>
        <w:adjustRightInd w:val="0"/>
        <w:rPr>
          <w:rFonts w:ascii="Times New Roman" w:hAnsi="Times New Roman" w:cs="Times New Roman"/>
        </w:rPr>
      </w:pPr>
    </w:p>
    <w:p w14:paraId="2DA59D2A" w14:textId="1F8B258C" w:rsidR="000550CA" w:rsidRDefault="00C31BB1" w:rsidP="00F53A47">
      <w:pPr>
        <w:widowControl w:val="0"/>
        <w:autoSpaceDE w:val="0"/>
        <w:autoSpaceDN w:val="0"/>
        <w:adjustRightInd w:val="0"/>
        <w:rPr>
          <w:rFonts w:ascii="Times New Roman" w:hAnsi="Times New Roman" w:cs="Times New Roman"/>
        </w:rPr>
      </w:pPr>
      <w:r>
        <w:rPr>
          <w:rFonts w:ascii="Times New Roman" w:hAnsi="Times New Roman" w:cs="Times New Roman"/>
        </w:rPr>
        <w:t>Further, t</w:t>
      </w:r>
      <w:r w:rsidR="00786C07">
        <w:rPr>
          <w:rFonts w:ascii="Times New Roman" w:hAnsi="Times New Roman" w:cs="Times New Roman"/>
        </w:rPr>
        <w:t>he GNSO Council note</w:t>
      </w:r>
      <w:r>
        <w:rPr>
          <w:rFonts w:ascii="Times New Roman" w:hAnsi="Times New Roman" w:cs="Times New Roman"/>
        </w:rPr>
        <w:t>s</w:t>
      </w:r>
      <w:r w:rsidR="00786C07">
        <w:rPr>
          <w:rFonts w:ascii="Times New Roman" w:hAnsi="Times New Roman" w:cs="Times New Roman"/>
        </w:rPr>
        <w:t xml:space="preserve"> that</w:t>
      </w:r>
      <w:r>
        <w:rPr>
          <w:rFonts w:ascii="Times New Roman" w:hAnsi="Times New Roman" w:cs="Times New Roman"/>
        </w:rPr>
        <w:t>,</w:t>
      </w:r>
      <w:r w:rsidR="008D418F">
        <w:rPr>
          <w:rFonts w:ascii="Times New Roman" w:hAnsi="Times New Roman" w:cs="Times New Roman"/>
        </w:rPr>
        <w:t xml:space="preserve"> within</w:t>
      </w:r>
      <w:r w:rsidR="00786C07">
        <w:rPr>
          <w:rFonts w:ascii="Times New Roman" w:hAnsi="Times New Roman" w:cs="Times New Roman"/>
        </w:rPr>
        <w:t xml:space="preserve"> </w:t>
      </w:r>
      <w:r w:rsidR="008D418F">
        <w:rPr>
          <w:rFonts w:ascii="Times New Roman" w:hAnsi="Times New Roman" w:cs="Times New Roman"/>
        </w:rPr>
        <w:t>ICANN</w:t>
      </w:r>
      <w:r>
        <w:rPr>
          <w:rFonts w:ascii="Times New Roman" w:hAnsi="Times New Roman" w:cs="Times New Roman"/>
        </w:rPr>
        <w:t xml:space="preserve"> and associated with </w:t>
      </w:r>
      <w:r w:rsidR="008D418F">
        <w:rPr>
          <w:rFonts w:ascii="Times New Roman" w:hAnsi="Times New Roman" w:cs="Times New Roman"/>
        </w:rPr>
        <w:t>ICANN’s Strategic Plan</w:t>
      </w:r>
      <w:r>
        <w:rPr>
          <w:rFonts w:ascii="Times New Roman" w:hAnsi="Times New Roman" w:cs="Times New Roman"/>
        </w:rPr>
        <w:t>ning</w:t>
      </w:r>
      <w:r w:rsidR="008D418F">
        <w:rPr>
          <w:rFonts w:ascii="Times New Roman" w:hAnsi="Times New Roman" w:cs="Times New Roman"/>
        </w:rPr>
        <w:t xml:space="preserve">, there is currently an effort to develop and implement a global public interest framework bounded by ICANN's mission. The GNSO Council intends to keep current with these efforts to determine how they may influence the GNSO’s work, especially as it relates to </w:t>
      </w:r>
      <w:proofErr w:type="gramStart"/>
      <w:r w:rsidR="008D418F">
        <w:rPr>
          <w:rFonts w:ascii="Times New Roman" w:hAnsi="Times New Roman" w:cs="Times New Roman"/>
        </w:rPr>
        <w:t>New</w:t>
      </w:r>
      <w:proofErr w:type="gramEnd"/>
      <w:r w:rsidR="008D418F">
        <w:rPr>
          <w:rFonts w:ascii="Times New Roman" w:hAnsi="Times New Roman" w:cs="Times New Roman"/>
        </w:rPr>
        <w:t xml:space="preserve"> </w:t>
      </w:r>
      <w:proofErr w:type="spellStart"/>
      <w:r w:rsidR="008D418F">
        <w:rPr>
          <w:rFonts w:ascii="Times New Roman" w:hAnsi="Times New Roman" w:cs="Times New Roman"/>
        </w:rPr>
        <w:t>gTLDs</w:t>
      </w:r>
      <w:proofErr w:type="spellEnd"/>
      <w:r w:rsidR="008D418F">
        <w:rPr>
          <w:rFonts w:ascii="Times New Roman" w:hAnsi="Times New Roman" w:cs="Times New Roman"/>
        </w:rPr>
        <w:t>.</w:t>
      </w:r>
    </w:p>
    <w:p w14:paraId="74DD1F32" w14:textId="77777777" w:rsidR="008D418F" w:rsidRDefault="008D418F" w:rsidP="00F53A47">
      <w:pPr>
        <w:widowControl w:val="0"/>
        <w:autoSpaceDE w:val="0"/>
        <w:autoSpaceDN w:val="0"/>
        <w:adjustRightInd w:val="0"/>
        <w:rPr>
          <w:rFonts w:ascii="Times New Roman" w:hAnsi="Times New Roman" w:cs="Times New Roman"/>
        </w:rPr>
      </w:pPr>
    </w:p>
    <w:p w14:paraId="248712EE" w14:textId="3C6F6409" w:rsidR="008D418F" w:rsidRDefault="008D418F" w:rsidP="00F53A47">
      <w:pPr>
        <w:widowControl w:val="0"/>
        <w:autoSpaceDE w:val="0"/>
        <w:autoSpaceDN w:val="0"/>
        <w:adjustRightInd w:val="0"/>
        <w:rPr>
          <w:rFonts w:ascii="Times New Roman" w:hAnsi="Times New Roman" w:cs="Times New Roman"/>
        </w:rPr>
      </w:pPr>
      <w:r>
        <w:rPr>
          <w:rFonts w:ascii="Times New Roman" w:hAnsi="Times New Roman" w:cs="Times New Roman"/>
        </w:rPr>
        <w:t>Thank you for your interest in this subject.</w:t>
      </w:r>
    </w:p>
    <w:p w14:paraId="00D3123D" w14:textId="77777777" w:rsidR="008D418F" w:rsidRDefault="008D418F" w:rsidP="00F53A47">
      <w:pPr>
        <w:widowControl w:val="0"/>
        <w:autoSpaceDE w:val="0"/>
        <w:autoSpaceDN w:val="0"/>
        <w:adjustRightInd w:val="0"/>
        <w:rPr>
          <w:rFonts w:ascii="Times New Roman" w:hAnsi="Times New Roman" w:cs="Times New Roman"/>
        </w:rPr>
      </w:pPr>
    </w:p>
    <w:p w14:paraId="6202B5AD" w14:textId="3AFD1E9B" w:rsidR="008D418F" w:rsidRDefault="008D418F" w:rsidP="00F53A47">
      <w:pPr>
        <w:widowControl w:val="0"/>
        <w:autoSpaceDE w:val="0"/>
        <w:autoSpaceDN w:val="0"/>
        <w:adjustRightInd w:val="0"/>
        <w:rPr>
          <w:rFonts w:ascii="Times New Roman" w:hAnsi="Times New Roman" w:cs="Times New Roman"/>
        </w:rPr>
      </w:pPr>
      <w:r>
        <w:rPr>
          <w:rFonts w:ascii="Times New Roman" w:hAnsi="Times New Roman" w:cs="Times New Roman"/>
        </w:rPr>
        <w:t>Sincerely,</w:t>
      </w:r>
    </w:p>
    <w:p w14:paraId="1D009913" w14:textId="77777777" w:rsidR="008D418F" w:rsidRDefault="008D418F" w:rsidP="00F53A47">
      <w:pPr>
        <w:widowControl w:val="0"/>
        <w:autoSpaceDE w:val="0"/>
        <w:autoSpaceDN w:val="0"/>
        <w:adjustRightInd w:val="0"/>
        <w:rPr>
          <w:rFonts w:ascii="Times New Roman" w:hAnsi="Times New Roman" w:cs="Times New Roman"/>
        </w:rPr>
      </w:pPr>
    </w:p>
    <w:p w14:paraId="382C26C1" w14:textId="77777777" w:rsidR="00C31BB1" w:rsidRDefault="00C31BB1" w:rsidP="00F53A47">
      <w:pPr>
        <w:widowControl w:val="0"/>
        <w:autoSpaceDE w:val="0"/>
        <w:autoSpaceDN w:val="0"/>
        <w:adjustRightInd w:val="0"/>
        <w:rPr>
          <w:rFonts w:ascii="Times New Roman" w:hAnsi="Times New Roman" w:cs="Times New Roman"/>
        </w:rPr>
      </w:pPr>
    </w:p>
    <w:p w14:paraId="10D78B1D" w14:textId="77777777" w:rsidR="00C31BB1" w:rsidRDefault="00C31BB1" w:rsidP="00F53A47">
      <w:pPr>
        <w:widowControl w:val="0"/>
        <w:autoSpaceDE w:val="0"/>
        <w:autoSpaceDN w:val="0"/>
        <w:adjustRightInd w:val="0"/>
        <w:rPr>
          <w:rFonts w:ascii="Times New Roman" w:hAnsi="Times New Roman" w:cs="Times New Roman"/>
        </w:rPr>
      </w:pPr>
    </w:p>
    <w:p w14:paraId="20CB753D" w14:textId="77777777" w:rsidR="008D418F" w:rsidRDefault="008D418F" w:rsidP="00F53A47">
      <w:pPr>
        <w:widowControl w:val="0"/>
        <w:autoSpaceDE w:val="0"/>
        <w:autoSpaceDN w:val="0"/>
        <w:adjustRightInd w:val="0"/>
        <w:rPr>
          <w:rFonts w:ascii="Times New Roman" w:hAnsi="Times New Roman" w:cs="Times New Roman"/>
        </w:rPr>
      </w:pPr>
      <w:r>
        <w:rPr>
          <w:rFonts w:ascii="Times New Roman" w:hAnsi="Times New Roman" w:cs="Times New Roman"/>
        </w:rPr>
        <w:t>Jonathan Robinson</w:t>
      </w:r>
    </w:p>
    <w:p w14:paraId="1B8BFCB3" w14:textId="6FB263FB" w:rsidR="008D418F" w:rsidRDefault="008D418F" w:rsidP="00F53A47">
      <w:pPr>
        <w:widowControl w:val="0"/>
        <w:autoSpaceDE w:val="0"/>
        <w:autoSpaceDN w:val="0"/>
        <w:adjustRightInd w:val="0"/>
        <w:rPr>
          <w:rFonts w:ascii="Times New Roman" w:hAnsi="Times New Roman" w:cs="Times New Roman"/>
        </w:rPr>
      </w:pPr>
      <w:r>
        <w:rPr>
          <w:rFonts w:ascii="Times New Roman" w:hAnsi="Times New Roman" w:cs="Times New Roman"/>
        </w:rPr>
        <w:t>Chair, ICANN GNSO Council</w:t>
      </w:r>
    </w:p>
    <w:p w14:paraId="458B2794" w14:textId="5F66BFD9" w:rsidR="002E68BF" w:rsidRDefault="002E68BF">
      <w:pPr>
        <w:rPr>
          <w:rFonts w:ascii="Times New Roman" w:hAnsi="Times New Roman" w:cs="Times New Roman"/>
        </w:rPr>
      </w:pPr>
      <w:r>
        <w:rPr>
          <w:rFonts w:ascii="Times New Roman" w:hAnsi="Times New Roman" w:cs="Times New Roman"/>
        </w:rPr>
        <w:br w:type="page"/>
      </w:r>
    </w:p>
    <w:p w14:paraId="03DAC113" w14:textId="6722E269" w:rsidR="000550CA" w:rsidRDefault="002E68BF" w:rsidP="002E68BF">
      <w:pPr>
        <w:pStyle w:val="Heading1"/>
      </w:pPr>
      <w:r>
        <w:lastRenderedPageBreak/>
        <w:t>Annex A</w:t>
      </w:r>
    </w:p>
    <w:p w14:paraId="4054C50A" w14:textId="77777777" w:rsidR="002E68BF" w:rsidRDefault="002E68BF" w:rsidP="002E68BF"/>
    <w:p w14:paraId="572AD17A" w14:textId="7E77A2CE" w:rsidR="002E68BF" w:rsidRDefault="002E68BF" w:rsidP="002E68BF">
      <w:r>
        <w:t xml:space="preserve">Sections 4.3.9 on Global Public Interest and 4.3.11 on Closed Generics as found in the Preliminary Issue Report on New </w:t>
      </w:r>
      <w:proofErr w:type="spellStart"/>
      <w:r>
        <w:t>gTLD</w:t>
      </w:r>
      <w:proofErr w:type="spellEnd"/>
      <w:r>
        <w:t xml:space="preserve"> Subsequent Procedures</w:t>
      </w:r>
      <w:r w:rsidR="002D1983">
        <w:rPr>
          <w:rStyle w:val="FootnoteReference"/>
        </w:rPr>
        <w:footnoteReference w:id="1"/>
      </w:r>
      <w:r w:rsidR="002D1983">
        <w:t xml:space="preserve"> are available below:</w:t>
      </w:r>
    </w:p>
    <w:p w14:paraId="05FCDE65" w14:textId="77777777" w:rsidR="002E68BF" w:rsidRDefault="002E68BF" w:rsidP="002E68BF"/>
    <w:p w14:paraId="13E6517D" w14:textId="77777777" w:rsidR="002E68BF" w:rsidRDefault="002E68BF" w:rsidP="002E68BF">
      <w:pPr>
        <w:pStyle w:val="Heading3"/>
      </w:pPr>
      <w:r>
        <w:t>4.3.9 Global Public Interest</w:t>
      </w:r>
    </w:p>
    <w:p w14:paraId="05D0E22F" w14:textId="77777777" w:rsidR="002E68BF" w:rsidRPr="00515A75" w:rsidRDefault="002E68BF" w:rsidP="002E68BF"/>
    <w:p w14:paraId="3981DA46" w14:textId="77777777" w:rsidR="002E68BF" w:rsidRPr="00515A75" w:rsidRDefault="002E68BF" w:rsidP="002E68BF">
      <w:pPr>
        <w:pStyle w:val="ListParagraph"/>
        <w:numPr>
          <w:ilvl w:val="0"/>
          <w:numId w:val="1"/>
        </w:numPr>
        <w:ind w:left="0"/>
        <w:rPr>
          <w:i/>
        </w:rPr>
      </w:pPr>
      <w:r>
        <w:rPr>
          <w:i/>
        </w:rPr>
        <w:t>4.3.9.1 Explanation of Subject</w:t>
      </w:r>
    </w:p>
    <w:p w14:paraId="459F87EC" w14:textId="77777777" w:rsidR="002E68BF" w:rsidRDefault="002E68BF" w:rsidP="002E68BF"/>
    <w:p w14:paraId="142E3012" w14:textId="77777777" w:rsidR="002E68BF" w:rsidRDefault="002E68BF" w:rsidP="002E68BF">
      <w:r>
        <w:t xml:space="preserve">One of the governing elements in introducing new </w:t>
      </w:r>
      <w:proofErr w:type="spellStart"/>
      <w:r>
        <w:t>gTLDs</w:t>
      </w:r>
      <w:proofErr w:type="spellEnd"/>
      <w:r>
        <w:t xml:space="preserve"> was that they adhere to ICANN’s Mission and Core Values, with the subject of Global Public Interest specifically identified in Article 1, Section 2.6, which states:</w:t>
      </w:r>
    </w:p>
    <w:p w14:paraId="4AF6D304" w14:textId="77777777" w:rsidR="002E68BF" w:rsidRDefault="002E68BF" w:rsidP="002E68BF"/>
    <w:p w14:paraId="7A0A2E4B" w14:textId="77777777" w:rsidR="002E68BF" w:rsidRPr="004009BA" w:rsidRDefault="002E68BF" w:rsidP="002E68BF">
      <w:pPr>
        <w:ind w:left="720"/>
        <w:rPr>
          <w:i/>
        </w:rPr>
      </w:pPr>
      <w:r w:rsidRPr="004009BA">
        <w:rPr>
          <w:i/>
        </w:rPr>
        <w:t>Introducing and promoting competition in the registration of domain names where practicable and beneficial in the public interest.</w:t>
      </w:r>
    </w:p>
    <w:p w14:paraId="739EFE63" w14:textId="77777777" w:rsidR="002E68BF" w:rsidRDefault="002E68BF" w:rsidP="002E68BF"/>
    <w:p w14:paraId="359201A5" w14:textId="77777777" w:rsidR="002E68BF" w:rsidRDefault="002E68BF" w:rsidP="002E68BF">
      <w:r>
        <w:t xml:space="preserve">The 2007 Final Report did not attempt to define, or measure the impact of the introduction of new </w:t>
      </w:r>
      <w:proofErr w:type="spellStart"/>
      <w:r>
        <w:t>gTLDs</w:t>
      </w:r>
      <w:proofErr w:type="spellEnd"/>
      <w:r>
        <w:t xml:space="preserve"> on the public interest. Only Recommendation 6 appeared to provide guidance on the subject, though it was limited to the composition of the string, not regarding the behavior of the registry:</w:t>
      </w:r>
    </w:p>
    <w:p w14:paraId="3D55DD26" w14:textId="77777777" w:rsidR="002E68BF" w:rsidRDefault="002E68BF" w:rsidP="002E68BF"/>
    <w:p w14:paraId="2211DC37" w14:textId="77777777" w:rsidR="002E68BF" w:rsidRPr="004009BA" w:rsidRDefault="002E68BF" w:rsidP="002E68BF">
      <w:pPr>
        <w:ind w:left="720"/>
        <w:rPr>
          <w:i/>
        </w:rPr>
      </w:pPr>
      <w:r w:rsidRPr="004009BA">
        <w:rPr>
          <w:i/>
        </w:rPr>
        <w:t>Strings must not be contrary to generally accepted legal norms relating to morality and public order that are recognized under international principles of law.</w:t>
      </w:r>
    </w:p>
    <w:p w14:paraId="2239E28E" w14:textId="77777777" w:rsidR="002E68BF" w:rsidRPr="004009BA" w:rsidRDefault="002E68BF" w:rsidP="002E68BF">
      <w:pPr>
        <w:ind w:left="720"/>
        <w:rPr>
          <w:i/>
        </w:rPr>
      </w:pPr>
    </w:p>
    <w:p w14:paraId="21B51A62" w14:textId="77777777" w:rsidR="002E68BF" w:rsidRPr="004009BA" w:rsidRDefault="002E68BF" w:rsidP="002E68BF">
      <w:pPr>
        <w:ind w:left="720"/>
        <w:rPr>
          <w:i/>
        </w:rPr>
      </w:pPr>
      <w:r w:rsidRPr="004009BA">
        <w:rPr>
          <w:i/>
        </w:rPr>
        <w:t xml:space="preserve">Examples of such principles of law include, but are not limited to, the Universal Declaration of Human Rights (UDHR), the International Covenant on Civil and Political Rights (ICCPR), the Convention on the Elimination of All Forms of Discrimination Against Women (CEDAW) and the International Convention on the Elimination of All Forms of Racial Discrimination, intellectual property treaties administered by the World Intellectual Property </w:t>
      </w:r>
      <w:proofErr w:type="spellStart"/>
      <w:r w:rsidRPr="004009BA">
        <w:rPr>
          <w:i/>
        </w:rPr>
        <w:t>Organisation</w:t>
      </w:r>
      <w:proofErr w:type="spellEnd"/>
      <w:r w:rsidRPr="004009BA">
        <w:rPr>
          <w:i/>
        </w:rPr>
        <w:t xml:space="preserve"> (WIPO) and the WTO Agreement on Trade-Related Aspects of Intellectual Property (TRIPS).</w:t>
      </w:r>
    </w:p>
    <w:p w14:paraId="3BC1EF4E" w14:textId="77777777" w:rsidR="002E68BF" w:rsidRDefault="002E68BF" w:rsidP="002E68BF"/>
    <w:p w14:paraId="1A0644AD" w14:textId="77777777" w:rsidR="002E68BF" w:rsidRPr="00515A75" w:rsidRDefault="002E68BF" w:rsidP="002E68BF">
      <w:pPr>
        <w:pStyle w:val="ListParagraph"/>
        <w:numPr>
          <w:ilvl w:val="0"/>
          <w:numId w:val="1"/>
        </w:numPr>
        <w:ind w:left="0"/>
        <w:rPr>
          <w:i/>
        </w:rPr>
      </w:pPr>
      <w:r>
        <w:rPr>
          <w:i/>
        </w:rPr>
        <w:t>4.3.9.2 Questions and Concerns Related to Subject</w:t>
      </w:r>
    </w:p>
    <w:p w14:paraId="7D85634E" w14:textId="77777777" w:rsidR="002E68BF" w:rsidRDefault="002E68BF" w:rsidP="002E68BF"/>
    <w:p w14:paraId="013FABF7" w14:textId="77777777" w:rsidR="002E68BF" w:rsidRDefault="002E68BF" w:rsidP="002E68BF">
      <w:r>
        <w:t xml:space="preserve">The ICANN Board provided suggestions on areas for possible policy work in Annex A to a resolution passed on 17 November 2014 on Planning for Future </w:t>
      </w:r>
      <w:proofErr w:type="spellStart"/>
      <w:r>
        <w:t>gTLD</w:t>
      </w:r>
      <w:proofErr w:type="spellEnd"/>
      <w:r>
        <w:t xml:space="preserve"> Application Rounds</w:t>
      </w:r>
      <w:r>
        <w:rPr>
          <w:rStyle w:val="FootnoteReference"/>
        </w:rPr>
        <w:footnoteReference w:id="2"/>
      </w:r>
      <w:r>
        <w:t>. One of those areas identified was focused on “public interest guidance”, which the DG found to capture their issue sufficiently and succinctly:</w:t>
      </w:r>
    </w:p>
    <w:p w14:paraId="02B4C354" w14:textId="77777777" w:rsidR="002E68BF" w:rsidRDefault="002E68BF" w:rsidP="002E68BF"/>
    <w:p w14:paraId="6BB62184" w14:textId="77777777" w:rsidR="002E68BF" w:rsidRDefault="002E68BF" w:rsidP="002E68BF">
      <w:pPr>
        <w:ind w:left="720"/>
        <w:rPr>
          <w:i/>
        </w:rPr>
      </w:pPr>
      <w:r w:rsidRPr="004009BA">
        <w:rPr>
          <w:i/>
        </w:rPr>
        <w:lastRenderedPageBreak/>
        <w:t xml:space="preserve">The New </w:t>
      </w:r>
      <w:proofErr w:type="spellStart"/>
      <w:r w:rsidRPr="004009BA">
        <w:rPr>
          <w:i/>
        </w:rPr>
        <w:t>gTLD</w:t>
      </w:r>
      <w:proofErr w:type="spellEnd"/>
      <w:r w:rsidRPr="004009BA">
        <w:rPr>
          <w:i/>
        </w:rPr>
        <w:t xml:space="preserve"> Program was developed in the spirit of advancing the public interest; however, existing policy advice does not define the application of “public interest” analysis as a guideline for evaluation determinations on individual applications. Issues such as those identified in GAC advice on safeguards, the development of Public Interest Commitments (PICs), and associated questions of contractual commitment and enforcement may be an area for policy development.</w:t>
      </w:r>
    </w:p>
    <w:p w14:paraId="4530AC8A" w14:textId="77777777" w:rsidR="002E68BF" w:rsidRDefault="002E68BF" w:rsidP="002E68BF">
      <w:pPr>
        <w:ind w:left="360"/>
        <w:rPr>
          <w:i/>
        </w:rPr>
      </w:pPr>
    </w:p>
    <w:p w14:paraId="775804B8" w14:textId="77777777" w:rsidR="002E68BF" w:rsidRPr="00116120" w:rsidRDefault="002E68BF" w:rsidP="002E68BF">
      <w:r>
        <w:t xml:space="preserve">Section </w:t>
      </w:r>
      <w:r w:rsidRPr="00D0085C">
        <w:t>4.4.1</w:t>
      </w:r>
      <w:r>
        <w:t xml:space="preserve"> on </w:t>
      </w:r>
      <w:r w:rsidRPr="00116120">
        <w:t>Applicant Freedom of Expression</w:t>
      </w:r>
      <w:r>
        <w:rPr>
          <w:rFonts w:ascii="Lucida Grande" w:hAnsi="Lucida Grande" w:cs="Lucida Grande"/>
          <w:color w:val="000000"/>
        </w:rPr>
        <w:t xml:space="preserve"> </w:t>
      </w:r>
      <w:r>
        <w:t>contains substantial analysis around human rights and the global public interest and may be of some use to the discussion around this subject.</w:t>
      </w:r>
    </w:p>
    <w:p w14:paraId="06B9F7D7" w14:textId="77777777" w:rsidR="002E68BF" w:rsidRDefault="002E68BF" w:rsidP="002E68BF"/>
    <w:p w14:paraId="2765A349" w14:textId="77777777" w:rsidR="002E68BF" w:rsidRPr="00515A75" w:rsidRDefault="002E68BF" w:rsidP="002E68BF">
      <w:pPr>
        <w:pStyle w:val="ListParagraph"/>
        <w:numPr>
          <w:ilvl w:val="0"/>
          <w:numId w:val="1"/>
        </w:numPr>
        <w:ind w:left="0"/>
        <w:rPr>
          <w:i/>
        </w:rPr>
      </w:pPr>
      <w:r>
        <w:rPr>
          <w:i/>
        </w:rPr>
        <w:t xml:space="preserve">4.3.9.3 </w:t>
      </w:r>
      <w:r w:rsidRPr="00515A75">
        <w:rPr>
          <w:i/>
        </w:rPr>
        <w:t>Relevant Guidance</w:t>
      </w:r>
    </w:p>
    <w:p w14:paraId="0135F97F" w14:textId="77777777" w:rsidR="002E68BF" w:rsidRDefault="002E68BF" w:rsidP="002E68BF">
      <w:pPr>
        <w:pStyle w:val="ListParagraph"/>
        <w:ind w:left="0"/>
      </w:pPr>
    </w:p>
    <w:p w14:paraId="0EB125AD" w14:textId="77777777" w:rsidR="002E68BF" w:rsidRDefault="002E68BF" w:rsidP="002E68BF">
      <w:pPr>
        <w:pStyle w:val="ListParagraph"/>
        <w:numPr>
          <w:ilvl w:val="1"/>
          <w:numId w:val="1"/>
        </w:numPr>
      </w:pPr>
      <w:r>
        <w:t xml:space="preserve">Annex A - </w:t>
      </w:r>
      <w:hyperlink r:id="rId9" w:history="1">
        <w:r w:rsidRPr="007F1385">
          <w:rPr>
            <w:rStyle w:val="Hyperlink"/>
          </w:rPr>
          <w:t>https://www.icann.org/en/system/files/files/resolutions-annex-a-17nov14-en.pdf</w:t>
        </w:r>
      </w:hyperlink>
    </w:p>
    <w:p w14:paraId="3CFF1B97" w14:textId="77777777" w:rsidR="002E68BF" w:rsidRDefault="002E68BF" w:rsidP="002E68BF"/>
    <w:p w14:paraId="21D2489C" w14:textId="77777777" w:rsidR="002E68BF" w:rsidRDefault="002E68BF" w:rsidP="002E68BF">
      <w:pPr>
        <w:pStyle w:val="ListParagraph"/>
        <w:numPr>
          <w:ilvl w:val="0"/>
          <w:numId w:val="1"/>
        </w:numPr>
        <w:ind w:left="0"/>
        <w:rPr>
          <w:i/>
        </w:rPr>
      </w:pPr>
      <w:r>
        <w:rPr>
          <w:i/>
        </w:rPr>
        <w:t xml:space="preserve">4.3.9.4 </w:t>
      </w:r>
      <w:r w:rsidRPr="00515A75">
        <w:rPr>
          <w:i/>
        </w:rPr>
        <w:t>Rationale for Policy Development</w:t>
      </w:r>
    </w:p>
    <w:p w14:paraId="1B385540" w14:textId="77777777" w:rsidR="002E68BF" w:rsidRDefault="002E68BF" w:rsidP="002E68BF">
      <w:pPr>
        <w:rPr>
          <w:i/>
        </w:rPr>
      </w:pPr>
    </w:p>
    <w:p w14:paraId="5B2B4427" w14:textId="77777777" w:rsidR="002E68BF" w:rsidRDefault="002E68BF" w:rsidP="002E68BF">
      <w:r>
        <w:t xml:space="preserve">ICANN’s mission is primarily of a technical coordination role, though its core values note that in carrying out this mission, it should done in a fashion that takes into account the public interest. A potential PDP-WG on New </w:t>
      </w:r>
      <w:proofErr w:type="spellStart"/>
      <w:r>
        <w:t>gTLD</w:t>
      </w:r>
      <w:proofErr w:type="spellEnd"/>
      <w:r>
        <w:t xml:space="preserve"> Subsequent Procedures may want to consider the issues identified above for possible policy development.  </w:t>
      </w:r>
    </w:p>
    <w:p w14:paraId="25E26615" w14:textId="77777777" w:rsidR="002E68BF" w:rsidRDefault="002E68BF" w:rsidP="002E68BF"/>
    <w:p w14:paraId="79730C44" w14:textId="77777777" w:rsidR="002E68BF" w:rsidRPr="00515A75" w:rsidRDefault="002E68BF" w:rsidP="002E68BF">
      <w:r>
        <w:t xml:space="preserve">It should be noted that the discussion of global public interest is not isolated to the </w:t>
      </w:r>
      <w:proofErr w:type="gramStart"/>
      <w:r>
        <w:t>New</w:t>
      </w:r>
      <w:proofErr w:type="gramEnd"/>
      <w:r>
        <w:t xml:space="preserve"> </w:t>
      </w:r>
      <w:proofErr w:type="spellStart"/>
      <w:r>
        <w:t>gTLD</w:t>
      </w:r>
      <w:proofErr w:type="spellEnd"/>
      <w:r>
        <w:t xml:space="preserve"> Program and is possibly beyond the scope of this potential PDP-WG on New </w:t>
      </w:r>
      <w:proofErr w:type="spellStart"/>
      <w:r>
        <w:t>gTLD</w:t>
      </w:r>
      <w:proofErr w:type="spellEnd"/>
      <w:r>
        <w:t xml:space="preserve"> Subsequent Procedures. It may be more appropriate to integrate the definition of global public interest and ICANN’s policies towards those interests, which would presumably be developed within the wider community. In particular, the development and implementation of a global public interest framework is part of ICANN’s Strategic Plan</w:t>
      </w:r>
      <w:r>
        <w:rPr>
          <w:rStyle w:val="FootnoteReference"/>
        </w:rPr>
        <w:footnoteReference w:id="3"/>
      </w:r>
      <w:r>
        <w:t xml:space="preserve"> and the work related to this effort should be taken into account during PDP-WG deliberations.</w:t>
      </w:r>
    </w:p>
    <w:p w14:paraId="6AE2A524" w14:textId="77777777" w:rsidR="002E68BF" w:rsidRDefault="002E68BF" w:rsidP="002E68BF">
      <w:pPr>
        <w:pBdr>
          <w:bottom w:val="single" w:sz="6" w:space="1" w:color="auto"/>
        </w:pBdr>
      </w:pPr>
    </w:p>
    <w:p w14:paraId="11D5EE7C" w14:textId="77777777" w:rsidR="002E68BF" w:rsidRDefault="002E68BF" w:rsidP="002E68BF">
      <w:pPr>
        <w:pBdr>
          <w:bottom w:val="single" w:sz="6" w:space="1" w:color="auto"/>
        </w:pBdr>
      </w:pPr>
    </w:p>
    <w:p w14:paraId="68097AB3" w14:textId="77777777" w:rsidR="002E68BF" w:rsidRDefault="002E68BF" w:rsidP="002E68BF"/>
    <w:p w14:paraId="6E1202DB" w14:textId="77777777" w:rsidR="002E68BF" w:rsidRDefault="002E68BF" w:rsidP="002E68BF">
      <w:pPr>
        <w:pStyle w:val="Heading3"/>
      </w:pPr>
      <w:r>
        <w:t>4.3.11 Closed Generics</w:t>
      </w:r>
    </w:p>
    <w:p w14:paraId="44047356" w14:textId="77777777" w:rsidR="002E68BF" w:rsidRPr="00515A75" w:rsidRDefault="002E68BF" w:rsidP="002E68BF">
      <w:pPr>
        <w:tabs>
          <w:tab w:val="left" w:pos="6395"/>
        </w:tabs>
      </w:pPr>
      <w:r>
        <w:tab/>
      </w:r>
    </w:p>
    <w:p w14:paraId="79C973BE" w14:textId="77777777" w:rsidR="002E68BF" w:rsidRDefault="002E68BF" w:rsidP="002E68BF">
      <w:pPr>
        <w:pStyle w:val="ListParagraph"/>
        <w:numPr>
          <w:ilvl w:val="0"/>
          <w:numId w:val="1"/>
        </w:numPr>
        <w:ind w:left="0"/>
        <w:rPr>
          <w:i/>
        </w:rPr>
      </w:pPr>
      <w:r>
        <w:rPr>
          <w:i/>
        </w:rPr>
        <w:t>4.3.11.1 Explanation of Subject</w:t>
      </w:r>
    </w:p>
    <w:p w14:paraId="406A477E" w14:textId="77777777" w:rsidR="002E68BF" w:rsidRDefault="002E68BF" w:rsidP="002E68BF">
      <w:pPr>
        <w:rPr>
          <w:i/>
        </w:rPr>
      </w:pPr>
    </w:p>
    <w:p w14:paraId="48459633" w14:textId="77777777" w:rsidR="002E68BF" w:rsidRDefault="002E68BF" w:rsidP="002E68BF">
      <w:r>
        <w:t xml:space="preserve">The 2007 Final Report did not provide guidance related to closed generics (e.g., restrictions on registration policies) and consequently, the AGB did not necessarily </w:t>
      </w:r>
      <w:r>
        <w:lastRenderedPageBreak/>
        <w:t>provide specific specifications or guidelines on the issue. However, the base agreement did include a provision that allowed an exemption to the Registry Operator Code of Conduct in specific instances:</w:t>
      </w:r>
    </w:p>
    <w:p w14:paraId="309FEBCF" w14:textId="77777777" w:rsidR="002E68BF" w:rsidRDefault="002E68BF" w:rsidP="002E68BF"/>
    <w:p w14:paraId="02263068" w14:textId="77777777" w:rsidR="002E68BF" w:rsidRPr="00C843C4" w:rsidRDefault="002E68BF" w:rsidP="002E68BF">
      <w:pPr>
        <w:ind w:left="720"/>
        <w:rPr>
          <w:i/>
        </w:rPr>
      </w:pPr>
      <w:r w:rsidRPr="00C843C4">
        <w:rPr>
          <w:i/>
        </w:rPr>
        <w:t>Registry Operator may request an exemption to this Code of Conduct, and such</w:t>
      </w:r>
      <w:r>
        <w:rPr>
          <w:i/>
        </w:rPr>
        <w:t xml:space="preserve"> e</w:t>
      </w:r>
      <w:r w:rsidRPr="00C843C4">
        <w:rPr>
          <w:i/>
        </w:rPr>
        <w:t>xemption may be granted by ICANN in ICANN’s reasonable discretion, if Registry Operator demonstrates to ICANN’s reasonable satisfaction that (</w:t>
      </w:r>
      <w:proofErr w:type="spellStart"/>
      <w:r w:rsidRPr="00C843C4">
        <w:rPr>
          <w:i/>
        </w:rPr>
        <w:t>i</w:t>
      </w:r>
      <w:proofErr w:type="spellEnd"/>
      <w:r w:rsidRPr="00C843C4">
        <w:rPr>
          <w:i/>
        </w:rPr>
        <w:t>) all domain name registrations in the TLD are registered to, and maintained by, Registry Operator for its own exclusive use, (ii) Registry Operator does not sell, distribute or transfer control or use of any registrations in the TLD to any third party that is not an Affiliate of Registry Operator, and (iii) application of this</w:t>
      </w:r>
      <w:r>
        <w:rPr>
          <w:i/>
        </w:rPr>
        <w:t xml:space="preserve"> </w:t>
      </w:r>
      <w:r w:rsidRPr="00C843C4">
        <w:rPr>
          <w:i/>
        </w:rPr>
        <w:t>Code of Conduct to the TLD is not necessary to protect the public interest.</w:t>
      </w:r>
    </w:p>
    <w:p w14:paraId="0E1BAED8" w14:textId="77777777" w:rsidR="002E68BF" w:rsidRDefault="002E68BF" w:rsidP="002E68BF"/>
    <w:p w14:paraId="570F5CA0" w14:textId="77777777" w:rsidR="002E68BF" w:rsidRPr="00D57DA5" w:rsidRDefault="002E68BF" w:rsidP="002E68BF">
      <w:r>
        <w:t xml:space="preserve">After applications from the 2012 New </w:t>
      </w:r>
      <w:proofErr w:type="spellStart"/>
      <w:r>
        <w:t>gTLD</w:t>
      </w:r>
      <w:proofErr w:type="spellEnd"/>
      <w:r>
        <w:t xml:space="preserve"> Program round were published, concerns were raised in public comments and by the GAC, via Early Warnings and later via GAC Advice, that some registries proposed to use their applied-for generic string in an inappropriately exclusive manner, which some felt created an unfair competitive advantage and was against the public interest. As a result of these concerns, the ICANN Board requested that ICANN staff open a public comment forum on the topic of “closed generic” TLDs</w:t>
      </w:r>
      <w:r>
        <w:rPr>
          <w:rStyle w:val="FootnoteReference"/>
        </w:rPr>
        <w:footnoteReference w:id="4"/>
      </w:r>
      <w:r>
        <w:t>. Accordingly, staff opened the public comment period on 5 February 2013 and closing it on 7 March 2013</w:t>
      </w:r>
      <w:r>
        <w:rPr>
          <w:rStyle w:val="FootnoteReference"/>
        </w:rPr>
        <w:footnoteReference w:id="5"/>
      </w:r>
      <w:r>
        <w:t>. Coinciding with the closure of the public comment forum on the topic, the GNSO submitted correspondence to the ICANN Board</w:t>
      </w:r>
      <w:r>
        <w:rPr>
          <w:rStyle w:val="FootnoteReference"/>
        </w:rPr>
        <w:footnoteReference w:id="6"/>
      </w:r>
      <w:r>
        <w:t>, noting that the GNSO did not have adequate time during the short period to establish formal policy guidance, though GNSO Stakeholder Groups and Constituencies Groups had submitted their views through the public comment forum. ICANN staff compiled and analyzed the public comments, publishing their report of public comments on 8 July 2013</w:t>
      </w:r>
      <w:r>
        <w:rPr>
          <w:rStyle w:val="FootnoteReference"/>
        </w:rPr>
        <w:footnoteReference w:id="7"/>
      </w:r>
      <w:r>
        <w:t xml:space="preserve">. </w:t>
      </w:r>
    </w:p>
    <w:p w14:paraId="036153E6" w14:textId="77777777" w:rsidR="002E68BF" w:rsidRDefault="002E68BF" w:rsidP="002E68BF"/>
    <w:p w14:paraId="47DC5600" w14:textId="77777777" w:rsidR="002E68BF" w:rsidRPr="00515A75" w:rsidRDefault="002E68BF" w:rsidP="002E68BF">
      <w:pPr>
        <w:pStyle w:val="ListParagraph"/>
        <w:numPr>
          <w:ilvl w:val="0"/>
          <w:numId w:val="1"/>
        </w:numPr>
        <w:ind w:left="0"/>
        <w:rPr>
          <w:i/>
        </w:rPr>
      </w:pPr>
      <w:r>
        <w:rPr>
          <w:i/>
        </w:rPr>
        <w:t>4.3.11.2 Questions and Concerns Related to Subject</w:t>
      </w:r>
    </w:p>
    <w:p w14:paraId="6ADC27B9" w14:textId="77777777" w:rsidR="002E68BF" w:rsidRDefault="002E68BF" w:rsidP="002E68BF"/>
    <w:p w14:paraId="1AECC95D" w14:textId="77777777" w:rsidR="002E68BF" w:rsidRDefault="002E68BF" w:rsidP="002E68BF">
      <w:r>
        <w:t>The subject of closed generics is not new, as indicated by the text above. While the DG identified closed generics as a topic of concern, wondering whether they should be allowed, specific concerns were not identified. However, the public comment forum for closed generics received substantial input in identifying a number of key issues, which will be briefly summarized here and can be viewed in their entirety in the staff public comment summary and analysis discussed above.</w:t>
      </w:r>
    </w:p>
    <w:p w14:paraId="08F5B0A8" w14:textId="77777777" w:rsidR="002E68BF" w:rsidRDefault="002E68BF" w:rsidP="002E68BF"/>
    <w:p w14:paraId="5486D587" w14:textId="77777777" w:rsidR="002E68BF" w:rsidRDefault="002E68BF" w:rsidP="002E68BF">
      <w:r>
        <w:t>Some questions, concerns, and suggestions include:</w:t>
      </w:r>
    </w:p>
    <w:p w14:paraId="53BA743C" w14:textId="77777777" w:rsidR="002E68BF" w:rsidRDefault="002E68BF" w:rsidP="002E68BF"/>
    <w:p w14:paraId="3309F39F" w14:textId="77777777" w:rsidR="002E68BF" w:rsidRDefault="002E68BF" w:rsidP="002E68BF">
      <w:pPr>
        <w:pStyle w:val="ListParagraph"/>
        <w:numPr>
          <w:ilvl w:val="1"/>
          <w:numId w:val="1"/>
        </w:numPr>
      </w:pPr>
      <w:r>
        <w:lastRenderedPageBreak/>
        <w:t>Allowing a single entity to exclusive use of a generic term may allow them to have an inappropriate level of control over that term at the top-level, in particular for industry terms, where that exclusive control could result in anti-competitive behavior.</w:t>
      </w:r>
    </w:p>
    <w:p w14:paraId="1FD3DBBA" w14:textId="77777777" w:rsidR="002E68BF" w:rsidRDefault="002E68BF" w:rsidP="002E68BF">
      <w:pPr>
        <w:pStyle w:val="ListParagraph"/>
        <w:numPr>
          <w:ilvl w:val="1"/>
          <w:numId w:val="1"/>
        </w:numPr>
      </w:pPr>
      <w:r>
        <w:t>Exclusive access is contrary to competition and consumer choice, and may in fact result in user confusion</w:t>
      </w:r>
    </w:p>
    <w:p w14:paraId="1DA1348E" w14:textId="77777777" w:rsidR="002E68BF" w:rsidRDefault="002E68BF" w:rsidP="002E68BF">
      <w:pPr>
        <w:pStyle w:val="ListParagraph"/>
        <w:numPr>
          <w:ilvl w:val="1"/>
          <w:numId w:val="1"/>
        </w:numPr>
      </w:pPr>
      <w:r>
        <w:t>Suggestion for defining generic including using principles of trademark law (i.e., a term that could not be trademarked should not be eligible to be operated in a “closed” fashion).</w:t>
      </w:r>
    </w:p>
    <w:p w14:paraId="4C69F816" w14:textId="77777777" w:rsidR="002E68BF" w:rsidRDefault="002E68BF" w:rsidP="002E68BF">
      <w:pPr>
        <w:pStyle w:val="ListParagraph"/>
        <w:numPr>
          <w:ilvl w:val="1"/>
          <w:numId w:val="1"/>
        </w:numPr>
      </w:pPr>
      <w:r>
        <w:t>Suggestion that it may be more practical to define conditions under which a TLD could be operated in a “closed” manner rather than trying to define generic.</w:t>
      </w:r>
    </w:p>
    <w:p w14:paraId="185F4F4B" w14:textId="77777777" w:rsidR="002E68BF" w:rsidRDefault="002E68BF" w:rsidP="002E68BF"/>
    <w:p w14:paraId="1B71A7EC" w14:textId="77777777" w:rsidR="002E68BF" w:rsidRDefault="002E68BF" w:rsidP="002E68BF">
      <w:r>
        <w:t xml:space="preserve">This list is by no means exhaustive and is intended to be merely illustrative of the types of questions and suggestions that have already been raised and should be taken into account if and when a potential PDP-WG on New </w:t>
      </w:r>
      <w:proofErr w:type="spellStart"/>
      <w:r>
        <w:t>gTLD</w:t>
      </w:r>
      <w:proofErr w:type="spellEnd"/>
      <w:r>
        <w:t xml:space="preserve"> Subsequent Procedures deliberates on this subject.</w:t>
      </w:r>
    </w:p>
    <w:p w14:paraId="7243BAA2" w14:textId="77777777" w:rsidR="002E68BF" w:rsidRDefault="002E68BF" w:rsidP="002E68BF"/>
    <w:p w14:paraId="2B5BD802" w14:textId="77777777" w:rsidR="002E68BF" w:rsidRPr="00515A75" w:rsidRDefault="002E68BF" w:rsidP="002E68BF">
      <w:pPr>
        <w:pStyle w:val="ListParagraph"/>
        <w:numPr>
          <w:ilvl w:val="0"/>
          <w:numId w:val="1"/>
        </w:numPr>
        <w:ind w:left="0"/>
        <w:rPr>
          <w:i/>
        </w:rPr>
      </w:pPr>
      <w:r>
        <w:rPr>
          <w:i/>
        </w:rPr>
        <w:t xml:space="preserve">4.3.11.3 </w:t>
      </w:r>
      <w:r w:rsidRPr="00515A75">
        <w:rPr>
          <w:i/>
        </w:rPr>
        <w:t>Relevant Guidance</w:t>
      </w:r>
    </w:p>
    <w:p w14:paraId="7D7A81A4" w14:textId="77777777" w:rsidR="002E68BF" w:rsidRDefault="002E68BF" w:rsidP="002E68BF">
      <w:pPr>
        <w:pStyle w:val="ListParagraph"/>
        <w:ind w:left="0"/>
      </w:pPr>
    </w:p>
    <w:p w14:paraId="5FCC6444" w14:textId="77777777" w:rsidR="002E68BF" w:rsidRPr="00EA6200" w:rsidRDefault="002E68BF" w:rsidP="002E68BF">
      <w:pPr>
        <w:pStyle w:val="ListParagraph"/>
        <w:numPr>
          <w:ilvl w:val="1"/>
          <w:numId w:val="1"/>
        </w:numPr>
      </w:pPr>
      <w:r w:rsidRPr="00EA6200">
        <w:t xml:space="preserve">Closed generics public comment summary and analysis: </w:t>
      </w:r>
      <w:hyperlink r:id="rId10" w:history="1">
        <w:r w:rsidRPr="00EA6200">
          <w:rPr>
            <w:rStyle w:val="Hyperlink"/>
          </w:rPr>
          <w:t>https://www.icann.org/en/system/files/files/report-comments-closed-generic-08jul13-en.pdf</w:t>
        </w:r>
      </w:hyperlink>
    </w:p>
    <w:p w14:paraId="3F2F6FED" w14:textId="77777777" w:rsidR="002E68BF" w:rsidRDefault="002E68BF" w:rsidP="002E68BF">
      <w:pPr>
        <w:pStyle w:val="ListParagraph"/>
        <w:numPr>
          <w:ilvl w:val="1"/>
          <w:numId w:val="1"/>
        </w:numPr>
      </w:pPr>
      <w:r>
        <w:t xml:space="preserve">GAC Advice Safeguards Category 2.2: </w:t>
      </w:r>
      <w:hyperlink r:id="rId11" w:history="1">
        <w:r w:rsidRPr="006C6B2E">
          <w:rPr>
            <w:rStyle w:val="Hyperlink"/>
          </w:rPr>
          <w:t>https://gacweb.icann.org/display/GACADV/2013-04-11-Safeguards-Categories-2</w:t>
        </w:r>
      </w:hyperlink>
    </w:p>
    <w:p w14:paraId="19E5AE2B" w14:textId="77777777" w:rsidR="002E68BF" w:rsidRDefault="002E68BF" w:rsidP="002E68BF">
      <w:pPr>
        <w:pStyle w:val="ListParagraph"/>
        <w:numPr>
          <w:ilvl w:val="1"/>
          <w:numId w:val="1"/>
        </w:numPr>
      </w:pPr>
      <w:r>
        <w:t xml:space="preserve">Board Resolution: </w:t>
      </w:r>
      <w:hyperlink r:id="rId12" w:anchor="2.a" w:history="1">
        <w:r w:rsidRPr="006C6B2E">
          <w:rPr>
            <w:rStyle w:val="Hyperlink"/>
          </w:rPr>
          <w:t>https://www.icann.org/resources/board-material/resolutions-new-gtld-2015-06-21-en#2.a</w:t>
        </w:r>
      </w:hyperlink>
    </w:p>
    <w:p w14:paraId="1B575DA6" w14:textId="77777777" w:rsidR="002E68BF" w:rsidRDefault="002E68BF" w:rsidP="002E68BF"/>
    <w:p w14:paraId="01B05B5C" w14:textId="77777777" w:rsidR="002E68BF" w:rsidRDefault="002E68BF" w:rsidP="002E68BF">
      <w:pPr>
        <w:pStyle w:val="ListParagraph"/>
        <w:numPr>
          <w:ilvl w:val="0"/>
          <w:numId w:val="1"/>
        </w:numPr>
        <w:ind w:left="0"/>
        <w:rPr>
          <w:i/>
        </w:rPr>
      </w:pPr>
      <w:r>
        <w:rPr>
          <w:i/>
        </w:rPr>
        <w:t xml:space="preserve">4.3.11.4 </w:t>
      </w:r>
      <w:r w:rsidRPr="00515A75">
        <w:rPr>
          <w:i/>
        </w:rPr>
        <w:t>Rationale for Policy Development</w:t>
      </w:r>
    </w:p>
    <w:p w14:paraId="65AD98C9" w14:textId="77777777" w:rsidR="002E68BF" w:rsidRDefault="002E68BF" w:rsidP="002E68BF">
      <w:pPr>
        <w:rPr>
          <w:i/>
        </w:rPr>
      </w:pPr>
    </w:p>
    <w:p w14:paraId="4FCB31FC" w14:textId="77777777" w:rsidR="002E68BF" w:rsidRDefault="002E68BF" w:rsidP="002E68BF">
      <w:r>
        <w:t>The topic of closed generics, and when exclusive registry access may be appropriate, has been a topic for extensive discussion within the community and there remain many open questions. In a resolution</w:t>
      </w:r>
      <w:r>
        <w:rPr>
          <w:rStyle w:val="FootnoteReference"/>
        </w:rPr>
        <w:footnoteReference w:id="8"/>
      </w:r>
      <w:r>
        <w:t xml:space="preserve">, the ICANN Board has specifically requested that the GNSO include this topic in its policy work for new </w:t>
      </w:r>
      <w:proofErr w:type="spellStart"/>
      <w:r>
        <w:t>gTLD</w:t>
      </w:r>
      <w:proofErr w:type="spellEnd"/>
      <w:r>
        <w:t xml:space="preserve"> subsequent procedures, stating:</w:t>
      </w:r>
    </w:p>
    <w:p w14:paraId="41496EA8" w14:textId="77777777" w:rsidR="002E68BF" w:rsidRDefault="002E68BF" w:rsidP="002E68BF"/>
    <w:p w14:paraId="39270244" w14:textId="77777777" w:rsidR="002E68BF" w:rsidRPr="004009BA" w:rsidRDefault="002E68BF" w:rsidP="002E68BF">
      <w:pPr>
        <w:ind w:left="720"/>
        <w:rPr>
          <w:i/>
        </w:rPr>
      </w:pPr>
      <w:r w:rsidRPr="004009BA">
        <w:rPr>
          <w:i/>
        </w:rPr>
        <w:t xml:space="preserve">NGPC requests that the GNSO specifically include the issue of exclusive registry access for generic strings serving a public interest goal as part of the policy work it is planning to initiate on subsequent rounds of the </w:t>
      </w:r>
      <w:proofErr w:type="gramStart"/>
      <w:r w:rsidRPr="004009BA">
        <w:rPr>
          <w:i/>
        </w:rPr>
        <w:t>New</w:t>
      </w:r>
      <w:proofErr w:type="gramEnd"/>
      <w:r w:rsidRPr="004009BA">
        <w:rPr>
          <w:i/>
        </w:rPr>
        <w:t xml:space="preserve"> </w:t>
      </w:r>
      <w:proofErr w:type="spellStart"/>
      <w:r w:rsidRPr="004009BA">
        <w:rPr>
          <w:i/>
        </w:rPr>
        <w:t>gTLD</w:t>
      </w:r>
      <w:proofErr w:type="spellEnd"/>
      <w:r w:rsidRPr="004009BA">
        <w:rPr>
          <w:i/>
        </w:rPr>
        <w:t xml:space="preserve"> Program, and inform the Board on a regular basis with regards to the progress on the issue.</w:t>
      </w:r>
    </w:p>
    <w:p w14:paraId="288EBF60" w14:textId="77777777" w:rsidR="002E68BF" w:rsidRDefault="002E68BF" w:rsidP="002E68BF">
      <w:pPr>
        <w:ind w:left="360"/>
      </w:pPr>
    </w:p>
    <w:p w14:paraId="07508318" w14:textId="77777777" w:rsidR="002E68BF" w:rsidRPr="00515A75" w:rsidRDefault="002E68BF" w:rsidP="002E68BF">
      <w:r>
        <w:lastRenderedPageBreak/>
        <w:t>With substantial community interest in the topic, and the specific request from the ICANN board, exclusive registry access for generic strings will likely require policy development.</w:t>
      </w:r>
    </w:p>
    <w:p w14:paraId="0F17E3E2" w14:textId="77777777" w:rsidR="002E68BF" w:rsidRPr="002E68BF" w:rsidRDefault="002E68BF" w:rsidP="002E68BF"/>
    <w:sectPr w:rsidR="002E68BF" w:rsidRPr="002E68BF" w:rsidSect="00C23AA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AD655" w14:textId="77777777" w:rsidR="004B0B4C" w:rsidRDefault="004B0B4C" w:rsidP="002E68BF">
      <w:r>
        <w:separator/>
      </w:r>
    </w:p>
  </w:endnote>
  <w:endnote w:type="continuationSeparator" w:id="0">
    <w:p w14:paraId="2137768B" w14:textId="77777777" w:rsidR="004B0B4C" w:rsidRDefault="004B0B4C" w:rsidP="002E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45163" w14:textId="77777777" w:rsidR="004B0B4C" w:rsidRDefault="004B0B4C" w:rsidP="002E68BF">
      <w:r>
        <w:separator/>
      </w:r>
    </w:p>
  </w:footnote>
  <w:footnote w:type="continuationSeparator" w:id="0">
    <w:p w14:paraId="0D070A17" w14:textId="77777777" w:rsidR="004B0B4C" w:rsidRDefault="004B0B4C" w:rsidP="002E68BF">
      <w:r>
        <w:continuationSeparator/>
      </w:r>
    </w:p>
  </w:footnote>
  <w:footnote w:id="1">
    <w:p w14:paraId="4EADC2EE" w14:textId="461C8297" w:rsidR="002D1983" w:rsidRPr="002D1983" w:rsidRDefault="002D1983">
      <w:pPr>
        <w:pStyle w:val="FootnoteText"/>
        <w:rPr>
          <w:sz w:val="20"/>
          <w:szCs w:val="20"/>
        </w:rPr>
      </w:pPr>
      <w:r w:rsidRPr="002D1983">
        <w:rPr>
          <w:rStyle w:val="FootnoteReference"/>
          <w:sz w:val="20"/>
          <w:szCs w:val="20"/>
        </w:rPr>
        <w:footnoteRef/>
      </w:r>
      <w:r w:rsidRPr="002D1983">
        <w:rPr>
          <w:sz w:val="20"/>
          <w:szCs w:val="20"/>
        </w:rPr>
        <w:t xml:space="preserve"> See: </w:t>
      </w:r>
      <w:hyperlink r:id="rId1" w:history="1">
        <w:r w:rsidRPr="002D1983">
          <w:rPr>
            <w:rStyle w:val="Hyperlink"/>
            <w:rFonts w:ascii="Times New Roman" w:hAnsi="Times New Roman" w:cs="Times New Roman"/>
            <w:sz w:val="20"/>
            <w:szCs w:val="20"/>
          </w:rPr>
          <w:t>https://www.icann.org/public-comments/new-gtld-subsequent-prelim-2015-08-31-en</w:t>
        </w:r>
      </w:hyperlink>
    </w:p>
  </w:footnote>
  <w:footnote w:id="2">
    <w:p w14:paraId="7802795F" w14:textId="605C7E39" w:rsidR="002D1983" w:rsidRPr="0029532E" w:rsidRDefault="002E68BF" w:rsidP="002E68BF">
      <w:pPr>
        <w:pStyle w:val="FootnoteText"/>
        <w:rPr>
          <w:sz w:val="20"/>
          <w:szCs w:val="20"/>
        </w:rPr>
      </w:pPr>
      <w:r w:rsidRPr="0029532E">
        <w:rPr>
          <w:rStyle w:val="FootnoteReference"/>
          <w:sz w:val="20"/>
          <w:szCs w:val="20"/>
        </w:rPr>
        <w:footnoteRef/>
      </w:r>
      <w:r w:rsidRPr="0029532E">
        <w:rPr>
          <w:sz w:val="20"/>
          <w:szCs w:val="20"/>
        </w:rPr>
        <w:t xml:space="preserve"> </w:t>
      </w:r>
      <w:r w:rsidR="002D1983">
        <w:rPr>
          <w:sz w:val="20"/>
          <w:szCs w:val="20"/>
        </w:rPr>
        <w:t xml:space="preserve">See: </w:t>
      </w:r>
      <w:hyperlink r:id="rId2" w:anchor="2.b" w:history="1">
        <w:r w:rsidR="002D1983" w:rsidRPr="009D0D11">
          <w:rPr>
            <w:rStyle w:val="Hyperlink"/>
            <w:sz w:val="20"/>
            <w:szCs w:val="20"/>
          </w:rPr>
          <w:t>https://www.icann.org/resources/board-material/resolutions-2014-11-17-en#2.b</w:t>
        </w:r>
      </w:hyperlink>
    </w:p>
  </w:footnote>
  <w:footnote w:id="3">
    <w:p w14:paraId="223D19FE" w14:textId="77777777" w:rsidR="002E68BF" w:rsidRPr="0029532E" w:rsidRDefault="002E68BF" w:rsidP="002E68BF">
      <w:pPr>
        <w:pStyle w:val="FootnoteText"/>
        <w:rPr>
          <w:sz w:val="20"/>
          <w:szCs w:val="20"/>
        </w:rPr>
      </w:pPr>
      <w:r w:rsidRPr="0029532E">
        <w:rPr>
          <w:rStyle w:val="FootnoteReference"/>
          <w:sz w:val="20"/>
          <w:szCs w:val="20"/>
        </w:rPr>
        <w:footnoteRef/>
      </w:r>
      <w:r w:rsidRPr="0029532E">
        <w:rPr>
          <w:sz w:val="20"/>
          <w:szCs w:val="20"/>
        </w:rPr>
        <w:t xml:space="preserve"> See: </w:t>
      </w:r>
      <w:hyperlink r:id="rId3" w:history="1">
        <w:r w:rsidRPr="0029532E">
          <w:rPr>
            <w:rStyle w:val="Hyperlink"/>
            <w:sz w:val="20"/>
            <w:szCs w:val="20"/>
          </w:rPr>
          <w:t>https://features.icann.org/plan/objective/9622286347d80fd5fd89d3b537417aeb</w:t>
        </w:r>
      </w:hyperlink>
    </w:p>
    <w:p w14:paraId="1D1AFB72" w14:textId="77777777" w:rsidR="002E68BF" w:rsidRDefault="002E68BF" w:rsidP="002E68BF">
      <w:pPr>
        <w:pStyle w:val="FootnoteText"/>
      </w:pPr>
    </w:p>
  </w:footnote>
  <w:footnote w:id="4">
    <w:p w14:paraId="5763461E" w14:textId="77622DF7" w:rsidR="002D1983" w:rsidRPr="00906DC1" w:rsidRDefault="002E68BF" w:rsidP="002E68BF">
      <w:pPr>
        <w:pStyle w:val="FootnoteText"/>
        <w:rPr>
          <w:sz w:val="20"/>
          <w:szCs w:val="20"/>
        </w:rPr>
      </w:pPr>
      <w:r w:rsidRPr="00906DC1">
        <w:rPr>
          <w:rStyle w:val="FootnoteReference"/>
          <w:sz w:val="20"/>
          <w:szCs w:val="20"/>
        </w:rPr>
        <w:footnoteRef/>
      </w:r>
      <w:r w:rsidRPr="00906DC1">
        <w:rPr>
          <w:sz w:val="20"/>
          <w:szCs w:val="20"/>
        </w:rPr>
        <w:t xml:space="preserve"> See ICANN Board Resolution: </w:t>
      </w:r>
      <w:hyperlink r:id="rId4" w:history="1">
        <w:r w:rsidR="002D1983" w:rsidRPr="009D0D11">
          <w:rPr>
            <w:rStyle w:val="Hyperlink"/>
            <w:sz w:val="20"/>
            <w:szCs w:val="20"/>
          </w:rPr>
          <w:t>https://features.icann.org/closed-generic-top-level-domains</w:t>
        </w:r>
      </w:hyperlink>
    </w:p>
  </w:footnote>
  <w:footnote w:id="5">
    <w:p w14:paraId="49830C53" w14:textId="0385A93B" w:rsidR="002E68BF" w:rsidRPr="001F2A29" w:rsidRDefault="002E68BF" w:rsidP="002E68BF">
      <w:pPr>
        <w:pStyle w:val="FootnoteText"/>
        <w:rPr>
          <w:sz w:val="20"/>
          <w:szCs w:val="20"/>
        </w:rPr>
      </w:pPr>
      <w:r w:rsidRPr="001F2A29">
        <w:rPr>
          <w:rStyle w:val="FootnoteReference"/>
          <w:sz w:val="20"/>
          <w:szCs w:val="20"/>
        </w:rPr>
        <w:footnoteRef/>
      </w:r>
      <w:r w:rsidRPr="001F2A29">
        <w:rPr>
          <w:sz w:val="20"/>
          <w:szCs w:val="20"/>
        </w:rPr>
        <w:t xml:space="preserve"> See</w:t>
      </w:r>
      <w:r w:rsidR="00CB67B3">
        <w:rPr>
          <w:sz w:val="20"/>
          <w:szCs w:val="20"/>
        </w:rPr>
        <w:t>:</w:t>
      </w:r>
      <w:r w:rsidRPr="001F2A29">
        <w:rPr>
          <w:sz w:val="20"/>
          <w:szCs w:val="20"/>
        </w:rPr>
        <w:t xml:space="preserve"> </w:t>
      </w:r>
      <w:hyperlink r:id="rId5" w:history="1">
        <w:r w:rsidRPr="001F2A29">
          <w:rPr>
            <w:rStyle w:val="Hyperlink"/>
            <w:sz w:val="20"/>
            <w:szCs w:val="20"/>
          </w:rPr>
          <w:t>https://www.icann.org/resources/pages/closed-generic-2013-02-05-en</w:t>
        </w:r>
      </w:hyperlink>
    </w:p>
  </w:footnote>
  <w:footnote w:id="6">
    <w:p w14:paraId="437CA4B8" w14:textId="77777777" w:rsidR="002E68BF" w:rsidRPr="0029532E" w:rsidRDefault="002E68BF" w:rsidP="002E68BF">
      <w:pPr>
        <w:pStyle w:val="FootnoteText"/>
        <w:rPr>
          <w:sz w:val="20"/>
          <w:szCs w:val="20"/>
        </w:rPr>
      </w:pPr>
      <w:r w:rsidRPr="00374CBF">
        <w:rPr>
          <w:rStyle w:val="FootnoteReference"/>
          <w:sz w:val="20"/>
          <w:szCs w:val="20"/>
        </w:rPr>
        <w:footnoteRef/>
      </w:r>
      <w:r w:rsidRPr="00374CBF">
        <w:rPr>
          <w:sz w:val="20"/>
          <w:szCs w:val="20"/>
        </w:rPr>
        <w:t xml:space="preserve"> </w:t>
      </w:r>
      <w:r w:rsidRPr="00E22FB6">
        <w:rPr>
          <w:sz w:val="20"/>
          <w:szCs w:val="20"/>
        </w:rPr>
        <w:t xml:space="preserve">GNSO Correspondence: </w:t>
      </w:r>
      <w:hyperlink r:id="rId6" w:history="1">
        <w:r w:rsidRPr="0029532E">
          <w:rPr>
            <w:rStyle w:val="Hyperlink"/>
            <w:sz w:val="20"/>
            <w:szCs w:val="20"/>
          </w:rPr>
          <w:t>http://gnso.icann.org/en/correspondence/robinson-to-crocker-chalaby-07mar13-en.pdf</w:t>
        </w:r>
      </w:hyperlink>
    </w:p>
  </w:footnote>
  <w:footnote w:id="7">
    <w:p w14:paraId="1FC7F525" w14:textId="39B9ED70" w:rsidR="002E68BF" w:rsidRDefault="002E68BF" w:rsidP="002E68BF">
      <w:pPr>
        <w:pStyle w:val="FootnoteText"/>
      </w:pPr>
      <w:r w:rsidRPr="001F2A29">
        <w:rPr>
          <w:rStyle w:val="FootnoteReference"/>
          <w:sz w:val="20"/>
          <w:szCs w:val="20"/>
        </w:rPr>
        <w:footnoteRef/>
      </w:r>
      <w:r w:rsidRPr="001F2A29">
        <w:rPr>
          <w:sz w:val="20"/>
          <w:szCs w:val="20"/>
        </w:rPr>
        <w:t xml:space="preserve"> See</w:t>
      </w:r>
      <w:r w:rsidR="00CB67B3">
        <w:rPr>
          <w:sz w:val="20"/>
          <w:szCs w:val="20"/>
        </w:rPr>
        <w:t>:</w:t>
      </w:r>
      <w:r w:rsidRPr="001F2A29">
        <w:rPr>
          <w:sz w:val="20"/>
          <w:szCs w:val="20"/>
        </w:rPr>
        <w:t xml:space="preserve"> </w:t>
      </w:r>
      <w:hyperlink r:id="rId7" w:history="1">
        <w:r w:rsidRPr="001F2A29">
          <w:rPr>
            <w:rStyle w:val="Hyperlink"/>
            <w:sz w:val="20"/>
            <w:szCs w:val="20"/>
          </w:rPr>
          <w:t>https://www.icann.org/en/system/files/files/report-comments-closed-generic-08jul13-en.pdf</w:t>
        </w:r>
      </w:hyperlink>
    </w:p>
  </w:footnote>
  <w:footnote w:id="8">
    <w:p w14:paraId="55145F29" w14:textId="77777777" w:rsidR="002E68BF" w:rsidRPr="001C3180" w:rsidRDefault="002E68BF" w:rsidP="002E68BF">
      <w:pPr>
        <w:pStyle w:val="FootnoteText"/>
        <w:rPr>
          <w:sz w:val="20"/>
          <w:szCs w:val="20"/>
        </w:rPr>
      </w:pPr>
      <w:r w:rsidRPr="001C3180">
        <w:rPr>
          <w:rStyle w:val="FootnoteReference"/>
          <w:sz w:val="20"/>
          <w:szCs w:val="20"/>
        </w:rPr>
        <w:footnoteRef/>
      </w:r>
      <w:r w:rsidRPr="001C3180">
        <w:rPr>
          <w:sz w:val="20"/>
          <w:szCs w:val="20"/>
        </w:rPr>
        <w:t xml:space="preserve"> Board resolution: </w:t>
      </w:r>
      <w:hyperlink r:id="rId8" w:anchor="2.a" w:history="1">
        <w:r w:rsidRPr="001C3180">
          <w:rPr>
            <w:rStyle w:val="Hyperlink"/>
            <w:sz w:val="20"/>
            <w:szCs w:val="20"/>
          </w:rPr>
          <w:t>https://www.icann.org/resources/board-material/resolutions-new-gtld-2015-06-21-en#2.a</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CAA"/>
    <w:multiLevelType w:val="hybridMultilevel"/>
    <w:tmpl w:val="4CF816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A47"/>
    <w:rsid w:val="000550CA"/>
    <w:rsid w:val="001525B5"/>
    <w:rsid w:val="002D1983"/>
    <w:rsid w:val="002E68BF"/>
    <w:rsid w:val="004B0B4C"/>
    <w:rsid w:val="004C558F"/>
    <w:rsid w:val="004F58B8"/>
    <w:rsid w:val="007578C2"/>
    <w:rsid w:val="007744BD"/>
    <w:rsid w:val="00786C07"/>
    <w:rsid w:val="008C16FF"/>
    <w:rsid w:val="008D418F"/>
    <w:rsid w:val="00B037D8"/>
    <w:rsid w:val="00C23AAA"/>
    <w:rsid w:val="00C31BB1"/>
    <w:rsid w:val="00CB67B3"/>
    <w:rsid w:val="00F53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DD3705"/>
  <w14:defaultImageDpi w14:val="300"/>
  <w15:docId w15:val="{6430F8FD-5373-467B-A0C1-D63EC23C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68B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unhideWhenUsed/>
    <w:qFormat/>
    <w:rsid w:val="002E68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0CA"/>
    <w:rPr>
      <w:color w:val="0000FF" w:themeColor="hyperlink"/>
      <w:u w:val="single"/>
    </w:rPr>
  </w:style>
  <w:style w:type="character" w:styleId="FollowedHyperlink">
    <w:name w:val="FollowedHyperlink"/>
    <w:basedOn w:val="DefaultParagraphFont"/>
    <w:uiPriority w:val="99"/>
    <w:semiHidden/>
    <w:unhideWhenUsed/>
    <w:rsid w:val="002E68BF"/>
    <w:rPr>
      <w:color w:val="800080" w:themeColor="followedHyperlink"/>
      <w:u w:val="single"/>
    </w:rPr>
  </w:style>
  <w:style w:type="character" w:customStyle="1" w:styleId="Heading1Char">
    <w:name w:val="Heading 1 Char"/>
    <w:basedOn w:val="DefaultParagraphFont"/>
    <w:link w:val="Heading1"/>
    <w:uiPriority w:val="9"/>
    <w:rsid w:val="002E68BF"/>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2E68B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68BF"/>
    <w:pPr>
      <w:ind w:left="720"/>
      <w:contextualSpacing/>
    </w:pPr>
  </w:style>
  <w:style w:type="paragraph" w:styleId="FootnoteText">
    <w:name w:val="footnote text"/>
    <w:basedOn w:val="Normal"/>
    <w:link w:val="FootnoteTextChar"/>
    <w:uiPriority w:val="99"/>
    <w:unhideWhenUsed/>
    <w:qFormat/>
    <w:rsid w:val="002E68BF"/>
  </w:style>
  <w:style w:type="character" w:customStyle="1" w:styleId="FootnoteTextChar">
    <w:name w:val="Footnote Text Char"/>
    <w:basedOn w:val="DefaultParagraphFont"/>
    <w:link w:val="FootnoteText"/>
    <w:uiPriority w:val="99"/>
    <w:qFormat/>
    <w:rsid w:val="002E68BF"/>
  </w:style>
  <w:style w:type="character" w:styleId="FootnoteReference">
    <w:name w:val="footnote reference"/>
    <w:basedOn w:val="DefaultParagraphFont"/>
    <w:uiPriority w:val="99"/>
    <w:unhideWhenUsed/>
    <w:qFormat/>
    <w:rsid w:val="002E6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new-gtld-subsequent-prelim-2015-08-31-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resources/board-material/resolutions-new-gtld-2015-06-21-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cweb.icann.org/display/GACADV/2013-04-11-Safeguards-Categories-2" TargetMode="External"/><Relationship Id="rId5" Type="http://schemas.openxmlformats.org/officeDocument/2006/relationships/webSettings" Target="webSettings.xml"/><Relationship Id="rId10" Type="http://schemas.openxmlformats.org/officeDocument/2006/relationships/hyperlink" Target="https://www.icann.org/en/system/files/files/report-comments-closed-generic-08jul13-en.pdf" TargetMode="External"/><Relationship Id="rId4" Type="http://schemas.openxmlformats.org/officeDocument/2006/relationships/settings" Target="settings.xml"/><Relationship Id="rId9" Type="http://schemas.openxmlformats.org/officeDocument/2006/relationships/hyperlink" Target="https://www.icann.org/en/system/files/files/resolutions-annex-a-17nov14-en.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cann.org/resources/board-material/resolutions-new-gtld-2015-06-21-en" TargetMode="External"/><Relationship Id="rId3" Type="http://schemas.openxmlformats.org/officeDocument/2006/relationships/hyperlink" Target="https://features.icann.org/plan/objective/9622286347d80fd5fd89d3b537417aeb" TargetMode="External"/><Relationship Id="rId7" Type="http://schemas.openxmlformats.org/officeDocument/2006/relationships/hyperlink" Target="https://www.icann.org/en/system/files/files/report-comments-closed-generic-08jul13-en.pdf" TargetMode="External"/><Relationship Id="rId2" Type="http://schemas.openxmlformats.org/officeDocument/2006/relationships/hyperlink" Target="https://www.icann.org/resources/board-material/resolutions-2014-11-17-en" TargetMode="External"/><Relationship Id="rId1" Type="http://schemas.openxmlformats.org/officeDocument/2006/relationships/hyperlink" Target="https://www.icann.org/public-comments/new-gtld-subsequent-prelim-2015-08-31-en" TargetMode="External"/><Relationship Id="rId6" Type="http://schemas.openxmlformats.org/officeDocument/2006/relationships/hyperlink" Target="http://gnso.icann.org/en/correspondence/robinson-to-crocker-chalaby-07mar13-en.pdf" TargetMode="External"/><Relationship Id="rId5" Type="http://schemas.openxmlformats.org/officeDocument/2006/relationships/hyperlink" Target="https://www.icann.org/resources/pages/closed-generic-2013-02-05-en" TargetMode="External"/><Relationship Id="rId4" Type="http://schemas.openxmlformats.org/officeDocument/2006/relationships/hyperlink" Target="https://features.icann.org/closed-generic-top-level-dom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D6E6A-6F02-42CA-9065-F3E9D0EC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2015-09-15T10:38:00Z</dcterms:created>
  <dcterms:modified xsi:type="dcterms:W3CDTF">2015-09-15T10:44:00Z</dcterms:modified>
</cp:coreProperties>
</file>