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A5D5D" w:rsidRPr="000A5D5D" w:rsidRDefault="000A5D5D" w:rsidP="000A5D5D">
      <w:pPr>
        <w:rPr>
          <w:rFonts w:asciiTheme="majorHAnsi" w:hAnsiTheme="majorHAnsi"/>
        </w:rPr>
      </w:pPr>
    </w:p>
    <w:p w:rsidR="000A5D5D" w:rsidRPr="001B63DD" w:rsidRDefault="00C158CE" w:rsidP="000A5D5D">
      <w:pPr>
        <w:rPr>
          <w:sz w:val="52"/>
        </w:rPr>
      </w:pPr>
      <w:r w:rsidRPr="001B63DD">
        <w:rPr>
          <w:sz w:val="52"/>
        </w:rPr>
        <w:t xml:space="preserve">Expressions of Interest </w:t>
      </w:r>
      <w:r w:rsidR="001B63DD">
        <w:rPr>
          <w:sz w:val="52"/>
        </w:rPr>
        <w:t xml:space="preserve">Working Group </w:t>
      </w:r>
      <w:r w:rsidRPr="001B63DD">
        <w:rPr>
          <w:sz w:val="52"/>
        </w:rPr>
        <w:t xml:space="preserve">for new </w:t>
      </w:r>
      <w:proofErr w:type="spellStart"/>
      <w:r w:rsidRPr="001B63DD">
        <w:rPr>
          <w:sz w:val="52"/>
        </w:rPr>
        <w:t>gTLD</w:t>
      </w:r>
      <w:proofErr w:type="spellEnd"/>
      <w:r w:rsidRPr="001B63DD">
        <w:rPr>
          <w:sz w:val="52"/>
        </w:rPr>
        <w:t xml:space="preserve"> Implementation Planning</w:t>
      </w:r>
    </w:p>
    <w:p w:rsidR="00C158CE" w:rsidRPr="00720387" w:rsidRDefault="00051E6E" w:rsidP="00720387">
      <w:pPr>
        <w:pStyle w:val="Heading1"/>
      </w:pPr>
      <w:r>
        <w:rPr>
          <w:noProof/>
        </w:rPr>
        <w:pict>
          <v:line id="_x0000_s1026" style="position:absolute;z-index:251658240;mso-wrap-edited:f" from="-1.35pt,5.6pt" to="440pt,5.6pt" coordsize="21600,21600" wrapcoords="-36 -2147483648 0 -2147483648 10836 -2147483648 10836 -2147483648 21563 -2147483648 21673 -2147483648 -36 -2147483648" strokecolor="#4a7ebb" strokeweight=".25pt">
            <v:fill o:detectmouseclick="t"/>
            <v:shadow opacity="22938f" mv:blur="38100f" offset="0,2pt"/>
            <v:textbox inset=",7.2pt,,7.2pt"/>
            <w10:wrap type="tight"/>
          </v:line>
        </w:pict>
      </w:r>
      <w:r w:rsidR="000A5D5D" w:rsidRPr="00B06D8B">
        <w:t>Background</w:t>
      </w:r>
    </w:p>
    <w:p w:rsidR="00C158CE" w:rsidRDefault="00C158CE" w:rsidP="000A5D5D">
      <w:pPr>
        <w:rPr>
          <w:rFonts w:asciiTheme="majorHAnsi" w:hAnsiTheme="majorHAnsi"/>
          <w:sz w:val="23"/>
        </w:rPr>
      </w:pPr>
      <w:r>
        <w:rPr>
          <w:rFonts w:asciiTheme="majorHAnsi" w:hAnsiTheme="majorHAnsi"/>
          <w:sz w:val="23"/>
        </w:rPr>
        <w:t>ICANN and its various stakeholder gr</w:t>
      </w:r>
      <w:r w:rsidR="00720387">
        <w:rPr>
          <w:rFonts w:asciiTheme="majorHAnsi" w:hAnsiTheme="majorHAnsi"/>
          <w:sz w:val="23"/>
        </w:rPr>
        <w:t>oups have been working for many</w:t>
      </w:r>
      <w:r>
        <w:rPr>
          <w:rFonts w:asciiTheme="majorHAnsi" w:hAnsiTheme="majorHAnsi"/>
          <w:sz w:val="23"/>
        </w:rPr>
        <w:t xml:space="preserve"> years on establishing an orderly and predictable method</w:t>
      </w:r>
      <w:r w:rsidR="00051E6E">
        <w:rPr>
          <w:rFonts w:asciiTheme="majorHAnsi" w:hAnsiTheme="majorHAnsi"/>
          <w:sz w:val="23"/>
        </w:rPr>
        <w:t xml:space="preserve"> of introducing new generic top-</w:t>
      </w:r>
      <w:r>
        <w:rPr>
          <w:rFonts w:asciiTheme="majorHAnsi" w:hAnsiTheme="majorHAnsi"/>
          <w:sz w:val="23"/>
        </w:rPr>
        <w:t>level domains (</w:t>
      </w:r>
      <w:proofErr w:type="spellStart"/>
      <w:r>
        <w:rPr>
          <w:rFonts w:asciiTheme="majorHAnsi" w:hAnsiTheme="majorHAnsi"/>
          <w:sz w:val="23"/>
        </w:rPr>
        <w:t>gTLDs</w:t>
      </w:r>
      <w:proofErr w:type="spellEnd"/>
      <w:r>
        <w:rPr>
          <w:rFonts w:asciiTheme="majorHAnsi" w:hAnsiTheme="majorHAnsi"/>
          <w:sz w:val="23"/>
        </w:rPr>
        <w:t xml:space="preserve">).   That work has </w:t>
      </w:r>
      <w:r w:rsidR="00720387">
        <w:rPr>
          <w:rFonts w:asciiTheme="majorHAnsi" w:hAnsiTheme="majorHAnsi"/>
          <w:sz w:val="23"/>
        </w:rPr>
        <w:t>progressed</w:t>
      </w:r>
      <w:r>
        <w:rPr>
          <w:rFonts w:asciiTheme="majorHAnsi" w:hAnsiTheme="majorHAnsi"/>
          <w:sz w:val="23"/>
        </w:rPr>
        <w:t xml:space="preserve"> through a rigorous policy development process, numerous associated working groups and fact-finding exercises.</w:t>
      </w:r>
    </w:p>
    <w:p w:rsidR="00C158CE" w:rsidRDefault="00C158CE" w:rsidP="000A5D5D">
      <w:pPr>
        <w:rPr>
          <w:rFonts w:asciiTheme="majorHAnsi" w:hAnsiTheme="majorHAnsi"/>
          <w:sz w:val="23"/>
        </w:rPr>
      </w:pPr>
      <w:r>
        <w:rPr>
          <w:rFonts w:asciiTheme="majorHAnsi" w:hAnsiTheme="majorHAnsi"/>
          <w:sz w:val="23"/>
        </w:rPr>
        <w:t xml:space="preserve"> </w:t>
      </w:r>
    </w:p>
    <w:p w:rsidR="00C158CE" w:rsidRDefault="000A5D5D" w:rsidP="000A5D5D">
      <w:pPr>
        <w:rPr>
          <w:rFonts w:asciiTheme="majorHAnsi" w:hAnsiTheme="majorHAnsi"/>
          <w:sz w:val="23"/>
        </w:rPr>
      </w:pPr>
      <w:r w:rsidRPr="00B06D8B">
        <w:rPr>
          <w:rFonts w:asciiTheme="majorHAnsi" w:hAnsiTheme="majorHAnsi"/>
          <w:sz w:val="23"/>
        </w:rPr>
        <w:t>As the call for new top-level domains grows louder and more impatient, several important areas of concern</w:t>
      </w:r>
      <w:r w:rsidR="00C158CE">
        <w:rPr>
          <w:rFonts w:asciiTheme="majorHAnsi" w:hAnsiTheme="majorHAnsi"/>
          <w:sz w:val="23"/>
        </w:rPr>
        <w:t xml:space="preserve"> </w:t>
      </w:r>
      <w:r w:rsidR="00650DE1" w:rsidRPr="00B06D8B">
        <w:rPr>
          <w:rFonts w:asciiTheme="majorHAnsi" w:hAnsiTheme="majorHAnsi"/>
          <w:sz w:val="23"/>
        </w:rPr>
        <w:t>remain unresolved</w:t>
      </w:r>
      <w:r w:rsidR="00650DE1">
        <w:rPr>
          <w:rFonts w:asciiTheme="majorHAnsi" w:hAnsiTheme="majorHAnsi"/>
          <w:sz w:val="23"/>
        </w:rPr>
        <w:t xml:space="preserve"> </w:t>
      </w:r>
      <w:r w:rsidR="00C158CE">
        <w:rPr>
          <w:rFonts w:asciiTheme="majorHAnsi" w:hAnsiTheme="majorHAnsi"/>
          <w:sz w:val="23"/>
        </w:rPr>
        <w:t>around the implem</w:t>
      </w:r>
      <w:r w:rsidR="00650DE1">
        <w:rPr>
          <w:rFonts w:asciiTheme="majorHAnsi" w:hAnsiTheme="majorHAnsi"/>
          <w:sz w:val="23"/>
        </w:rPr>
        <w:t>entation of the agreed policies</w:t>
      </w:r>
      <w:r w:rsidRPr="00B06D8B">
        <w:rPr>
          <w:rFonts w:asciiTheme="majorHAnsi" w:hAnsiTheme="majorHAnsi"/>
          <w:sz w:val="23"/>
        </w:rPr>
        <w:t>.  In addition, ICANN is having to plan and allocate resources for a number of applications that has been estimated at "as few as 10, and as many as 10,000."   As long as the concerns</w:t>
      </w:r>
      <w:r w:rsidR="00650DE1">
        <w:rPr>
          <w:rFonts w:asciiTheme="majorHAnsi" w:hAnsiTheme="majorHAnsi"/>
          <w:sz w:val="23"/>
        </w:rPr>
        <w:t xml:space="preserve"> </w:t>
      </w:r>
      <w:r w:rsidRPr="00B06D8B">
        <w:rPr>
          <w:rFonts w:asciiTheme="majorHAnsi" w:hAnsiTheme="majorHAnsi"/>
          <w:sz w:val="23"/>
        </w:rPr>
        <w:t xml:space="preserve">and the numbers remain theoretical, they are difficult to solve.  When reduced to a practical level, however, </w:t>
      </w:r>
      <w:r w:rsidR="00650DE1">
        <w:rPr>
          <w:rFonts w:asciiTheme="majorHAnsi" w:hAnsiTheme="majorHAnsi"/>
          <w:sz w:val="23"/>
        </w:rPr>
        <w:t>the problems</w:t>
      </w:r>
      <w:r w:rsidR="00650DE1" w:rsidRPr="00B06D8B">
        <w:rPr>
          <w:rFonts w:asciiTheme="majorHAnsi" w:hAnsiTheme="majorHAnsi"/>
          <w:sz w:val="23"/>
        </w:rPr>
        <w:t xml:space="preserve"> </w:t>
      </w:r>
      <w:r w:rsidRPr="00B06D8B">
        <w:rPr>
          <w:rFonts w:asciiTheme="majorHAnsi" w:hAnsiTheme="majorHAnsi"/>
          <w:sz w:val="23"/>
        </w:rPr>
        <w:t xml:space="preserve">may not be intractable at all.  The proposed </w:t>
      </w:r>
      <w:r w:rsidR="00C158CE">
        <w:rPr>
          <w:rFonts w:asciiTheme="majorHAnsi" w:hAnsiTheme="majorHAnsi"/>
          <w:sz w:val="23"/>
        </w:rPr>
        <w:t>Expressions of Interest</w:t>
      </w:r>
      <w:r w:rsidRPr="00B06D8B">
        <w:rPr>
          <w:rFonts w:asciiTheme="majorHAnsi" w:hAnsiTheme="majorHAnsi"/>
          <w:sz w:val="23"/>
        </w:rPr>
        <w:t xml:space="preserve"> Process</w:t>
      </w:r>
      <w:r w:rsidR="00650DE1">
        <w:rPr>
          <w:rFonts w:asciiTheme="majorHAnsi" w:hAnsiTheme="majorHAnsi"/>
          <w:sz w:val="23"/>
        </w:rPr>
        <w:t xml:space="preserve"> (EOIP)</w:t>
      </w:r>
      <w:r w:rsidRPr="00B06D8B">
        <w:rPr>
          <w:rFonts w:asciiTheme="majorHAnsi" w:hAnsiTheme="majorHAnsi"/>
          <w:sz w:val="23"/>
        </w:rPr>
        <w:t xml:space="preserve"> is a simple mechanism that will make immediately apparent the </w:t>
      </w:r>
      <w:r w:rsidR="00650DE1">
        <w:rPr>
          <w:rFonts w:asciiTheme="majorHAnsi" w:hAnsiTheme="majorHAnsi"/>
          <w:sz w:val="23"/>
        </w:rPr>
        <w:t xml:space="preserve">implementation </w:t>
      </w:r>
      <w:r w:rsidRPr="00B06D8B">
        <w:rPr>
          <w:rFonts w:asciiTheme="majorHAnsi" w:hAnsiTheme="majorHAnsi"/>
          <w:sz w:val="23"/>
        </w:rPr>
        <w:t xml:space="preserve">parameters of the new </w:t>
      </w:r>
      <w:proofErr w:type="spellStart"/>
      <w:r w:rsidRPr="00B06D8B">
        <w:rPr>
          <w:rFonts w:asciiTheme="majorHAnsi" w:hAnsiTheme="majorHAnsi"/>
          <w:sz w:val="23"/>
        </w:rPr>
        <w:t>gTLD</w:t>
      </w:r>
      <w:proofErr w:type="spellEnd"/>
      <w:r w:rsidRPr="00B06D8B">
        <w:rPr>
          <w:rFonts w:asciiTheme="majorHAnsi" w:hAnsiTheme="majorHAnsi"/>
          <w:sz w:val="23"/>
        </w:rPr>
        <w:t xml:space="preserve"> process</w:t>
      </w:r>
      <w:r w:rsidR="00650DE1">
        <w:rPr>
          <w:rFonts w:asciiTheme="majorHAnsi" w:hAnsiTheme="majorHAnsi"/>
          <w:sz w:val="23"/>
        </w:rPr>
        <w:t>.  The EOIP will</w:t>
      </w:r>
      <w:r w:rsidRPr="00B06D8B">
        <w:rPr>
          <w:rFonts w:asciiTheme="majorHAnsi" w:hAnsiTheme="majorHAnsi"/>
          <w:sz w:val="23"/>
        </w:rPr>
        <w:t xml:space="preserve"> provide ICANN, new TLD applicants, and concerned members of the ICANN community a rich set of data that will answer many of the questions that have been holding back the process.</w:t>
      </w:r>
      <w:r w:rsidR="00C158CE">
        <w:rPr>
          <w:rFonts w:asciiTheme="majorHAnsi" w:hAnsiTheme="majorHAnsi"/>
          <w:sz w:val="23"/>
        </w:rPr>
        <w:t xml:space="preserve">  </w:t>
      </w:r>
    </w:p>
    <w:p w:rsidR="00720387" w:rsidRDefault="00720387" w:rsidP="000A5D5D">
      <w:pPr>
        <w:rPr>
          <w:rFonts w:asciiTheme="majorHAnsi" w:hAnsiTheme="majorHAnsi"/>
          <w:sz w:val="23"/>
        </w:rPr>
      </w:pPr>
    </w:p>
    <w:p w:rsidR="00720387" w:rsidRDefault="00720387" w:rsidP="00720387">
      <w:pPr>
        <w:rPr>
          <w:rFonts w:asciiTheme="majorHAnsi" w:hAnsiTheme="majorHAnsi"/>
          <w:sz w:val="23"/>
        </w:rPr>
      </w:pPr>
      <w:r>
        <w:rPr>
          <w:rFonts w:asciiTheme="majorHAnsi" w:hAnsiTheme="majorHAnsi"/>
          <w:sz w:val="23"/>
        </w:rPr>
        <w:t xml:space="preserve">The de-coupling of the “introduction” of </w:t>
      </w:r>
      <w:proofErr w:type="spellStart"/>
      <w:r>
        <w:rPr>
          <w:rFonts w:asciiTheme="majorHAnsi" w:hAnsiTheme="majorHAnsi"/>
          <w:sz w:val="23"/>
        </w:rPr>
        <w:t>gTLDs</w:t>
      </w:r>
      <w:proofErr w:type="spellEnd"/>
      <w:r>
        <w:rPr>
          <w:rFonts w:asciiTheme="majorHAnsi" w:hAnsiTheme="majorHAnsi"/>
          <w:sz w:val="23"/>
        </w:rPr>
        <w:t xml:space="preserve"> from their “delegation” is a concept that derives in part from the </w:t>
      </w:r>
      <w:r w:rsidRPr="007C05CC">
        <w:rPr>
          <w:rFonts w:asciiTheme="majorHAnsi" w:hAnsiTheme="majorHAnsi"/>
          <w:i/>
          <w:sz w:val="23"/>
        </w:rPr>
        <w:t xml:space="preserve">GAC Principles for the Introduction of New </w:t>
      </w:r>
      <w:proofErr w:type="spellStart"/>
      <w:r w:rsidRPr="007C05CC">
        <w:rPr>
          <w:rFonts w:asciiTheme="majorHAnsi" w:hAnsiTheme="majorHAnsi"/>
          <w:i/>
          <w:sz w:val="23"/>
        </w:rPr>
        <w:t>gTLDs</w:t>
      </w:r>
      <w:proofErr w:type="spellEnd"/>
      <w:r>
        <w:rPr>
          <w:rFonts w:asciiTheme="majorHAnsi" w:hAnsiTheme="majorHAnsi"/>
          <w:i/>
          <w:sz w:val="23"/>
        </w:rPr>
        <w:t xml:space="preserve">, </w:t>
      </w:r>
      <w:r>
        <w:rPr>
          <w:rFonts w:asciiTheme="majorHAnsi" w:hAnsiTheme="majorHAnsi"/>
          <w:sz w:val="23"/>
        </w:rPr>
        <w:t xml:space="preserve">promulgated by </w:t>
      </w:r>
      <w:proofErr w:type="spellStart"/>
      <w:r>
        <w:rPr>
          <w:rFonts w:asciiTheme="majorHAnsi" w:hAnsiTheme="majorHAnsi"/>
          <w:sz w:val="23"/>
        </w:rPr>
        <w:t>ICANN’s</w:t>
      </w:r>
      <w:proofErr w:type="spellEnd"/>
      <w:r>
        <w:rPr>
          <w:rFonts w:asciiTheme="majorHAnsi" w:hAnsiTheme="majorHAnsi"/>
          <w:sz w:val="23"/>
        </w:rPr>
        <w:t xml:space="preserve"> Government Advisory Committee in March 2007.  Specifically, sections 2.1 – 2.4 are addressed to “introduction,” while 2.5 – 2.9 are addressed to “delegation.” </w:t>
      </w:r>
    </w:p>
    <w:p w:rsidR="00C158CE" w:rsidRDefault="00C158CE" w:rsidP="000A5D5D">
      <w:pPr>
        <w:rPr>
          <w:rFonts w:asciiTheme="majorHAnsi" w:hAnsiTheme="majorHAnsi"/>
          <w:sz w:val="23"/>
        </w:rPr>
      </w:pPr>
    </w:p>
    <w:p w:rsidR="00650DE1" w:rsidRPr="00720387" w:rsidRDefault="00C158CE" w:rsidP="00720387">
      <w:pPr>
        <w:pStyle w:val="Heading1"/>
      </w:pPr>
      <w:r w:rsidRPr="00161652">
        <w:t>ICANN Process</w:t>
      </w:r>
    </w:p>
    <w:p w:rsidR="00C158CE" w:rsidRDefault="00650DE1" w:rsidP="000A5D5D">
      <w:pPr>
        <w:rPr>
          <w:rFonts w:asciiTheme="majorHAnsi" w:hAnsiTheme="majorHAnsi"/>
          <w:sz w:val="23"/>
        </w:rPr>
      </w:pPr>
      <w:r>
        <w:rPr>
          <w:rFonts w:asciiTheme="majorHAnsi" w:hAnsiTheme="majorHAnsi"/>
          <w:sz w:val="23"/>
        </w:rPr>
        <w:t xml:space="preserve">During the Seoul, Korea meeting </w:t>
      </w:r>
      <w:r w:rsidR="00720387">
        <w:rPr>
          <w:rFonts w:asciiTheme="majorHAnsi" w:hAnsiTheme="majorHAnsi"/>
          <w:sz w:val="23"/>
        </w:rPr>
        <w:t>several members of different parts of</w:t>
      </w:r>
      <w:r w:rsidR="00C158CE">
        <w:rPr>
          <w:rFonts w:asciiTheme="majorHAnsi" w:hAnsiTheme="majorHAnsi"/>
          <w:sz w:val="23"/>
        </w:rPr>
        <w:t xml:space="preserve"> the ICANN community met to put forward a plan for Expressions of Interest</w:t>
      </w:r>
      <w:r>
        <w:rPr>
          <w:rFonts w:asciiTheme="majorHAnsi" w:hAnsiTheme="majorHAnsi"/>
          <w:sz w:val="23"/>
        </w:rPr>
        <w:t xml:space="preserve"> as a mechanism to find a way forward</w:t>
      </w:r>
      <w:r w:rsidR="00DF072D">
        <w:rPr>
          <w:rFonts w:asciiTheme="majorHAnsi" w:hAnsiTheme="majorHAnsi"/>
          <w:sz w:val="23"/>
        </w:rPr>
        <w:t xml:space="preserve"> to kick-start the new </w:t>
      </w:r>
      <w:proofErr w:type="spellStart"/>
      <w:r w:rsidR="00DF072D">
        <w:rPr>
          <w:rFonts w:asciiTheme="majorHAnsi" w:hAnsiTheme="majorHAnsi"/>
          <w:sz w:val="23"/>
        </w:rPr>
        <w:t>gTLD</w:t>
      </w:r>
      <w:proofErr w:type="spellEnd"/>
      <w:r w:rsidR="00DF072D">
        <w:rPr>
          <w:rFonts w:asciiTheme="majorHAnsi" w:hAnsiTheme="majorHAnsi"/>
          <w:sz w:val="23"/>
        </w:rPr>
        <w:t xml:space="preserve"> application process</w:t>
      </w:r>
      <w:r w:rsidR="00C158CE">
        <w:rPr>
          <w:rFonts w:asciiTheme="majorHAnsi" w:hAnsiTheme="majorHAnsi"/>
          <w:sz w:val="23"/>
        </w:rPr>
        <w:t xml:space="preserve">.   This group, known as the </w:t>
      </w:r>
      <w:r>
        <w:rPr>
          <w:rFonts w:asciiTheme="majorHAnsi" w:hAnsiTheme="majorHAnsi"/>
          <w:sz w:val="23"/>
        </w:rPr>
        <w:t>EOI</w:t>
      </w:r>
      <w:r w:rsidR="00C158CE">
        <w:rPr>
          <w:rFonts w:asciiTheme="majorHAnsi" w:hAnsiTheme="majorHAnsi"/>
          <w:sz w:val="23"/>
        </w:rPr>
        <w:t xml:space="preserve"> Working Group</w:t>
      </w:r>
      <w:r w:rsidR="00720387">
        <w:rPr>
          <w:rFonts w:asciiTheme="majorHAnsi" w:hAnsiTheme="majorHAnsi"/>
          <w:sz w:val="23"/>
        </w:rPr>
        <w:t xml:space="preserve"> (the “WG”)</w:t>
      </w:r>
      <w:r>
        <w:rPr>
          <w:rFonts w:asciiTheme="majorHAnsi" w:hAnsiTheme="majorHAnsi"/>
          <w:sz w:val="23"/>
        </w:rPr>
        <w:t>,</w:t>
      </w:r>
      <w:r w:rsidR="00C158CE">
        <w:rPr>
          <w:rFonts w:asciiTheme="majorHAnsi" w:hAnsiTheme="majorHAnsi"/>
          <w:sz w:val="23"/>
        </w:rPr>
        <w:t xml:space="preserve"> represents different parts of </w:t>
      </w:r>
      <w:r>
        <w:rPr>
          <w:rFonts w:asciiTheme="majorHAnsi" w:hAnsiTheme="majorHAnsi"/>
          <w:sz w:val="23"/>
        </w:rPr>
        <w:t xml:space="preserve">the ICANN stakeholder </w:t>
      </w:r>
      <w:r w:rsidR="00C158CE">
        <w:rPr>
          <w:rFonts w:asciiTheme="majorHAnsi" w:hAnsiTheme="majorHAnsi"/>
          <w:sz w:val="23"/>
        </w:rPr>
        <w:t>community</w:t>
      </w:r>
      <w:r>
        <w:rPr>
          <w:rFonts w:asciiTheme="majorHAnsi" w:hAnsiTheme="majorHAnsi"/>
          <w:sz w:val="23"/>
        </w:rPr>
        <w:t>.  The composition of a broader slat</w:t>
      </w:r>
      <w:r w:rsidR="00DB73A3">
        <w:rPr>
          <w:rFonts w:asciiTheme="majorHAnsi" w:hAnsiTheme="majorHAnsi"/>
          <w:sz w:val="23"/>
        </w:rPr>
        <w:t>e of points of contact for</w:t>
      </w:r>
      <w:r w:rsidR="00C158CE">
        <w:rPr>
          <w:rFonts w:asciiTheme="majorHAnsi" w:hAnsiTheme="majorHAnsi"/>
          <w:sz w:val="23"/>
        </w:rPr>
        <w:t xml:space="preserve"> potential applicants, registrars, registries, intellectual property interests, the ALAC, the NCUC, the business constituency, the ISP constituency, the </w:t>
      </w:r>
      <w:proofErr w:type="spellStart"/>
      <w:r w:rsidR="00C158CE">
        <w:rPr>
          <w:rFonts w:asciiTheme="majorHAnsi" w:hAnsiTheme="majorHAnsi"/>
          <w:sz w:val="23"/>
        </w:rPr>
        <w:t>ccNSO</w:t>
      </w:r>
      <w:proofErr w:type="spellEnd"/>
      <w:r w:rsidR="00C158CE">
        <w:rPr>
          <w:rFonts w:asciiTheme="majorHAnsi" w:hAnsiTheme="majorHAnsi"/>
          <w:sz w:val="23"/>
        </w:rPr>
        <w:t xml:space="preserve"> and others</w:t>
      </w:r>
      <w:r w:rsidR="00DF072D">
        <w:rPr>
          <w:rFonts w:asciiTheme="majorHAnsi" w:hAnsiTheme="majorHAnsi"/>
          <w:sz w:val="23"/>
        </w:rPr>
        <w:t xml:space="preserve"> is deliberate</w:t>
      </w:r>
      <w:r w:rsidR="00C158CE">
        <w:rPr>
          <w:rFonts w:asciiTheme="majorHAnsi" w:hAnsiTheme="majorHAnsi"/>
          <w:sz w:val="23"/>
        </w:rPr>
        <w:t>.   An effort was made to include most functional interest groups and</w:t>
      </w:r>
      <w:r w:rsidR="00DB73A3">
        <w:rPr>
          <w:rFonts w:asciiTheme="majorHAnsi" w:hAnsiTheme="majorHAnsi"/>
          <w:sz w:val="23"/>
        </w:rPr>
        <w:t xml:space="preserve"> to </w:t>
      </w:r>
      <w:r w:rsidR="00720387">
        <w:rPr>
          <w:rFonts w:asciiTheme="majorHAnsi" w:hAnsiTheme="majorHAnsi"/>
          <w:sz w:val="23"/>
        </w:rPr>
        <w:t>recognize</w:t>
      </w:r>
      <w:r w:rsidR="00C158CE">
        <w:rPr>
          <w:rFonts w:asciiTheme="majorHAnsi" w:hAnsiTheme="majorHAnsi"/>
          <w:sz w:val="23"/>
        </w:rPr>
        <w:t xml:space="preserve"> </w:t>
      </w:r>
      <w:r w:rsidR="00DB73A3">
        <w:rPr>
          <w:rFonts w:asciiTheme="majorHAnsi" w:hAnsiTheme="majorHAnsi"/>
          <w:sz w:val="23"/>
        </w:rPr>
        <w:t>the</w:t>
      </w:r>
      <w:r w:rsidR="00C158CE">
        <w:rPr>
          <w:rFonts w:asciiTheme="majorHAnsi" w:hAnsiTheme="majorHAnsi"/>
          <w:sz w:val="23"/>
        </w:rPr>
        <w:t xml:space="preserve"> different </w:t>
      </w:r>
      <w:r w:rsidR="00DB73A3">
        <w:rPr>
          <w:rFonts w:asciiTheme="majorHAnsi" w:hAnsiTheme="majorHAnsi"/>
          <w:sz w:val="23"/>
        </w:rPr>
        <w:t xml:space="preserve">skills </w:t>
      </w:r>
      <w:r w:rsidR="00C158CE">
        <w:rPr>
          <w:rFonts w:asciiTheme="majorHAnsi" w:hAnsiTheme="majorHAnsi"/>
          <w:sz w:val="23"/>
        </w:rPr>
        <w:t xml:space="preserve">residing within ICANN.  </w:t>
      </w:r>
      <w:r w:rsidR="00DF072D">
        <w:rPr>
          <w:rFonts w:asciiTheme="majorHAnsi" w:hAnsiTheme="majorHAnsi"/>
          <w:sz w:val="23"/>
        </w:rPr>
        <w:t>An effort was also m</w:t>
      </w:r>
      <w:r w:rsidR="00720387">
        <w:rPr>
          <w:rFonts w:asciiTheme="majorHAnsi" w:hAnsiTheme="majorHAnsi"/>
          <w:sz w:val="23"/>
        </w:rPr>
        <w:t>ade to find areas of common ground</w:t>
      </w:r>
      <w:r w:rsidR="00DF072D">
        <w:rPr>
          <w:rFonts w:asciiTheme="majorHAnsi" w:hAnsiTheme="majorHAnsi"/>
          <w:sz w:val="23"/>
        </w:rPr>
        <w:t xml:space="preserve"> that enables</w:t>
      </w:r>
      <w:r w:rsidR="00720387">
        <w:rPr>
          <w:rFonts w:asciiTheme="majorHAnsi" w:hAnsiTheme="majorHAnsi"/>
          <w:sz w:val="23"/>
        </w:rPr>
        <w:t xml:space="preserve"> progress and minimizes </w:t>
      </w:r>
      <w:r w:rsidR="00DF072D">
        <w:rPr>
          <w:rFonts w:asciiTheme="majorHAnsi" w:hAnsiTheme="majorHAnsi"/>
          <w:sz w:val="23"/>
        </w:rPr>
        <w:t>delay.</w:t>
      </w:r>
    </w:p>
    <w:p w:rsidR="00C158CE" w:rsidRDefault="00C158CE" w:rsidP="000A5D5D">
      <w:pPr>
        <w:rPr>
          <w:rFonts w:asciiTheme="majorHAnsi" w:hAnsiTheme="majorHAnsi"/>
          <w:sz w:val="23"/>
        </w:rPr>
      </w:pPr>
    </w:p>
    <w:p w:rsidR="000A5D5D" w:rsidRDefault="00C158CE" w:rsidP="000A5D5D">
      <w:pPr>
        <w:rPr>
          <w:rFonts w:asciiTheme="majorHAnsi" w:hAnsiTheme="majorHAnsi"/>
          <w:sz w:val="23"/>
        </w:rPr>
      </w:pPr>
      <w:r>
        <w:rPr>
          <w:rFonts w:asciiTheme="majorHAnsi" w:hAnsiTheme="majorHAnsi"/>
          <w:sz w:val="23"/>
        </w:rPr>
        <w:t xml:space="preserve">The </w:t>
      </w:r>
      <w:r w:rsidR="00DB73A3">
        <w:rPr>
          <w:rFonts w:asciiTheme="majorHAnsi" w:hAnsiTheme="majorHAnsi"/>
          <w:sz w:val="23"/>
        </w:rPr>
        <w:t xml:space="preserve">WG </w:t>
      </w:r>
      <w:r>
        <w:rPr>
          <w:rFonts w:asciiTheme="majorHAnsi" w:hAnsiTheme="majorHAnsi"/>
          <w:sz w:val="23"/>
        </w:rPr>
        <w:t>proposes to draft the plan for Expressions of Interest and to serve as “points of contact” to their communities in order to bring ideas and concerns to the WG</w:t>
      </w:r>
      <w:r w:rsidR="00DB73A3">
        <w:rPr>
          <w:rFonts w:asciiTheme="majorHAnsi" w:hAnsiTheme="majorHAnsi"/>
          <w:sz w:val="23"/>
        </w:rPr>
        <w:t xml:space="preserve"> for presentation to the Board for its December 2009 meeting</w:t>
      </w:r>
      <w:r>
        <w:rPr>
          <w:rFonts w:asciiTheme="majorHAnsi" w:hAnsiTheme="majorHAnsi"/>
          <w:sz w:val="23"/>
        </w:rPr>
        <w:t xml:space="preserve">.   </w:t>
      </w:r>
      <w:r w:rsidR="00DB73A3">
        <w:rPr>
          <w:rFonts w:asciiTheme="majorHAnsi" w:hAnsiTheme="majorHAnsi"/>
          <w:sz w:val="23"/>
        </w:rPr>
        <w:t>The full resolution is found below and will drive the formation of the group, its working methods and its expected outputs.</w:t>
      </w:r>
    </w:p>
    <w:p w:rsidR="00C158CE" w:rsidRDefault="00C158CE" w:rsidP="000A5D5D">
      <w:pPr>
        <w:rPr>
          <w:rFonts w:asciiTheme="majorHAnsi" w:hAnsiTheme="majorHAnsi"/>
          <w:sz w:val="23"/>
        </w:rPr>
      </w:pPr>
    </w:p>
    <w:p w:rsidR="00C158CE" w:rsidRPr="001B63DD" w:rsidRDefault="008E0DFD" w:rsidP="001B63DD">
      <w:pPr>
        <w:ind w:left="432" w:right="432"/>
        <w:rPr>
          <w:rFonts w:asciiTheme="majorHAnsi" w:hAnsiTheme="majorHAnsi"/>
          <w:i/>
          <w:sz w:val="22"/>
        </w:rPr>
      </w:pPr>
      <w:r w:rsidRPr="00720387">
        <w:rPr>
          <w:i/>
          <w:sz w:val="22"/>
        </w:rPr>
        <w:t xml:space="preserve">Resolved (2009.10.30__), the ICANN Board directs staff to study the potential impact of a call for formal "expressions of interest," and provide a plan for Board consideration at </w:t>
      </w:r>
      <w:proofErr w:type="spellStart"/>
      <w:r w:rsidRPr="00720387">
        <w:rPr>
          <w:i/>
          <w:sz w:val="22"/>
        </w:rPr>
        <w:t>ICANN's</w:t>
      </w:r>
      <w:proofErr w:type="spellEnd"/>
      <w:r w:rsidRPr="00720387">
        <w:rPr>
          <w:i/>
          <w:sz w:val="22"/>
        </w:rPr>
        <w:t xml:space="preserve"> next Board meeting, in December 2009. The plan should include possible options and a risk analysis relating to the proposed action.</w:t>
      </w:r>
    </w:p>
    <w:p w:rsidR="00720387" w:rsidRPr="00720387" w:rsidRDefault="00C158CE" w:rsidP="00720387">
      <w:pPr>
        <w:pStyle w:val="Heading1"/>
      </w:pPr>
      <w:r w:rsidRPr="00D74B1D">
        <w:t>Timeline</w:t>
      </w:r>
    </w:p>
    <w:p w:rsidR="000A5D5D" w:rsidRDefault="00C158CE" w:rsidP="000A5D5D">
      <w:pPr>
        <w:rPr>
          <w:rFonts w:asciiTheme="majorHAnsi" w:hAnsiTheme="majorHAnsi"/>
          <w:sz w:val="23"/>
        </w:rPr>
      </w:pPr>
      <w:r>
        <w:rPr>
          <w:rFonts w:asciiTheme="majorHAnsi" w:hAnsiTheme="majorHAnsi"/>
          <w:sz w:val="23"/>
        </w:rPr>
        <w:t>In order for the Board to properly consider a plan at their December [</w:t>
      </w:r>
      <w:r w:rsidR="006E5141">
        <w:rPr>
          <w:rFonts w:asciiTheme="majorHAnsi" w:hAnsiTheme="majorHAnsi"/>
          <w:sz w:val="23"/>
        </w:rPr>
        <w:t>9</w:t>
      </w:r>
      <w:r>
        <w:rPr>
          <w:rFonts w:asciiTheme="majorHAnsi" w:hAnsiTheme="majorHAnsi"/>
          <w:sz w:val="23"/>
        </w:rPr>
        <w:t>] 2009 meeting, Board members will need to be provided with the plan at least ten days prior, or [November 27].   The WG will therefore need to present its plan to staff no later than [November 14] in order to give staff time to prepare it for Board consideration.</w:t>
      </w:r>
    </w:p>
    <w:p w:rsidR="00C158CE" w:rsidRDefault="00C158CE" w:rsidP="000A5D5D">
      <w:pPr>
        <w:rPr>
          <w:rFonts w:asciiTheme="majorHAnsi" w:hAnsiTheme="majorHAnsi"/>
          <w:sz w:val="23"/>
        </w:rPr>
      </w:pPr>
    </w:p>
    <w:p w:rsidR="00C158CE" w:rsidRDefault="00C158CE" w:rsidP="000A5D5D">
      <w:pPr>
        <w:rPr>
          <w:rFonts w:asciiTheme="majorHAnsi" w:hAnsiTheme="majorHAnsi"/>
          <w:sz w:val="23"/>
        </w:rPr>
      </w:pPr>
      <w:r>
        <w:rPr>
          <w:rFonts w:asciiTheme="majorHAnsi" w:hAnsiTheme="majorHAnsi"/>
          <w:sz w:val="23"/>
        </w:rPr>
        <w:t xml:space="preserve">If in fact the Board adopts the plan, a comment period of [30 days] should follow to give the ICANN community the opportunity </w:t>
      </w:r>
      <w:r w:rsidR="00DB73A3">
        <w:rPr>
          <w:rFonts w:asciiTheme="majorHAnsi" w:hAnsiTheme="majorHAnsi"/>
          <w:sz w:val="23"/>
        </w:rPr>
        <w:t>to make improvements to the proposals</w:t>
      </w:r>
      <w:r>
        <w:rPr>
          <w:rFonts w:asciiTheme="majorHAnsi" w:hAnsiTheme="majorHAnsi"/>
          <w:sz w:val="23"/>
        </w:rPr>
        <w:t xml:space="preserve">.   The WG would then revise its draft accordingly and resubmit to staff for review.  </w:t>
      </w:r>
    </w:p>
    <w:p w:rsidR="00C158CE" w:rsidRDefault="00C158CE" w:rsidP="000A5D5D">
      <w:pPr>
        <w:rPr>
          <w:rFonts w:asciiTheme="majorHAnsi" w:hAnsiTheme="majorHAnsi"/>
          <w:sz w:val="23"/>
        </w:rPr>
      </w:pPr>
    </w:p>
    <w:p w:rsidR="00DF072D" w:rsidRDefault="00DF072D" w:rsidP="000A5D5D">
      <w:pPr>
        <w:rPr>
          <w:rFonts w:asciiTheme="majorHAnsi" w:hAnsiTheme="majorHAnsi"/>
          <w:sz w:val="23"/>
        </w:rPr>
      </w:pPr>
      <w:r>
        <w:rPr>
          <w:rFonts w:asciiTheme="majorHAnsi" w:hAnsiTheme="majorHAnsi"/>
          <w:sz w:val="23"/>
        </w:rPr>
        <w:t>Key dates</w:t>
      </w:r>
    </w:p>
    <w:p w:rsidR="00DF072D" w:rsidRDefault="00DF072D" w:rsidP="000A5D5D">
      <w:pPr>
        <w:rPr>
          <w:rFonts w:asciiTheme="majorHAnsi" w:hAnsiTheme="majorHAnsi"/>
          <w:sz w:val="23"/>
        </w:rPr>
      </w:pPr>
    </w:p>
    <w:p w:rsidR="008E0DFD" w:rsidRDefault="00720387" w:rsidP="008E0DFD">
      <w:pPr>
        <w:pStyle w:val="ListParagraph"/>
        <w:numPr>
          <w:ilvl w:val="0"/>
          <w:numId w:val="13"/>
        </w:numPr>
        <w:rPr>
          <w:rFonts w:asciiTheme="majorHAnsi" w:hAnsiTheme="majorHAnsi"/>
          <w:sz w:val="23"/>
        </w:rPr>
      </w:pPr>
      <w:r>
        <w:rPr>
          <w:rFonts w:asciiTheme="majorHAnsi" w:hAnsiTheme="majorHAnsi"/>
          <w:sz w:val="23"/>
        </w:rPr>
        <w:t>Kick off conference call on [</w:t>
      </w:r>
      <w:r w:rsidR="006E5141">
        <w:rPr>
          <w:rFonts w:asciiTheme="majorHAnsi" w:hAnsiTheme="majorHAnsi"/>
          <w:sz w:val="23"/>
        </w:rPr>
        <w:t>9</w:t>
      </w:r>
      <w:r>
        <w:rPr>
          <w:rFonts w:asciiTheme="majorHAnsi" w:hAnsiTheme="majorHAnsi"/>
          <w:sz w:val="23"/>
        </w:rPr>
        <w:t xml:space="preserve"> November 2009]</w:t>
      </w:r>
      <w:r w:rsidR="00DF072D" w:rsidRPr="00DF072D">
        <w:rPr>
          <w:rFonts w:asciiTheme="majorHAnsi" w:hAnsiTheme="majorHAnsi"/>
          <w:sz w:val="23"/>
        </w:rPr>
        <w:t xml:space="preserve"> with first draft of EOI circulated </w:t>
      </w:r>
    </w:p>
    <w:p w:rsidR="00DF072D" w:rsidRDefault="00720387" w:rsidP="00DF072D">
      <w:pPr>
        <w:pStyle w:val="ListParagraph"/>
        <w:numPr>
          <w:ilvl w:val="0"/>
          <w:numId w:val="13"/>
        </w:numPr>
        <w:rPr>
          <w:rFonts w:asciiTheme="majorHAnsi" w:hAnsiTheme="majorHAnsi"/>
          <w:sz w:val="23"/>
        </w:rPr>
      </w:pPr>
      <w:r>
        <w:rPr>
          <w:rFonts w:asciiTheme="majorHAnsi" w:hAnsiTheme="majorHAnsi"/>
          <w:sz w:val="23"/>
        </w:rPr>
        <w:t xml:space="preserve">Second conference call [13 </w:t>
      </w:r>
      <w:r w:rsidR="00DF072D">
        <w:rPr>
          <w:rFonts w:asciiTheme="majorHAnsi" w:hAnsiTheme="majorHAnsi"/>
          <w:sz w:val="23"/>
        </w:rPr>
        <w:t>November</w:t>
      </w:r>
      <w:r>
        <w:rPr>
          <w:rFonts w:asciiTheme="majorHAnsi" w:hAnsiTheme="majorHAnsi"/>
          <w:sz w:val="23"/>
        </w:rPr>
        <w:t xml:space="preserve"> 2009] to finaliz</w:t>
      </w:r>
      <w:r w:rsidR="00DF072D">
        <w:rPr>
          <w:rFonts w:asciiTheme="majorHAnsi" w:hAnsiTheme="majorHAnsi"/>
          <w:sz w:val="23"/>
        </w:rPr>
        <w:t>e draft of paper for submission to staff</w:t>
      </w:r>
    </w:p>
    <w:p w:rsidR="00720387" w:rsidRDefault="00DF072D" w:rsidP="00DF072D">
      <w:pPr>
        <w:pStyle w:val="ListParagraph"/>
        <w:numPr>
          <w:ilvl w:val="0"/>
          <w:numId w:val="13"/>
        </w:numPr>
        <w:rPr>
          <w:rFonts w:asciiTheme="majorHAnsi" w:hAnsiTheme="majorHAnsi"/>
          <w:sz w:val="23"/>
        </w:rPr>
      </w:pPr>
      <w:r>
        <w:rPr>
          <w:rFonts w:asciiTheme="majorHAnsi" w:hAnsiTheme="majorHAnsi"/>
          <w:sz w:val="23"/>
        </w:rPr>
        <w:t xml:space="preserve">Submission </w:t>
      </w:r>
      <w:r w:rsidR="006E5141">
        <w:rPr>
          <w:rFonts w:asciiTheme="majorHAnsi" w:hAnsiTheme="majorHAnsi"/>
          <w:sz w:val="23"/>
        </w:rPr>
        <w:t>of</w:t>
      </w:r>
      <w:r>
        <w:rPr>
          <w:rFonts w:asciiTheme="majorHAnsi" w:hAnsiTheme="majorHAnsi"/>
          <w:sz w:val="23"/>
        </w:rPr>
        <w:t xml:space="preserve"> the draft paper </w:t>
      </w:r>
      <w:r w:rsidR="00720387">
        <w:rPr>
          <w:rFonts w:asciiTheme="majorHAnsi" w:hAnsiTheme="majorHAnsi"/>
          <w:sz w:val="23"/>
        </w:rPr>
        <w:t>[1</w:t>
      </w:r>
      <w:r w:rsidR="006E5141">
        <w:rPr>
          <w:rFonts w:asciiTheme="majorHAnsi" w:hAnsiTheme="majorHAnsi"/>
          <w:sz w:val="23"/>
        </w:rPr>
        <w:t>7 November</w:t>
      </w:r>
      <w:r w:rsidR="00720387">
        <w:rPr>
          <w:rFonts w:asciiTheme="majorHAnsi" w:hAnsiTheme="majorHAnsi"/>
          <w:sz w:val="23"/>
        </w:rPr>
        <w:t xml:space="preserve"> 2009]</w:t>
      </w:r>
      <w:r w:rsidR="006E5141">
        <w:rPr>
          <w:rFonts w:asciiTheme="majorHAnsi" w:hAnsiTheme="majorHAnsi"/>
          <w:sz w:val="23"/>
        </w:rPr>
        <w:t xml:space="preserve"> to ICANN staff</w:t>
      </w:r>
    </w:p>
    <w:p w:rsidR="00DF072D" w:rsidRDefault="00720387" w:rsidP="00DF072D">
      <w:pPr>
        <w:pStyle w:val="ListParagraph"/>
        <w:numPr>
          <w:ilvl w:val="0"/>
          <w:numId w:val="13"/>
        </w:numPr>
        <w:rPr>
          <w:rFonts w:asciiTheme="majorHAnsi" w:hAnsiTheme="majorHAnsi"/>
          <w:sz w:val="23"/>
        </w:rPr>
      </w:pPr>
      <w:r>
        <w:rPr>
          <w:rFonts w:asciiTheme="majorHAnsi" w:hAnsiTheme="majorHAnsi"/>
          <w:sz w:val="23"/>
        </w:rPr>
        <w:t>Staff submits proposal for public comment as appropriate</w:t>
      </w:r>
    </w:p>
    <w:p w:rsidR="00DF072D" w:rsidRDefault="00720387" w:rsidP="00DF072D">
      <w:pPr>
        <w:pStyle w:val="ListParagraph"/>
        <w:numPr>
          <w:ilvl w:val="0"/>
          <w:numId w:val="13"/>
        </w:numPr>
        <w:rPr>
          <w:rFonts w:asciiTheme="majorHAnsi" w:hAnsiTheme="majorHAnsi"/>
          <w:sz w:val="23"/>
        </w:rPr>
      </w:pPr>
      <w:r>
        <w:rPr>
          <w:rFonts w:asciiTheme="majorHAnsi" w:hAnsiTheme="majorHAnsi"/>
          <w:sz w:val="23"/>
        </w:rPr>
        <w:t>Approval from Board on [</w:t>
      </w:r>
      <w:r w:rsidR="006E5141">
        <w:rPr>
          <w:rFonts w:asciiTheme="majorHAnsi" w:hAnsiTheme="majorHAnsi"/>
          <w:sz w:val="23"/>
        </w:rPr>
        <w:t>9</w:t>
      </w:r>
      <w:r w:rsidR="00DF072D">
        <w:rPr>
          <w:rFonts w:asciiTheme="majorHAnsi" w:hAnsiTheme="majorHAnsi"/>
          <w:sz w:val="23"/>
        </w:rPr>
        <w:t xml:space="preserve"> December</w:t>
      </w:r>
      <w:r>
        <w:rPr>
          <w:rFonts w:asciiTheme="majorHAnsi" w:hAnsiTheme="majorHAnsi"/>
          <w:sz w:val="23"/>
        </w:rPr>
        <w:t xml:space="preserve"> 2009]</w:t>
      </w:r>
      <w:r w:rsidR="00DF072D">
        <w:rPr>
          <w:rFonts w:asciiTheme="majorHAnsi" w:hAnsiTheme="majorHAnsi"/>
          <w:sz w:val="23"/>
        </w:rPr>
        <w:t xml:space="preserve"> </w:t>
      </w:r>
      <w:r>
        <w:rPr>
          <w:rFonts w:asciiTheme="majorHAnsi" w:hAnsiTheme="majorHAnsi"/>
          <w:sz w:val="23"/>
        </w:rPr>
        <w:t>for</w:t>
      </w:r>
      <w:r w:rsidR="00DF072D">
        <w:rPr>
          <w:rFonts w:asciiTheme="majorHAnsi" w:hAnsiTheme="majorHAnsi"/>
          <w:sz w:val="23"/>
        </w:rPr>
        <w:t xml:space="preserve"> the devel</w:t>
      </w:r>
      <w:r>
        <w:rPr>
          <w:rFonts w:asciiTheme="majorHAnsi" w:hAnsiTheme="majorHAnsi"/>
          <w:sz w:val="23"/>
        </w:rPr>
        <w:t xml:space="preserve">opment of a formal plan with a </w:t>
      </w:r>
      <w:r w:rsidR="00DF072D">
        <w:rPr>
          <w:rFonts w:asciiTheme="majorHAnsi" w:hAnsiTheme="majorHAnsi"/>
          <w:sz w:val="23"/>
        </w:rPr>
        <w:t>start date of 12 March</w:t>
      </w:r>
      <w:r w:rsidR="006E5141">
        <w:rPr>
          <w:rFonts w:asciiTheme="majorHAnsi" w:hAnsiTheme="majorHAnsi"/>
          <w:sz w:val="23"/>
        </w:rPr>
        <w:t xml:space="preserve"> 2009</w:t>
      </w:r>
      <w:r>
        <w:rPr>
          <w:rFonts w:asciiTheme="majorHAnsi" w:hAnsiTheme="majorHAnsi"/>
          <w:sz w:val="23"/>
        </w:rPr>
        <w:t xml:space="preserve"> (beginning of ICANN Nairobi meeting)</w:t>
      </w:r>
      <w:r w:rsidR="00DF072D">
        <w:rPr>
          <w:rFonts w:asciiTheme="majorHAnsi" w:hAnsiTheme="majorHAnsi"/>
          <w:sz w:val="23"/>
        </w:rPr>
        <w:t>.</w:t>
      </w:r>
    </w:p>
    <w:p w:rsidR="008E0DFD" w:rsidRDefault="008E0DFD" w:rsidP="008E0DFD">
      <w:pPr>
        <w:pStyle w:val="ListParagraph"/>
        <w:rPr>
          <w:rFonts w:asciiTheme="majorHAnsi" w:hAnsiTheme="majorHAnsi"/>
          <w:sz w:val="23"/>
        </w:rPr>
      </w:pPr>
    </w:p>
    <w:p w:rsidR="00DF072D" w:rsidRPr="00720387" w:rsidRDefault="00C158CE" w:rsidP="00720387">
      <w:pPr>
        <w:pStyle w:val="Heading1"/>
      </w:pPr>
      <w:r>
        <w:t xml:space="preserve">Expression of Interest </w:t>
      </w:r>
      <w:r w:rsidR="000A5D5D" w:rsidRPr="00B06D8B">
        <w:t>Procedure</w:t>
      </w:r>
    </w:p>
    <w:p w:rsidR="000A5D5D" w:rsidRPr="00B06D8B" w:rsidRDefault="00C158CE" w:rsidP="000A5D5D">
      <w:pPr>
        <w:rPr>
          <w:rFonts w:asciiTheme="majorHAnsi" w:hAnsiTheme="majorHAnsi"/>
          <w:sz w:val="23"/>
        </w:rPr>
      </w:pPr>
      <w:r>
        <w:rPr>
          <w:rFonts w:asciiTheme="majorHAnsi" w:hAnsiTheme="majorHAnsi"/>
          <w:sz w:val="23"/>
        </w:rPr>
        <w:t>T</w:t>
      </w:r>
      <w:r w:rsidR="000A5D5D" w:rsidRPr="00B06D8B">
        <w:rPr>
          <w:rFonts w:asciiTheme="majorHAnsi" w:hAnsiTheme="majorHAnsi"/>
          <w:sz w:val="23"/>
        </w:rPr>
        <w:t xml:space="preserve">hose who wish to apply for a new TLD </w:t>
      </w:r>
      <w:r>
        <w:rPr>
          <w:rFonts w:asciiTheme="majorHAnsi" w:hAnsiTheme="majorHAnsi"/>
          <w:sz w:val="23"/>
        </w:rPr>
        <w:t xml:space="preserve">in the first round </w:t>
      </w:r>
      <w:r w:rsidR="000A5D5D" w:rsidRPr="00B06D8B">
        <w:rPr>
          <w:rFonts w:asciiTheme="majorHAnsi" w:hAnsiTheme="majorHAnsi"/>
          <w:sz w:val="23"/>
        </w:rPr>
        <w:t xml:space="preserve">will, during a </w:t>
      </w:r>
      <w:r>
        <w:rPr>
          <w:rFonts w:asciiTheme="majorHAnsi" w:hAnsiTheme="majorHAnsi"/>
          <w:sz w:val="23"/>
        </w:rPr>
        <w:t>[month-long]</w:t>
      </w:r>
      <w:r w:rsidR="000A5D5D" w:rsidRPr="00B06D8B">
        <w:rPr>
          <w:rFonts w:asciiTheme="majorHAnsi" w:hAnsiTheme="majorHAnsi"/>
          <w:sz w:val="23"/>
        </w:rPr>
        <w:t xml:space="preserve"> window, send to ICANN the following</w:t>
      </w:r>
      <w:r>
        <w:rPr>
          <w:rFonts w:asciiTheme="majorHAnsi" w:hAnsiTheme="majorHAnsi"/>
          <w:sz w:val="23"/>
        </w:rPr>
        <w:t xml:space="preserve"> for each TLD to be applied for</w:t>
      </w:r>
      <w:r w:rsidR="000A5D5D" w:rsidRPr="00B06D8B">
        <w:rPr>
          <w:rFonts w:asciiTheme="majorHAnsi" w:hAnsiTheme="majorHAnsi"/>
          <w:sz w:val="23"/>
        </w:rPr>
        <w:t>:</w:t>
      </w:r>
    </w:p>
    <w:p w:rsidR="000A5D5D" w:rsidRPr="00B06D8B" w:rsidRDefault="000A5D5D" w:rsidP="000A5D5D">
      <w:pPr>
        <w:rPr>
          <w:rFonts w:asciiTheme="majorHAnsi" w:hAnsiTheme="majorHAnsi"/>
          <w:sz w:val="23"/>
        </w:rPr>
      </w:pPr>
    </w:p>
    <w:p w:rsidR="000A5D5D" w:rsidRPr="00B06D8B" w:rsidRDefault="000A5D5D" w:rsidP="00C158CE">
      <w:pPr>
        <w:pStyle w:val="ListParagraph"/>
        <w:numPr>
          <w:ilvl w:val="0"/>
          <w:numId w:val="5"/>
        </w:numPr>
        <w:rPr>
          <w:rFonts w:asciiTheme="majorHAnsi" w:hAnsiTheme="majorHAnsi"/>
          <w:sz w:val="23"/>
        </w:rPr>
      </w:pPr>
      <w:r w:rsidRPr="00B06D8B">
        <w:rPr>
          <w:rFonts w:asciiTheme="majorHAnsi" w:hAnsiTheme="majorHAnsi"/>
          <w:sz w:val="23"/>
        </w:rPr>
        <w:t>Name of applying entity</w:t>
      </w:r>
    </w:p>
    <w:p w:rsidR="000A5D5D" w:rsidRPr="00B06D8B" w:rsidRDefault="000A5D5D" w:rsidP="00C158CE">
      <w:pPr>
        <w:pStyle w:val="ListParagraph"/>
        <w:numPr>
          <w:ilvl w:val="0"/>
          <w:numId w:val="5"/>
        </w:numPr>
        <w:rPr>
          <w:rFonts w:asciiTheme="majorHAnsi" w:hAnsiTheme="majorHAnsi"/>
          <w:sz w:val="23"/>
        </w:rPr>
      </w:pPr>
      <w:r w:rsidRPr="00B06D8B">
        <w:rPr>
          <w:rFonts w:asciiTheme="majorHAnsi" w:hAnsiTheme="majorHAnsi"/>
          <w:sz w:val="23"/>
        </w:rPr>
        <w:t>Contact information</w:t>
      </w:r>
    </w:p>
    <w:p w:rsidR="000A5D5D" w:rsidRPr="00B06D8B" w:rsidRDefault="000A5D5D" w:rsidP="00C158CE">
      <w:pPr>
        <w:pStyle w:val="ListParagraph"/>
        <w:numPr>
          <w:ilvl w:val="0"/>
          <w:numId w:val="5"/>
        </w:numPr>
        <w:rPr>
          <w:rFonts w:asciiTheme="majorHAnsi" w:hAnsiTheme="majorHAnsi"/>
          <w:sz w:val="23"/>
        </w:rPr>
      </w:pPr>
      <w:r w:rsidRPr="00B06D8B">
        <w:rPr>
          <w:rFonts w:asciiTheme="majorHAnsi" w:hAnsiTheme="majorHAnsi"/>
          <w:sz w:val="23"/>
        </w:rPr>
        <w:t>Name (string) of the TLD to be applied for</w:t>
      </w:r>
    </w:p>
    <w:p w:rsidR="00C158CE" w:rsidRDefault="00C158CE" w:rsidP="00C158CE">
      <w:pPr>
        <w:pStyle w:val="ListParagraph"/>
        <w:numPr>
          <w:ilvl w:val="0"/>
          <w:numId w:val="5"/>
        </w:numPr>
        <w:rPr>
          <w:rFonts w:asciiTheme="majorHAnsi" w:hAnsiTheme="majorHAnsi"/>
          <w:sz w:val="23"/>
        </w:rPr>
      </w:pPr>
      <w:r>
        <w:rPr>
          <w:rFonts w:asciiTheme="majorHAnsi" w:hAnsiTheme="majorHAnsi"/>
          <w:sz w:val="23"/>
        </w:rPr>
        <w:t>[</w:t>
      </w:r>
      <w:r w:rsidR="000A5D5D" w:rsidRPr="00B06D8B">
        <w:rPr>
          <w:rFonts w:asciiTheme="majorHAnsi" w:hAnsiTheme="majorHAnsi"/>
          <w:sz w:val="23"/>
        </w:rPr>
        <w:t>$</w:t>
      </w:r>
      <w:r>
        <w:rPr>
          <w:rFonts w:asciiTheme="majorHAnsi" w:hAnsiTheme="majorHAnsi"/>
          <w:sz w:val="23"/>
        </w:rPr>
        <w:t>100</w:t>
      </w:r>
      <w:r w:rsidR="000A5D5D" w:rsidRPr="00B06D8B">
        <w:rPr>
          <w:rFonts w:asciiTheme="majorHAnsi" w:hAnsiTheme="majorHAnsi"/>
          <w:sz w:val="23"/>
        </w:rPr>
        <w:t>,000</w:t>
      </w:r>
      <w:r>
        <w:rPr>
          <w:rFonts w:asciiTheme="majorHAnsi" w:hAnsiTheme="majorHAnsi"/>
          <w:sz w:val="23"/>
        </w:rPr>
        <w:t>]</w:t>
      </w:r>
      <w:r w:rsidR="000A5D5D" w:rsidRPr="00B06D8B">
        <w:rPr>
          <w:rFonts w:asciiTheme="majorHAnsi" w:hAnsiTheme="majorHAnsi"/>
          <w:sz w:val="23"/>
        </w:rPr>
        <w:t xml:space="preserve"> USD</w:t>
      </w:r>
      <w:r>
        <w:rPr>
          <w:rFonts w:asciiTheme="majorHAnsi" w:hAnsiTheme="majorHAnsi"/>
          <w:sz w:val="23"/>
        </w:rPr>
        <w:t xml:space="preserve"> (the “Fee”)</w:t>
      </w:r>
      <w:r w:rsidR="000A5D5D" w:rsidRPr="00B06D8B">
        <w:rPr>
          <w:rFonts w:asciiTheme="majorHAnsi" w:hAnsiTheme="majorHAnsi"/>
          <w:sz w:val="23"/>
        </w:rPr>
        <w:t xml:space="preserve">, </w:t>
      </w:r>
      <w:r>
        <w:rPr>
          <w:rFonts w:asciiTheme="majorHAnsi" w:hAnsiTheme="majorHAnsi"/>
          <w:sz w:val="23"/>
        </w:rPr>
        <w:t xml:space="preserve">to be held in escrow, </w:t>
      </w:r>
      <w:r w:rsidR="000A5D5D" w:rsidRPr="00B06D8B">
        <w:rPr>
          <w:rFonts w:asciiTheme="majorHAnsi" w:hAnsiTheme="majorHAnsi"/>
          <w:sz w:val="23"/>
        </w:rPr>
        <w:t xml:space="preserve">refundable at </w:t>
      </w:r>
      <w:proofErr w:type="spellStart"/>
      <w:r w:rsidR="000A5D5D" w:rsidRPr="00B06D8B">
        <w:rPr>
          <w:rFonts w:asciiTheme="majorHAnsi" w:hAnsiTheme="majorHAnsi"/>
          <w:sz w:val="23"/>
        </w:rPr>
        <w:t>ICANN's</w:t>
      </w:r>
      <w:proofErr w:type="spellEnd"/>
      <w:r w:rsidR="000A5D5D" w:rsidRPr="00B06D8B">
        <w:rPr>
          <w:rFonts w:asciiTheme="majorHAnsi" w:hAnsiTheme="majorHAnsi"/>
          <w:sz w:val="23"/>
        </w:rPr>
        <w:t xml:space="preserve"> option</w:t>
      </w:r>
      <w:r>
        <w:rPr>
          <w:rFonts w:asciiTheme="majorHAnsi" w:hAnsiTheme="majorHAnsi"/>
          <w:sz w:val="23"/>
        </w:rPr>
        <w:t xml:space="preserve">.  </w:t>
      </w:r>
      <w:r w:rsidRPr="00F46E1A">
        <w:rPr>
          <w:rFonts w:asciiTheme="majorHAnsi" w:hAnsiTheme="majorHAnsi"/>
          <w:sz w:val="23"/>
        </w:rPr>
        <w:t>T</w:t>
      </w:r>
      <w:r w:rsidR="000A5D5D" w:rsidRPr="00F46E1A">
        <w:rPr>
          <w:rFonts w:asciiTheme="majorHAnsi" w:hAnsiTheme="majorHAnsi"/>
          <w:sz w:val="23"/>
        </w:rPr>
        <w:t xml:space="preserve">he </w:t>
      </w:r>
      <w:r w:rsidRPr="00F46E1A">
        <w:rPr>
          <w:rFonts w:asciiTheme="majorHAnsi" w:hAnsiTheme="majorHAnsi"/>
          <w:sz w:val="23"/>
        </w:rPr>
        <w:t xml:space="preserve">Fee </w:t>
      </w:r>
      <w:r w:rsidR="00720387">
        <w:rPr>
          <w:rFonts w:asciiTheme="majorHAnsi" w:hAnsiTheme="majorHAnsi"/>
          <w:sz w:val="23"/>
        </w:rPr>
        <w:t>would</w:t>
      </w:r>
      <w:r w:rsidRPr="00F46E1A">
        <w:rPr>
          <w:rFonts w:asciiTheme="majorHAnsi" w:hAnsiTheme="majorHAnsi"/>
          <w:sz w:val="23"/>
        </w:rPr>
        <w:t xml:space="preserve"> be applied to the entity’s </w:t>
      </w:r>
      <w:r w:rsidR="000A5D5D" w:rsidRPr="00F46E1A">
        <w:rPr>
          <w:rFonts w:asciiTheme="majorHAnsi" w:hAnsiTheme="majorHAnsi"/>
          <w:sz w:val="23"/>
        </w:rPr>
        <w:t>eventual application fee</w:t>
      </w:r>
      <w:r w:rsidRPr="00F46E1A">
        <w:rPr>
          <w:rFonts w:asciiTheme="majorHAnsi" w:hAnsiTheme="majorHAnsi"/>
          <w:sz w:val="23"/>
        </w:rPr>
        <w:t xml:space="preserve"> to ICANN, if ICANN proceeds with the new </w:t>
      </w:r>
      <w:proofErr w:type="spellStart"/>
      <w:r w:rsidRPr="00F46E1A">
        <w:rPr>
          <w:rFonts w:asciiTheme="majorHAnsi" w:hAnsiTheme="majorHAnsi"/>
          <w:sz w:val="23"/>
        </w:rPr>
        <w:t>gTLD</w:t>
      </w:r>
      <w:proofErr w:type="spellEnd"/>
      <w:r w:rsidRPr="00F46E1A">
        <w:rPr>
          <w:rFonts w:asciiTheme="majorHAnsi" w:hAnsiTheme="majorHAnsi"/>
          <w:sz w:val="23"/>
        </w:rPr>
        <w:t xml:space="preserve"> round</w:t>
      </w:r>
      <w:r>
        <w:rPr>
          <w:rFonts w:asciiTheme="majorHAnsi" w:hAnsiTheme="majorHAnsi"/>
          <w:sz w:val="23"/>
        </w:rPr>
        <w:t>.</w:t>
      </w:r>
    </w:p>
    <w:p w:rsidR="00C158CE" w:rsidRPr="00D74B1D" w:rsidRDefault="00C158CE" w:rsidP="00C158CE">
      <w:pPr>
        <w:pStyle w:val="ListParagraph"/>
        <w:numPr>
          <w:ilvl w:val="0"/>
          <w:numId w:val="5"/>
        </w:numPr>
        <w:rPr>
          <w:rFonts w:asciiTheme="majorHAnsi" w:hAnsiTheme="majorHAnsi"/>
          <w:sz w:val="23"/>
        </w:rPr>
      </w:pPr>
      <w:r w:rsidRPr="00D74B1D">
        <w:rPr>
          <w:rFonts w:asciiTheme="majorHAnsi" w:hAnsiTheme="majorHAnsi"/>
          <w:sz w:val="23"/>
        </w:rPr>
        <w:t xml:space="preserve">A statement releasing ICANN from liability in regard to the Expression of Interest or any eventual application for a new TLD. </w:t>
      </w:r>
    </w:p>
    <w:p w:rsidR="000A5D5D" w:rsidRPr="00D74B1D" w:rsidRDefault="000A5D5D" w:rsidP="000A5D5D">
      <w:pPr>
        <w:rPr>
          <w:rFonts w:asciiTheme="majorHAnsi" w:hAnsiTheme="majorHAnsi"/>
          <w:sz w:val="23"/>
        </w:rPr>
      </w:pPr>
    </w:p>
    <w:p w:rsidR="000A5D5D" w:rsidRPr="00B06D8B" w:rsidRDefault="000A5D5D" w:rsidP="000A5D5D">
      <w:pPr>
        <w:rPr>
          <w:rFonts w:asciiTheme="majorHAnsi" w:hAnsiTheme="majorHAnsi"/>
          <w:sz w:val="23"/>
        </w:rPr>
      </w:pPr>
      <w:r w:rsidRPr="00B06D8B">
        <w:rPr>
          <w:rFonts w:asciiTheme="majorHAnsi" w:hAnsiTheme="majorHAnsi"/>
          <w:sz w:val="23"/>
        </w:rPr>
        <w:t xml:space="preserve">Only those who follow this process will be allowed to complete the application, and they will only be allowed to apply for the string named in their communication.   The </w:t>
      </w:r>
      <w:r w:rsidR="00DB73A3">
        <w:rPr>
          <w:rFonts w:asciiTheme="majorHAnsi" w:hAnsiTheme="majorHAnsi"/>
          <w:sz w:val="23"/>
        </w:rPr>
        <w:t>quantum of the f</w:t>
      </w:r>
      <w:r w:rsidRPr="00B06D8B">
        <w:rPr>
          <w:rFonts w:asciiTheme="majorHAnsi" w:hAnsiTheme="majorHAnsi"/>
          <w:sz w:val="23"/>
        </w:rPr>
        <w:t>ee will severely limit any attempts to game the system</w:t>
      </w:r>
      <w:r w:rsidR="00DB73A3">
        <w:rPr>
          <w:rFonts w:asciiTheme="majorHAnsi" w:hAnsiTheme="majorHAnsi"/>
          <w:sz w:val="23"/>
        </w:rPr>
        <w:t xml:space="preserve"> and will also provide ICANN resources to complete its full cost</w:t>
      </w:r>
      <w:r w:rsidR="006E5141">
        <w:rPr>
          <w:rFonts w:asciiTheme="majorHAnsi" w:hAnsiTheme="majorHAnsi"/>
          <w:sz w:val="23"/>
        </w:rPr>
        <w:t>-</w:t>
      </w:r>
      <w:r w:rsidR="00DB73A3">
        <w:rPr>
          <w:rFonts w:asciiTheme="majorHAnsi" w:hAnsiTheme="majorHAnsi"/>
          <w:sz w:val="23"/>
        </w:rPr>
        <w:t>recovery evaluation process</w:t>
      </w:r>
      <w:r w:rsidRPr="00B06D8B">
        <w:rPr>
          <w:rFonts w:asciiTheme="majorHAnsi" w:hAnsiTheme="majorHAnsi"/>
          <w:sz w:val="23"/>
        </w:rPr>
        <w:t>.</w:t>
      </w:r>
    </w:p>
    <w:p w:rsidR="000A5D5D" w:rsidRPr="00B06D8B" w:rsidRDefault="000A5D5D" w:rsidP="000A5D5D">
      <w:pPr>
        <w:rPr>
          <w:rFonts w:asciiTheme="majorHAnsi" w:hAnsiTheme="majorHAnsi"/>
          <w:sz w:val="23"/>
        </w:rPr>
      </w:pPr>
    </w:p>
    <w:p w:rsidR="00C158CE" w:rsidRDefault="00720387" w:rsidP="000A5D5D">
      <w:pPr>
        <w:rPr>
          <w:rFonts w:asciiTheme="majorHAnsi" w:hAnsiTheme="majorHAnsi"/>
          <w:sz w:val="23"/>
        </w:rPr>
      </w:pPr>
      <w:r>
        <w:rPr>
          <w:rFonts w:asciiTheme="majorHAnsi" w:hAnsiTheme="majorHAnsi"/>
          <w:sz w:val="23"/>
        </w:rPr>
        <w:t xml:space="preserve">Once received, </w:t>
      </w:r>
      <w:r w:rsidR="000A5D5D" w:rsidRPr="00B06D8B">
        <w:rPr>
          <w:rFonts w:asciiTheme="majorHAnsi" w:hAnsiTheme="majorHAnsi"/>
          <w:sz w:val="23"/>
        </w:rPr>
        <w:t xml:space="preserve">ICANN </w:t>
      </w:r>
      <w:r w:rsidR="00C158CE">
        <w:rPr>
          <w:rFonts w:asciiTheme="majorHAnsi" w:hAnsiTheme="majorHAnsi"/>
          <w:sz w:val="23"/>
        </w:rPr>
        <w:t>should</w:t>
      </w:r>
      <w:r w:rsidR="00C158CE" w:rsidRPr="00B06D8B">
        <w:rPr>
          <w:rFonts w:asciiTheme="majorHAnsi" w:hAnsiTheme="majorHAnsi"/>
          <w:sz w:val="23"/>
        </w:rPr>
        <w:t xml:space="preserve"> </w:t>
      </w:r>
      <w:r w:rsidR="000A5D5D" w:rsidRPr="00B06D8B">
        <w:rPr>
          <w:rFonts w:asciiTheme="majorHAnsi" w:hAnsiTheme="majorHAnsi"/>
          <w:sz w:val="23"/>
        </w:rPr>
        <w:t xml:space="preserve">publish </w:t>
      </w:r>
      <w:r w:rsidR="00C158CE">
        <w:rPr>
          <w:rFonts w:asciiTheme="majorHAnsi" w:hAnsiTheme="majorHAnsi"/>
          <w:sz w:val="23"/>
        </w:rPr>
        <w:t>information about the Expressions of Interest.   There are several alternatives:</w:t>
      </w:r>
    </w:p>
    <w:p w:rsidR="00C158CE" w:rsidRDefault="00C158CE" w:rsidP="00C158CE">
      <w:pPr>
        <w:pStyle w:val="ListParagraph"/>
        <w:numPr>
          <w:ilvl w:val="0"/>
          <w:numId w:val="12"/>
        </w:numPr>
        <w:rPr>
          <w:rFonts w:asciiTheme="majorHAnsi" w:hAnsiTheme="majorHAnsi"/>
          <w:sz w:val="23"/>
        </w:rPr>
      </w:pPr>
      <w:r>
        <w:rPr>
          <w:rFonts w:asciiTheme="majorHAnsi" w:hAnsiTheme="majorHAnsi"/>
          <w:sz w:val="23"/>
        </w:rPr>
        <w:t xml:space="preserve">Publish </w:t>
      </w:r>
      <w:r w:rsidR="000A5D5D" w:rsidRPr="00F46E1A">
        <w:rPr>
          <w:rFonts w:asciiTheme="majorHAnsi" w:hAnsiTheme="majorHAnsi"/>
          <w:sz w:val="23"/>
        </w:rPr>
        <w:t>the name of the applying entity an</w:t>
      </w:r>
      <w:r w:rsidRPr="00F46E1A">
        <w:rPr>
          <w:rFonts w:asciiTheme="majorHAnsi" w:hAnsiTheme="majorHAnsi"/>
          <w:sz w:val="23"/>
        </w:rPr>
        <w:t>d the string to be applied for</w:t>
      </w:r>
      <w:r>
        <w:rPr>
          <w:rFonts w:asciiTheme="majorHAnsi" w:hAnsiTheme="majorHAnsi"/>
          <w:sz w:val="23"/>
        </w:rPr>
        <w:t>, for each application. P</w:t>
      </w:r>
      <w:r w:rsidRPr="00F46E1A">
        <w:rPr>
          <w:rFonts w:asciiTheme="majorHAnsi" w:hAnsiTheme="majorHAnsi"/>
          <w:sz w:val="23"/>
        </w:rPr>
        <w:t>arties to contact one another to work out potential grounds for dispute prior to formal application</w:t>
      </w:r>
      <w:r>
        <w:rPr>
          <w:rFonts w:asciiTheme="majorHAnsi" w:hAnsiTheme="majorHAnsi"/>
          <w:sz w:val="23"/>
        </w:rPr>
        <w:t>, or to make potential objections known to potential applicants</w:t>
      </w:r>
      <w:r w:rsidRPr="00F46E1A">
        <w:rPr>
          <w:rFonts w:asciiTheme="majorHAnsi" w:hAnsiTheme="majorHAnsi"/>
          <w:sz w:val="23"/>
        </w:rPr>
        <w:t>.</w:t>
      </w:r>
    </w:p>
    <w:p w:rsidR="00C158CE" w:rsidRPr="00D74B1D" w:rsidRDefault="00C158CE" w:rsidP="00C158CE">
      <w:pPr>
        <w:pStyle w:val="ListParagraph"/>
        <w:numPr>
          <w:ilvl w:val="0"/>
          <w:numId w:val="12"/>
        </w:numPr>
        <w:rPr>
          <w:rFonts w:asciiTheme="majorHAnsi" w:hAnsiTheme="majorHAnsi"/>
          <w:sz w:val="23"/>
        </w:rPr>
      </w:pPr>
      <w:r w:rsidRPr="00D74B1D">
        <w:rPr>
          <w:rFonts w:asciiTheme="majorHAnsi" w:hAnsiTheme="majorHAnsi"/>
          <w:sz w:val="23"/>
        </w:rPr>
        <w:t xml:space="preserve">Publish only the names of the strings and the number of Expressions of Interest for each string.   This will preserve any commercial advantage to be gained from keeping the identity of the potential applicant secret prior to actual application.  </w:t>
      </w:r>
    </w:p>
    <w:p w:rsidR="00720387" w:rsidRDefault="00C158CE" w:rsidP="00C158CE">
      <w:pPr>
        <w:pStyle w:val="ListParagraph"/>
        <w:numPr>
          <w:ilvl w:val="0"/>
          <w:numId w:val="12"/>
        </w:numPr>
        <w:rPr>
          <w:rFonts w:asciiTheme="majorHAnsi" w:hAnsiTheme="majorHAnsi"/>
          <w:sz w:val="23"/>
        </w:rPr>
      </w:pPr>
      <w:r w:rsidRPr="00D74B1D">
        <w:rPr>
          <w:rFonts w:asciiTheme="majorHAnsi" w:hAnsiTheme="majorHAnsi"/>
          <w:sz w:val="23"/>
        </w:rPr>
        <w:t>Publish the strings and the number of Expressions of Internet, but allow brands to be published as “</w:t>
      </w:r>
      <w:proofErr w:type="gramStart"/>
      <w:r w:rsidRPr="00D74B1D">
        <w:rPr>
          <w:rFonts w:asciiTheme="majorHAnsi" w:hAnsiTheme="majorHAnsi"/>
          <w:sz w:val="23"/>
        </w:rPr>
        <w:t>.brand</w:t>
      </w:r>
      <w:proofErr w:type="gramEnd"/>
      <w:r w:rsidRPr="00D74B1D">
        <w:rPr>
          <w:rFonts w:asciiTheme="majorHAnsi" w:hAnsiTheme="majorHAnsi"/>
          <w:sz w:val="23"/>
        </w:rPr>
        <w:t xml:space="preserve">” to preserve the anonymity of potential brand applicants, who would be known by their proposed string.  </w:t>
      </w:r>
    </w:p>
    <w:p w:rsidR="000A5D5D" w:rsidRPr="00720387" w:rsidRDefault="00720387" w:rsidP="000A5D5D">
      <w:pPr>
        <w:pStyle w:val="ListParagraph"/>
        <w:numPr>
          <w:ilvl w:val="0"/>
          <w:numId w:val="12"/>
        </w:numPr>
        <w:rPr>
          <w:rFonts w:asciiTheme="majorHAnsi" w:hAnsiTheme="majorHAnsi"/>
          <w:sz w:val="23"/>
        </w:rPr>
      </w:pPr>
      <w:r>
        <w:rPr>
          <w:rFonts w:asciiTheme="majorHAnsi" w:hAnsiTheme="majorHAnsi"/>
          <w:sz w:val="23"/>
        </w:rPr>
        <w:t>A combination of the above</w:t>
      </w:r>
    </w:p>
    <w:p w:rsidR="00DB73A3" w:rsidRPr="00720387" w:rsidRDefault="000A5D5D" w:rsidP="00720387">
      <w:pPr>
        <w:pStyle w:val="Heading1"/>
      </w:pPr>
      <w:r w:rsidRPr="00B06D8B">
        <w:t>Benefits to ICANN</w:t>
      </w:r>
      <w:r w:rsidR="00C158CE" w:rsidRPr="00B06D8B">
        <w:t xml:space="preserve"> Staff</w:t>
      </w:r>
    </w:p>
    <w:p w:rsidR="000A5D5D" w:rsidRPr="00B06D8B" w:rsidRDefault="000A5D5D" w:rsidP="000A5D5D">
      <w:pPr>
        <w:rPr>
          <w:rFonts w:asciiTheme="majorHAnsi" w:hAnsiTheme="majorHAnsi"/>
          <w:sz w:val="23"/>
        </w:rPr>
      </w:pPr>
      <w:r w:rsidRPr="00B06D8B">
        <w:rPr>
          <w:rFonts w:asciiTheme="majorHAnsi" w:hAnsiTheme="majorHAnsi"/>
          <w:sz w:val="23"/>
        </w:rPr>
        <w:t xml:space="preserve">Once the </w:t>
      </w:r>
      <w:r w:rsidR="00720387">
        <w:rPr>
          <w:rFonts w:asciiTheme="majorHAnsi" w:hAnsiTheme="majorHAnsi"/>
          <w:sz w:val="23"/>
        </w:rPr>
        <w:t xml:space="preserve">Expressions of Interest </w:t>
      </w:r>
      <w:r w:rsidRPr="00B06D8B">
        <w:rPr>
          <w:rFonts w:asciiTheme="majorHAnsi" w:hAnsiTheme="majorHAnsi"/>
          <w:sz w:val="23"/>
        </w:rPr>
        <w:t xml:space="preserve">window is closed ICANN </w:t>
      </w:r>
      <w:r w:rsidR="00C158CE" w:rsidRPr="00B06D8B">
        <w:rPr>
          <w:rFonts w:asciiTheme="majorHAnsi" w:hAnsiTheme="majorHAnsi"/>
          <w:sz w:val="23"/>
        </w:rPr>
        <w:t xml:space="preserve">staff </w:t>
      </w:r>
      <w:r w:rsidRPr="00B06D8B">
        <w:rPr>
          <w:rFonts w:asciiTheme="majorHAnsi" w:hAnsiTheme="majorHAnsi"/>
          <w:sz w:val="23"/>
        </w:rPr>
        <w:t xml:space="preserve">will know: </w:t>
      </w:r>
    </w:p>
    <w:p w:rsidR="000A5D5D" w:rsidRPr="00B06D8B" w:rsidRDefault="000A5D5D" w:rsidP="00C158CE">
      <w:pPr>
        <w:pStyle w:val="ListParagraph"/>
        <w:numPr>
          <w:ilvl w:val="0"/>
          <w:numId w:val="8"/>
        </w:numPr>
        <w:spacing w:before="120"/>
        <w:rPr>
          <w:rFonts w:asciiTheme="majorHAnsi" w:hAnsiTheme="majorHAnsi"/>
          <w:sz w:val="23"/>
        </w:rPr>
      </w:pPr>
      <w:r w:rsidRPr="00B06D8B">
        <w:rPr>
          <w:rFonts w:asciiTheme="majorHAnsi" w:hAnsiTheme="majorHAnsi"/>
          <w:sz w:val="23"/>
        </w:rPr>
        <w:t>The number of new strings will tell ICANN the extent (if any) of root-scaling issues</w:t>
      </w:r>
    </w:p>
    <w:p w:rsidR="000A5D5D" w:rsidRPr="00B06D8B" w:rsidRDefault="000A5D5D" w:rsidP="00C158CE">
      <w:pPr>
        <w:pStyle w:val="ListParagraph"/>
        <w:numPr>
          <w:ilvl w:val="0"/>
          <w:numId w:val="8"/>
        </w:numPr>
        <w:rPr>
          <w:rFonts w:asciiTheme="majorHAnsi" w:hAnsiTheme="majorHAnsi"/>
          <w:sz w:val="23"/>
        </w:rPr>
      </w:pPr>
      <w:r w:rsidRPr="00B06D8B">
        <w:rPr>
          <w:rFonts w:asciiTheme="majorHAnsi" w:hAnsiTheme="majorHAnsi"/>
          <w:sz w:val="23"/>
        </w:rPr>
        <w:t>The number of new strings will tell ICANN how many evaluators it needs</w:t>
      </w:r>
    </w:p>
    <w:p w:rsidR="000A5D5D" w:rsidRPr="00B06D8B" w:rsidRDefault="000A5D5D" w:rsidP="00C158CE">
      <w:pPr>
        <w:pStyle w:val="ListParagraph"/>
        <w:numPr>
          <w:ilvl w:val="0"/>
          <w:numId w:val="8"/>
        </w:numPr>
        <w:rPr>
          <w:rFonts w:asciiTheme="majorHAnsi" w:hAnsiTheme="majorHAnsi"/>
          <w:sz w:val="23"/>
        </w:rPr>
      </w:pPr>
      <w:r w:rsidRPr="00B06D8B">
        <w:rPr>
          <w:rFonts w:asciiTheme="majorHAnsi" w:hAnsiTheme="majorHAnsi"/>
          <w:sz w:val="23"/>
        </w:rPr>
        <w:t>The number of strings in contention will inform ICANN as to the upper limit of the resources required to handle contention</w:t>
      </w:r>
    </w:p>
    <w:p w:rsidR="000A5D5D" w:rsidRPr="00B06D8B" w:rsidRDefault="000A5D5D" w:rsidP="00C158CE">
      <w:pPr>
        <w:pStyle w:val="ListParagraph"/>
        <w:numPr>
          <w:ilvl w:val="0"/>
          <w:numId w:val="8"/>
        </w:numPr>
        <w:rPr>
          <w:rFonts w:asciiTheme="majorHAnsi" w:hAnsiTheme="majorHAnsi"/>
          <w:sz w:val="23"/>
        </w:rPr>
      </w:pPr>
      <w:r w:rsidRPr="00B06D8B">
        <w:rPr>
          <w:rFonts w:asciiTheme="majorHAnsi" w:hAnsiTheme="majorHAnsi"/>
          <w:sz w:val="23"/>
        </w:rPr>
        <w:t>A look at the list of strings will give ICANN an idea of what (if any) morality and public order issues it will face</w:t>
      </w:r>
    </w:p>
    <w:p w:rsidR="00C158CE" w:rsidRPr="00720387" w:rsidRDefault="000A5D5D" w:rsidP="00C158CE">
      <w:pPr>
        <w:pStyle w:val="ListParagraph"/>
        <w:numPr>
          <w:ilvl w:val="0"/>
          <w:numId w:val="8"/>
        </w:numPr>
        <w:rPr>
          <w:rFonts w:asciiTheme="majorHAnsi" w:hAnsiTheme="majorHAnsi"/>
          <w:sz w:val="23"/>
        </w:rPr>
      </w:pPr>
      <w:r w:rsidRPr="00B06D8B">
        <w:rPr>
          <w:rFonts w:asciiTheme="majorHAnsi" w:hAnsiTheme="majorHAnsi"/>
          <w:sz w:val="23"/>
        </w:rPr>
        <w:t xml:space="preserve">The publication of the strings will be </w:t>
      </w:r>
      <w:r w:rsidR="00720387">
        <w:rPr>
          <w:rFonts w:asciiTheme="majorHAnsi" w:hAnsiTheme="majorHAnsi"/>
          <w:sz w:val="23"/>
        </w:rPr>
        <w:t xml:space="preserve">very </w:t>
      </w:r>
      <w:r w:rsidRPr="00B06D8B">
        <w:rPr>
          <w:rFonts w:asciiTheme="majorHAnsi" w:hAnsiTheme="majorHAnsi"/>
          <w:sz w:val="23"/>
        </w:rPr>
        <w:t xml:space="preserve">effective in generating interest – and alerting possible objectors – </w:t>
      </w:r>
      <w:r w:rsidR="00720387">
        <w:rPr>
          <w:rFonts w:asciiTheme="majorHAnsi" w:hAnsiTheme="majorHAnsi"/>
          <w:sz w:val="23"/>
        </w:rPr>
        <w:t xml:space="preserve">and serve as a valuable ancillary to </w:t>
      </w:r>
      <w:r w:rsidRPr="00B06D8B">
        <w:rPr>
          <w:rFonts w:asciiTheme="majorHAnsi" w:hAnsiTheme="majorHAnsi"/>
          <w:sz w:val="23"/>
        </w:rPr>
        <w:t>other communications plan</w:t>
      </w:r>
      <w:r w:rsidR="00720387">
        <w:rPr>
          <w:rFonts w:asciiTheme="majorHAnsi" w:hAnsiTheme="majorHAnsi"/>
          <w:sz w:val="23"/>
        </w:rPr>
        <w:t>s</w:t>
      </w:r>
    </w:p>
    <w:p w:rsidR="00DB73A3" w:rsidRPr="00720387" w:rsidRDefault="00C158CE" w:rsidP="00720387">
      <w:pPr>
        <w:pStyle w:val="Heading1"/>
      </w:pPr>
      <w:r w:rsidRPr="00B06D8B">
        <w:t>Benefits to New TLD Applicants</w:t>
      </w:r>
    </w:p>
    <w:p w:rsidR="00C158CE" w:rsidRPr="00B06D8B" w:rsidRDefault="00C158CE">
      <w:pPr>
        <w:rPr>
          <w:rFonts w:asciiTheme="majorHAnsi" w:hAnsiTheme="majorHAnsi"/>
          <w:sz w:val="23"/>
        </w:rPr>
      </w:pPr>
      <w:r w:rsidRPr="00B06D8B">
        <w:rPr>
          <w:rFonts w:asciiTheme="majorHAnsi" w:hAnsiTheme="majorHAnsi"/>
          <w:sz w:val="23"/>
        </w:rPr>
        <w:t xml:space="preserve">Once the </w:t>
      </w:r>
      <w:r w:rsidR="00720387">
        <w:rPr>
          <w:rFonts w:asciiTheme="majorHAnsi" w:hAnsiTheme="majorHAnsi"/>
          <w:sz w:val="23"/>
        </w:rPr>
        <w:t>Expressions of Interest</w:t>
      </w:r>
      <w:r w:rsidRPr="00B06D8B">
        <w:rPr>
          <w:rFonts w:asciiTheme="majorHAnsi" w:hAnsiTheme="majorHAnsi"/>
          <w:sz w:val="23"/>
        </w:rPr>
        <w:t xml:space="preserve"> window is closed, prospective applicants will gain the following benefits:</w:t>
      </w:r>
    </w:p>
    <w:p w:rsidR="00C158CE" w:rsidRPr="00B06D8B" w:rsidRDefault="00C158CE" w:rsidP="00C158CE">
      <w:pPr>
        <w:pStyle w:val="ListParagraph"/>
        <w:numPr>
          <w:ilvl w:val="0"/>
          <w:numId w:val="9"/>
        </w:numPr>
        <w:spacing w:before="120" w:after="120"/>
        <w:rPr>
          <w:rFonts w:asciiTheme="majorHAnsi" w:hAnsiTheme="majorHAnsi"/>
          <w:sz w:val="23"/>
        </w:rPr>
      </w:pPr>
      <w:r w:rsidRPr="00B06D8B">
        <w:rPr>
          <w:rFonts w:asciiTheme="majorHAnsi" w:hAnsiTheme="majorHAnsi"/>
          <w:sz w:val="23"/>
        </w:rPr>
        <w:t xml:space="preserve">If the prospective applicant learns that it is the </w:t>
      </w:r>
      <w:r w:rsidRPr="00B06D8B">
        <w:rPr>
          <w:rFonts w:asciiTheme="majorHAnsi" w:hAnsiTheme="majorHAnsi"/>
          <w:sz w:val="23"/>
          <w:u w:val="single"/>
        </w:rPr>
        <w:t>only entity</w:t>
      </w:r>
      <w:r w:rsidRPr="00B06D8B">
        <w:rPr>
          <w:rFonts w:asciiTheme="majorHAnsi" w:hAnsiTheme="majorHAnsi"/>
          <w:sz w:val="23"/>
        </w:rPr>
        <w:t xml:space="preserve"> applying for the string, it may reasonably presume, subject to passing all the tests in the application, and overcoming any objections, that it has an excellent chance of being awarded the TLD.  It may decide therefore to undertake, among other things, any of the following activities:</w:t>
      </w:r>
    </w:p>
    <w:p w:rsidR="00C158CE" w:rsidRPr="00B06D8B" w:rsidRDefault="00C158CE" w:rsidP="00C158CE">
      <w:pPr>
        <w:pStyle w:val="ListParagraph"/>
        <w:numPr>
          <w:ilvl w:val="1"/>
          <w:numId w:val="10"/>
        </w:numPr>
        <w:spacing w:before="240"/>
        <w:rPr>
          <w:rFonts w:asciiTheme="majorHAnsi" w:hAnsiTheme="majorHAnsi"/>
          <w:sz w:val="23"/>
        </w:rPr>
      </w:pPr>
      <w:r w:rsidRPr="00B06D8B">
        <w:rPr>
          <w:rFonts w:asciiTheme="majorHAnsi" w:hAnsiTheme="majorHAnsi"/>
          <w:sz w:val="23"/>
        </w:rPr>
        <w:t>Raising money</w:t>
      </w:r>
    </w:p>
    <w:p w:rsidR="00C158CE" w:rsidRPr="00B06D8B" w:rsidRDefault="00C158CE" w:rsidP="00C158CE">
      <w:pPr>
        <w:pStyle w:val="ListParagraph"/>
        <w:numPr>
          <w:ilvl w:val="1"/>
          <w:numId w:val="10"/>
        </w:numPr>
        <w:spacing w:before="120"/>
        <w:rPr>
          <w:rFonts w:asciiTheme="majorHAnsi" w:hAnsiTheme="majorHAnsi"/>
          <w:sz w:val="23"/>
        </w:rPr>
      </w:pPr>
      <w:r w:rsidRPr="00B06D8B">
        <w:rPr>
          <w:rFonts w:asciiTheme="majorHAnsi" w:hAnsiTheme="majorHAnsi"/>
          <w:sz w:val="23"/>
        </w:rPr>
        <w:t xml:space="preserve">Marketing </w:t>
      </w:r>
    </w:p>
    <w:p w:rsidR="008E0DFD" w:rsidRPr="008E0DFD" w:rsidRDefault="00C158CE">
      <w:pPr>
        <w:pStyle w:val="ListParagraph"/>
        <w:numPr>
          <w:ilvl w:val="1"/>
          <w:numId w:val="10"/>
        </w:numPr>
        <w:spacing w:before="120"/>
        <w:rPr>
          <w:rFonts w:asciiTheme="majorHAnsi" w:hAnsiTheme="majorHAnsi"/>
          <w:sz w:val="23"/>
        </w:rPr>
      </w:pPr>
      <w:r w:rsidRPr="00B06D8B">
        <w:rPr>
          <w:rFonts w:asciiTheme="majorHAnsi" w:hAnsiTheme="majorHAnsi"/>
          <w:sz w:val="23"/>
        </w:rPr>
        <w:t>Taking expressions of interest from prospective registrants</w:t>
      </w:r>
    </w:p>
    <w:p w:rsidR="00C158CE" w:rsidRPr="00B06D8B" w:rsidRDefault="00C158CE" w:rsidP="00C158CE">
      <w:pPr>
        <w:pStyle w:val="ListParagraph"/>
        <w:numPr>
          <w:ilvl w:val="0"/>
          <w:numId w:val="9"/>
        </w:numPr>
        <w:spacing w:before="120"/>
        <w:rPr>
          <w:rFonts w:asciiTheme="majorHAnsi" w:hAnsiTheme="majorHAnsi"/>
          <w:sz w:val="23"/>
        </w:rPr>
      </w:pPr>
      <w:r w:rsidRPr="00B06D8B">
        <w:rPr>
          <w:rFonts w:asciiTheme="majorHAnsi" w:hAnsiTheme="majorHAnsi"/>
          <w:sz w:val="23"/>
        </w:rPr>
        <w:t xml:space="preserve">If the prospective applicant learns that it is </w:t>
      </w:r>
      <w:r w:rsidRPr="00B06D8B">
        <w:rPr>
          <w:rFonts w:asciiTheme="majorHAnsi" w:hAnsiTheme="majorHAnsi"/>
          <w:sz w:val="23"/>
          <w:u w:val="single"/>
        </w:rPr>
        <w:t xml:space="preserve">one of several entities </w:t>
      </w:r>
      <w:r w:rsidRPr="00B06D8B">
        <w:rPr>
          <w:rFonts w:asciiTheme="majorHAnsi" w:hAnsiTheme="majorHAnsi"/>
          <w:sz w:val="23"/>
        </w:rPr>
        <w:t>applying for the string, it may opt to work out an arrangement with other contenders, or to drop out.</w:t>
      </w:r>
    </w:p>
    <w:p w:rsidR="00C158CE" w:rsidRPr="00B06D8B" w:rsidRDefault="00C158CE" w:rsidP="00C158CE">
      <w:pPr>
        <w:pStyle w:val="ListParagraph"/>
        <w:numPr>
          <w:ilvl w:val="0"/>
          <w:numId w:val="9"/>
        </w:numPr>
        <w:spacing w:before="120"/>
        <w:rPr>
          <w:rFonts w:asciiTheme="majorHAnsi" w:hAnsiTheme="majorHAnsi"/>
          <w:sz w:val="23"/>
        </w:rPr>
      </w:pPr>
      <w:r w:rsidRPr="00B06D8B">
        <w:rPr>
          <w:rFonts w:asciiTheme="majorHAnsi" w:hAnsiTheme="majorHAnsi"/>
          <w:sz w:val="23"/>
        </w:rPr>
        <w:t>All prospective applicants will informally benefit from “early warning” from potential objectors, who will be likely to contact them</w:t>
      </w:r>
      <w:r w:rsidR="006E5141">
        <w:rPr>
          <w:rFonts w:asciiTheme="majorHAnsi" w:hAnsiTheme="majorHAnsi"/>
          <w:sz w:val="23"/>
        </w:rPr>
        <w:t xml:space="preserve"> if EOI information is made public.</w:t>
      </w:r>
    </w:p>
    <w:p w:rsidR="00C158CE" w:rsidRPr="00B06D8B" w:rsidRDefault="00C158CE" w:rsidP="00720387">
      <w:pPr>
        <w:pStyle w:val="Heading1"/>
      </w:pPr>
      <w:r w:rsidRPr="00B06D8B">
        <w:t>Benefits to Other Parties</w:t>
      </w:r>
    </w:p>
    <w:p w:rsidR="00C158CE" w:rsidRPr="00B06D8B" w:rsidRDefault="00C158CE" w:rsidP="00C158CE">
      <w:pPr>
        <w:spacing w:before="120"/>
        <w:rPr>
          <w:rFonts w:asciiTheme="majorHAnsi" w:hAnsiTheme="majorHAnsi"/>
          <w:sz w:val="23"/>
        </w:rPr>
      </w:pPr>
      <w:r w:rsidRPr="00B06D8B">
        <w:rPr>
          <w:rFonts w:asciiTheme="majorHAnsi" w:hAnsiTheme="majorHAnsi"/>
          <w:sz w:val="23"/>
        </w:rPr>
        <w:t>Other benefits accrue as well:</w:t>
      </w:r>
    </w:p>
    <w:p w:rsidR="00C158CE" w:rsidRPr="00B06D8B" w:rsidRDefault="00C158CE" w:rsidP="00C158CE">
      <w:pPr>
        <w:pStyle w:val="ListParagraph"/>
        <w:numPr>
          <w:ilvl w:val="0"/>
          <w:numId w:val="11"/>
        </w:numPr>
        <w:spacing w:before="120"/>
        <w:rPr>
          <w:rFonts w:asciiTheme="majorHAnsi" w:hAnsiTheme="majorHAnsi"/>
          <w:sz w:val="23"/>
        </w:rPr>
      </w:pPr>
      <w:r w:rsidRPr="00B06D8B">
        <w:rPr>
          <w:rFonts w:asciiTheme="majorHAnsi" w:hAnsiTheme="majorHAnsi"/>
          <w:sz w:val="23"/>
        </w:rPr>
        <w:t>Trademark holders will easily be able to decide which strings might infringe on their brands, and plan accordingly</w:t>
      </w:r>
    </w:p>
    <w:p w:rsidR="00C158CE" w:rsidRPr="00B06D8B" w:rsidRDefault="00C158CE" w:rsidP="00C158CE">
      <w:pPr>
        <w:pStyle w:val="ListParagraph"/>
        <w:numPr>
          <w:ilvl w:val="0"/>
          <w:numId w:val="11"/>
        </w:numPr>
        <w:spacing w:before="120"/>
        <w:rPr>
          <w:rFonts w:asciiTheme="majorHAnsi" w:hAnsiTheme="majorHAnsi"/>
          <w:sz w:val="23"/>
        </w:rPr>
      </w:pPr>
      <w:r w:rsidRPr="00B06D8B">
        <w:rPr>
          <w:rFonts w:asciiTheme="majorHAnsi" w:hAnsiTheme="majorHAnsi"/>
          <w:sz w:val="23"/>
        </w:rPr>
        <w:t>Governments and the GAC will be able to see which names infringe on the rights of governments, and plan accordingly</w:t>
      </w:r>
    </w:p>
    <w:p w:rsidR="000A5D5D" w:rsidRPr="001B63DD" w:rsidRDefault="00C158CE" w:rsidP="00C158CE">
      <w:pPr>
        <w:pStyle w:val="ListParagraph"/>
        <w:numPr>
          <w:ilvl w:val="0"/>
          <w:numId w:val="11"/>
        </w:numPr>
        <w:spacing w:before="120"/>
        <w:rPr>
          <w:rFonts w:asciiTheme="majorHAnsi" w:hAnsiTheme="majorHAnsi"/>
          <w:sz w:val="23"/>
        </w:rPr>
      </w:pPr>
      <w:r w:rsidRPr="00B06D8B">
        <w:rPr>
          <w:rFonts w:asciiTheme="majorHAnsi" w:hAnsiTheme="majorHAnsi"/>
          <w:sz w:val="23"/>
        </w:rPr>
        <w:t>The GAC will be able to see which strings might be a threat to public order or morality, and act accordingly</w:t>
      </w:r>
    </w:p>
    <w:p w:rsidR="00DB73A3" w:rsidRPr="00720387" w:rsidRDefault="008E0DFD" w:rsidP="00720387">
      <w:pPr>
        <w:pStyle w:val="Heading1"/>
      </w:pPr>
      <w:r w:rsidRPr="008E0DFD">
        <w:t>EOI Working Group Indicative Participants</w:t>
      </w:r>
    </w:p>
    <w:p w:rsidR="00DB73A3" w:rsidRDefault="00DB73A3" w:rsidP="00C158CE">
      <w:pPr>
        <w:spacing w:before="120"/>
        <w:rPr>
          <w:rFonts w:asciiTheme="majorHAnsi" w:hAnsiTheme="majorHAnsi"/>
          <w:sz w:val="23"/>
        </w:rPr>
      </w:pPr>
      <w:r>
        <w:rPr>
          <w:rFonts w:asciiTheme="majorHAnsi" w:hAnsiTheme="majorHAnsi"/>
          <w:sz w:val="23"/>
        </w:rPr>
        <w:t xml:space="preserve">Given the short time frame for the work to be completed, a core group of points of contact will be responsible for the work.  The slate of participants is indicative </w:t>
      </w:r>
      <w:r w:rsidR="00720387">
        <w:rPr>
          <w:rFonts w:asciiTheme="majorHAnsi" w:hAnsiTheme="majorHAnsi"/>
          <w:sz w:val="23"/>
        </w:rPr>
        <w:t xml:space="preserve">of the </w:t>
      </w:r>
      <w:proofErr w:type="spellStart"/>
      <w:r w:rsidR="00720387">
        <w:rPr>
          <w:rFonts w:asciiTheme="majorHAnsi" w:hAnsiTheme="majorHAnsi"/>
          <w:sz w:val="23"/>
        </w:rPr>
        <w:t>WG’s</w:t>
      </w:r>
      <w:proofErr w:type="spellEnd"/>
      <w:r w:rsidR="00720387">
        <w:rPr>
          <w:rFonts w:asciiTheme="majorHAnsi" w:hAnsiTheme="majorHAnsi"/>
          <w:sz w:val="23"/>
        </w:rPr>
        <w:t xml:space="preserve"> interest in providing advice to the ICANN staff and Board that has received input from a wide cross-section of the ICANN community.   </w:t>
      </w:r>
      <w:r>
        <w:rPr>
          <w:rFonts w:asciiTheme="majorHAnsi" w:hAnsiTheme="majorHAnsi"/>
          <w:sz w:val="23"/>
        </w:rPr>
        <w:t>In establishing the points of contact slate, the Working Group Co-</w:t>
      </w:r>
      <w:proofErr w:type="spellStart"/>
      <w:r>
        <w:rPr>
          <w:rFonts w:asciiTheme="majorHAnsi" w:hAnsiTheme="majorHAnsi"/>
          <w:sz w:val="23"/>
        </w:rPr>
        <w:t>ordinators</w:t>
      </w:r>
      <w:proofErr w:type="spellEnd"/>
      <w:r>
        <w:rPr>
          <w:rFonts w:asciiTheme="majorHAnsi" w:hAnsiTheme="majorHAnsi"/>
          <w:sz w:val="23"/>
        </w:rPr>
        <w:t xml:space="preserve"> attempted to find well</w:t>
      </w:r>
      <w:r w:rsidR="006E5141">
        <w:rPr>
          <w:rFonts w:asciiTheme="majorHAnsi" w:hAnsiTheme="majorHAnsi"/>
          <w:sz w:val="23"/>
        </w:rPr>
        <w:t>-</w:t>
      </w:r>
      <w:r>
        <w:rPr>
          <w:rFonts w:asciiTheme="majorHAnsi" w:hAnsiTheme="majorHAnsi"/>
          <w:sz w:val="23"/>
        </w:rPr>
        <w:t>respected members of a wide range of constituencies</w:t>
      </w:r>
      <w:r w:rsidR="00720387">
        <w:rPr>
          <w:rFonts w:asciiTheme="majorHAnsi" w:hAnsiTheme="majorHAnsi"/>
          <w:sz w:val="23"/>
        </w:rPr>
        <w:t xml:space="preserve"> from diverse geographical regions</w:t>
      </w:r>
      <w:r w:rsidR="006E5141">
        <w:rPr>
          <w:rFonts w:asciiTheme="majorHAnsi" w:hAnsiTheme="majorHAnsi"/>
          <w:sz w:val="23"/>
        </w:rPr>
        <w:t>.</w:t>
      </w:r>
      <w:r w:rsidR="00051E6E">
        <w:rPr>
          <w:rFonts w:asciiTheme="majorHAnsi" w:hAnsiTheme="majorHAnsi"/>
          <w:sz w:val="23"/>
        </w:rPr>
        <w:t xml:space="preserve">  </w:t>
      </w:r>
    </w:p>
    <w:p w:rsidR="00C158CE" w:rsidRDefault="00C158CE" w:rsidP="00C158CE">
      <w:pPr>
        <w:spacing w:before="120"/>
        <w:rPr>
          <w:rFonts w:asciiTheme="majorHAnsi" w:hAnsiTheme="majorHAnsi"/>
          <w:sz w:val="23"/>
        </w:rPr>
      </w:pPr>
    </w:p>
    <w:tbl>
      <w:tblPr>
        <w:tblStyle w:val="MediumGrid2-Accent1"/>
        <w:tblW w:w="0" w:type="auto"/>
        <w:tblLook w:val="04E0"/>
      </w:tblPr>
      <w:tblGrid>
        <w:gridCol w:w="2238"/>
        <w:gridCol w:w="2273"/>
        <w:gridCol w:w="2299"/>
        <w:gridCol w:w="2190"/>
      </w:tblGrid>
      <w:tr w:rsidR="00DB73A3">
        <w:trPr>
          <w:cnfStyle w:val="100000000000"/>
        </w:trPr>
        <w:tc>
          <w:tcPr>
            <w:cnfStyle w:val="001000000100"/>
            <w:tcW w:w="2238" w:type="dxa"/>
          </w:tcPr>
          <w:p w:rsidR="00DB73A3" w:rsidRDefault="00DB73A3">
            <w:r>
              <w:t>Name</w:t>
            </w:r>
          </w:p>
        </w:tc>
        <w:tc>
          <w:tcPr>
            <w:tcW w:w="2273" w:type="dxa"/>
          </w:tcPr>
          <w:p w:rsidR="00DB73A3" w:rsidRDefault="00B96ABA">
            <w:pPr>
              <w:cnfStyle w:val="100000000000"/>
            </w:pPr>
            <w:r>
              <w:t xml:space="preserve">Private </w:t>
            </w:r>
            <w:r w:rsidR="00DB73A3">
              <w:t>Affiliation</w:t>
            </w:r>
          </w:p>
        </w:tc>
        <w:tc>
          <w:tcPr>
            <w:tcW w:w="2299" w:type="dxa"/>
          </w:tcPr>
          <w:p w:rsidR="00DB73A3" w:rsidRDefault="00B96ABA">
            <w:pPr>
              <w:cnfStyle w:val="100000000000"/>
            </w:pPr>
            <w:r>
              <w:t>ICANN Affiliation</w:t>
            </w:r>
          </w:p>
        </w:tc>
        <w:tc>
          <w:tcPr>
            <w:tcW w:w="2190" w:type="dxa"/>
          </w:tcPr>
          <w:p w:rsidR="00DB73A3" w:rsidRDefault="00DB73A3">
            <w:pPr>
              <w:cnfStyle w:val="100000000000"/>
            </w:pPr>
            <w:r>
              <w:t>WG Position</w:t>
            </w:r>
          </w:p>
        </w:tc>
      </w:tr>
      <w:tr w:rsidR="00C141FF">
        <w:trPr>
          <w:cnfStyle w:val="000000100000"/>
        </w:trPr>
        <w:tc>
          <w:tcPr>
            <w:cnfStyle w:val="001000000000"/>
            <w:tcW w:w="2238" w:type="dxa"/>
          </w:tcPr>
          <w:p w:rsidR="00C141FF" w:rsidRDefault="00C141FF">
            <w:r>
              <w:t xml:space="preserve">Antony Van </w:t>
            </w:r>
            <w:proofErr w:type="spellStart"/>
            <w:r>
              <w:t>Couvering</w:t>
            </w:r>
            <w:proofErr w:type="spellEnd"/>
          </w:p>
        </w:tc>
        <w:tc>
          <w:tcPr>
            <w:tcW w:w="2273" w:type="dxa"/>
          </w:tcPr>
          <w:p w:rsidR="00C141FF" w:rsidRDefault="00C141FF">
            <w:pPr>
              <w:cnfStyle w:val="000000100000"/>
            </w:pPr>
            <w:r>
              <w:t xml:space="preserve">Minds </w:t>
            </w:r>
            <w:r w:rsidR="006E5141">
              <w:t>+</w:t>
            </w:r>
            <w:r>
              <w:t xml:space="preserve"> Machines</w:t>
            </w:r>
          </w:p>
        </w:tc>
        <w:tc>
          <w:tcPr>
            <w:tcW w:w="2299" w:type="dxa"/>
          </w:tcPr>
          <w:p w:rsidR="00C141FF" w:rsidRDefault="006E34BC">
            <w:pPr>
              <w:cnfStyle w:val="000000100000"/>
            </w:pPr>
            <w:r>
              <w:t>(</w:t>
            </w:r>
            <w:proofErr w:type="gramStart"/>
            <w:r>
              <w:t>new</w:t>
            </w:r>
            <w:proofErr w:type="gramEnd"/>
            <w:r>
              <w:t xml:space="preserve"> </w:t>
            </w:r>
            <w:proofErr w:type="spellStart"/>
            <w:r>
              <w:t>gTLD</w:t>
            </w:r>
            <w:proofErr w:type="spellEnd"/>
            <w:r>
              <w:t xml:space="preserve"> applicant)</w:t>
            </w:r>
          </w:p>
        </w:tc>
        <w:tc>
          <w:tcPr>
            <w:tcW w:w="2190" w:type="dxa"/>
          </w:tcPr>
          <w:p w:rsidR="00C141FF" w:rsidRDefault="00C141FF">
            <w:pPr>
              <w:cnfStyle w:val="000000100000"/>
            </w:pPr>
            <w:r>
              <w:t>WG Co-</w:t>
            </w:r>
            <w:proofErr w:type="spellStart"/>
            <w:r>
              <w:t>ordinator</w:t>
            </w:r>
            <w:proofErr w:type="spellEnd"/>
            <w:r w:rsidR="00B96ABA">
              <w:t>/Member</w:t>
            </w:r>
          </w:p>
        </w:tc>
      </w:tr>
      <w:tr w:rsidR="00C141FF">
        <w:tc>
          <w:tcPr>
            <w:cnfStyle w:val="001000000000"/>
            <w:tcW w:w="2238" w:type="dxa"/>
            <w:tcBorders>
              <w:bottom w:val="single" w:sz="18" w:space="0" w:color="4F81BD" w:themeColor="accent1"/>
            </w:tcBorders>
          </w:tcPr>
          <w:p w:rsidR="00C141FF" w:rsidRDefault="00C141FF">
            <w:r>
              <w:t xml:space="preserve">Alexander </w:t>
            </w:r>
            <w:proofErr w:type="spellStart"/>
            <w:r>
              <w:t>Schwertner</w:t>
            </w:r>
            <w:proofErr w:type="spellEnd"/>
          </w:p>
        </w:tc>
        <w:tc>
          <w:tcPr>
            <w:tcW w:w="2273" w:type="dxa"/>
            <w:tcBorders>
              <w:bottom w:val="single" w:sz="18" w:space="0" w:color="4F81BD" w:themeColor="accent1"/>
            </w:tcBorders>
          </w:tcPr>
          <w:p w:rsidR="00C141FF" w:rsidRDefault="00720387">
            <w:pPr>
              <w:cnfStyle w:val="000000000000"/>
            </w:pPr>
            <w:r>
              <w:t>EPAG</w:t>
            </w:r>
          </w:p>
        </w:tc>
        <w:tc>
          <w:tcPr>
            <w:tcW w:w="2299" w:type="dxa"/>
            <w:tcBorders>
              <w:bottom w:val="single" w:sz="18" w:space="0" w:color="4F81BD" w:themeColor="accent1"/>
            </w:tcBorders>
          </w:tcPr>
          <w:p w:rsidR="00C141FF" w:rsidRDefault="00C141FF">
            <w:pPr>
              <w:cnfStyle w:val="000000000000"/>
            </w:pPr>
            <w:r>
              <w:t>Registrars</w:t>
            </w:r>
          </w:p>
        </w:tc>
        <w:tc>
          <w:tcPr>
            <w:tcW w:w="2190" w:type="dxa"/>
            <w:tcBorders>
              <w:bottom w:val="single" w:sz="18" w:space="0" w:color="4F81BD" w:themeColor="accent1"/>
            </w:tcBorders>
          </w:tcPr>
          <w:p w:rsidR="00C141FF" w:rsidRDefault="006E34BC">
            <w:pPr>
              <w:cnfStyle w:val="000000000000"/>
            </w:pPr>
            <w:r>
              <w:t>Member</w:t>
            </w:r>
          </w:p>
        </w:tc>
      </w:tr>
      <w:tr w:rsidR="00C141FF">
        <w:trPr>
          <w:cnfStyle w:val="000000100000"/>
        </w:trPr>
        <w:tc>
          <w:tcPr>
            <w:cnfStyle w:val="001000000000"/>
            <w:tcW w:w="2238" w:type="dxa"/>
          </w:tcPr>
          <w:p w:rsidR="00C141FF" w:rsidRDefault="00C141FF">
            <w:r>
              <w:t xml:space="preserve">Bertrand de la </w:t>
            </w:r>
            <w:proofErr w:type="spellStart"/>
            <w:r>
              <w:t>Chapelle</w:t>
            </w:r>
            <w:proofErr w:type="spellEnd"/>
          </w:p>
        </w:tc>
        <w:tc>
          <w:tcPr>
            <w:tcW w:w="2273" w:type="dxa"/>
          </w:tcPr>
          <w:p w:rsidR="00C141FF" w:rsidRDefault="00C141FF">
            <w:pPr>
              <w:cnfStyle w:val="000000100000"/>
            </w:pPr>
            <w:r>
              <w:t>French Government</w:t>
            </w:r>
          </w:p>
        </w:tc>
        <w:tc>
          <w:tcPr>
            <w:tcW w:w="2299" w:type="dxa"/>
          </w:tcPr>
          <w:p w:rsidR="00C141FF" w:rsidRDefault="00C141FF">
            <w:pPr>
              <w:cnfStyle w:val="000000100000"/>
            </w:pPr>
            <w:r>
              <w:t>GAC</w:t>
            </w:r>
          </w:p>
        </w:tc>
        <w:tc>
          <w:tcPr>
            <w:tcW w:w="2190" w:type="dxa"/>
          </w:tcPr>
          <w:p w:rsidR="00C141FF" w:rsidRDefault="006E5141">
            <w:pPr>
              <w:cnfStyle w:val="000000100000"/>
            </w:pPr>
            <w:r>
              <w:t>Observer</w:t>
            </w:r>
          </w:p>
        </w:tc>
      </w:tr>
      <w:tr w:rsidR="00B96ABA">
        <w:tc>
          <w:tcPr>
            <w:cnfStyle w:val="001000000000"/>
            <w:tcW w:w="2238" w:type="dxa"/>
            <w:tcBorders>
              <w:bottom w:val="single" w:sz="18" w:space="0" w:color="4F81BD" w:themeColor="accent1"/>
            </w:tcBorders>
          </w:tcPr>
          <w:p w:rsidR="00B96ABA" w:rsidRDefault="00B96ABA">
            <w:r>
              <w:t xml:space="preserve">Bret </w:t>
            </w:r>
            <w:proofErr w:type="spellStart"/>
            <w:r>
              <w:t>Fausett</w:t>
            </w:r>
            <w:proofErr w:type="spellEnd"/>
          </w:p>
        </w:tc>
        <w:tc>
          <w:tcPr>
            <w:tcW w:w="2273" w:type="dxa"/>
            <w:tcBorders>
              <w:bottom w:val="single" w:sz="18" w:space="0" w:color="4F81BD" w:themeColor="accent1"/>
            </w:tcBorders>
          </w:tcPr>
          <w:p w:rsidR="00B96ABA" w:rsidRDefault="00B96ABA">
            <w:pPr>
              <w:cnfStyle w:val="000000000000"/>
            </w:pPr>
            <w:proofErr w:type="spellStart"/>
            <w:r>
              <w:t>Adorno</w:t>
            </w:r>
            <w:proofErr w:type="spellEnd"/>
            <w:r>
              <w:t xml:space="preserve"> </w:t>
            </w:r>
            <w:proofErr w:type="spellStart"/>
            <w:r>
              <w:t>Yoss</w:t>
            </w:r>
            <w:proofErr w:type="spellEnd"/>
          </w:p>
        </w:tc>
        <w:tc>
          <w:tcPr>
            <w:tcW w:w="2299" w:type="dxa"/>
            <w:tcBorders>
              <w:bottom w:val="single" w:sz="18" w:space="0" w:color="4F81BD" w:themeColor="accent1"/>
            </w:tcBorders>
          </w:tcPr>
          <w:p w:rsidR="00B96ABA" w:rsidRDefault="00B96ABA">
            <w:pPr>
              <w:cnfStyle w:val="000000000000"/>
            </w:pPr>
            <w:r>
              <w:t>NCUC</w:t>
            </w:r>
          </w:p>
        </w:tc>
        <w:tc>
          <w:tcPr>
            <w:tcW w:w="2190" w:type="dxa"/>
            <w:tcBorders>
              <w:bottom w:val="single" w:sz="18" w:space="0" w:color="4F81BD" w:themeColor="accent1"/>
            </w:tcBorders>
          </w:tcPr>
          <w:p w:rsidR="00B96ABA" w:rsidRDefault="00B96ABA">
            <w:pPr>
              <w:cnfStyle w:val="000000000000"/>
            </w:pPr>
            <w:r>
              <w:t>Member</w:t>
            </w:r>
          </w:p>
        </w:tc>
      </w:tr>
      <w:tr w:rsidR="00C141FF">
        <w:trPr>
          <w:cnfStyle w:val="000000100000"/>
        </w:trPr>
        <w:tc>
          <w:tcPr>
            <w:cnfStyle w:val="001000000000"/>
            <w:tcW w:w="2238" w:type="dxa"/>
            <w:tcBorders>
              <w:bottom w:val="single" w:sz="18" w:space="0" w:color="4F81BD" w:themeColor="accent1"/>
            </w:tcBorders>
          </w:tcPr>
          <w:p w:rsidR="00C141FF" w:rsidRDefault="00C141FF">
            <w:proofErr w:type="spellStart"/>
            <w:r>
              <w:t>Edmon</w:t>
            </w:r>
            <w:proofErr w:type="spellEnd"/>
            <w:r>
              <w:t xml:space="preserve"> Chung</w:t>
            </w:r>
          </w:p>
        </w:tc>
        <w:tc>
          <w:tcPr>
            <w:tcW w:w="2273" w:type="dxa"/>
            <w:tcBorders>
              <w:bottom w:val="single" w:sz="18" w:space="0" w:color="4F81BD" w:themeColor="accent1"/>
            </w:tcBorders>
          </w:tcPr>
          <w:p w:rsidR="00C141FF" w:rsidRDefault="00C141FF">
            <w:pPr>
              <w:cnfStyle w:val="000000100000"/>
            </w:pPr>
            <w:proofErr w:type="gramStart"/>
            <w:r>
              <w:t>.Asia</w:t>
            </w:r>
            <w:proofErr w:type="gramEnd"/>
          </w:p>
        </w:tc>
        <w:tc>
          <w:tcPr>
            <w:tcW w:w="2299" w:type="dxa"/>
            <w:tcBorders>
              <w:bottom w:val="single" w:sz="18" w:space="0" w:color="4F81BD" w:themeColor="accent1"/>
            </w:tcBorders>
          </w:tcPr>
          <w:p w:rsidR="00C141FF" w:rsidRDefault="00C141FF">
            <w:pPr>
              <w:cnfStyle w:val="000000100000"/>
            </w:pPr>
            <w:r>
              <w:t>Registry</w:t>
            </w:r>
          </w:p>
        </w:tc>
        <w:tc>
          <w:tcPr>
            <w:tcW w:w="2190" w:type="dxa"/>
            <w:tcBorders>
              <w:bottom w:val="single" w:sz="18" w:space="0" w:color="4F81BD" w:themeColor="accent1"/>
            </w:tcBorders>
          </w:tcPr>
          <w:p w:rsidR="00C141FF" w:rsidRDefault="006E34BC">
            <w:pPr>
              <w:cnfStyle w:val="000000100000"/>
            </w:pPr>
            <w:r>
              <w:t>Member</w:t>
            </w:r>
          </w:p>
        </w:tc>
      </w:tr>
      <w:tr w:rsidR="00C141FF">
        <w:tc>
          <w:tcPr>
            <w:cnfStyle w:val="001000000000"/>
            <w:tcW w:w="2238" w:type="dxa"/>
            <w:tcBorders>
              <w:bottom w:val="single" w:sz="18" w:space="0" w:color="4F81BD" w:themeColor="accent1"/>
            </w:tcBorders>
          </w:tcPr>
          <w:p w:rsidR="00C141FF" w:rsidRDefault="00720387">
            <w:proofErr w:type="spellStart"/>
            <w:r>
              <w:t>Bolei</w:t>
            </w:r>
            <w:proofErr w:type="spellEnd"/>
            <w:r>
              <w:t xml:space="preserve"> Zhan</w:t>
            </w:r>
          </w:p>
        </w:tc>
        <w:tc>
          <w:tcPr>
            <w:tcW w:w="2273" w:type="dxa"/>
            <w:tcBorders>
              <w:bottom w:val="single" w:sz="18" w:space="0" w:color="4F81BD" w:themeColor="accent1"/>
            </w:tcBorders>
          </w:tcPr>
          <w:p w:rsidR="00C141FF" w:rsidRDefault="006E34BC">
            <w:pPr>
              <w:cnfStyle w:val="000000000000"/>
            </w:pPr>
            <w:r>
              <w:t>Zodiac Corp.</w:t>
            </w:r>
          </w:p>
        </w:tc>
        <w:tc>
          <w:tcPr>
            <w:tcW w:w="2299" w:type="dxa"/>
            <w:tcBorders>
              <w:bottom w:val="single" w:sz="18" w:space="0" w:color="4F81BD" w:themeColor="accent1"/>
            </w:tcBorders>
          </w:tcPr>
          <w:p w:rsidR="00C141FF" w:rsidRDefault="00C141FF">
            <w:pPr>
              <w:cnfStyle w:val="000000000000"/>
            </w:pPr>
          </w:p>
        </w:tc>
        <w:tc>
          <w:tcPr>
            <w:tcW w:w="2190" w:type="dxa"/>
            <w:tcBorders>
              <w:bottom w:val="single" w:sz="18" w:space="0" w:color="4F81BD" w:themeColor="accent1"/>
            </w:tcBorders>
          </w:tcPr>
          <w:p w:rsidR="00C141FF" w:rsidRDefault="00720387">
            <w:pPr>
              <w:cnfStyle w:val="000000000000"/>
            </w:pPr>
            <w:r>
              <w:t>IDN Expert</w:t>
            </w:r>
          </w:p>
        </w:tc>
      </w:tr>
      <w:tr w:rsidR="00C141FF">
        <w:trPr>
          <w:cnfStyle w:val="000000100000"/>
        </w:trPr>
        <w:tc>
          <w:tcPr>
            <w:cnfStyle w:val="001000000000"/>
            <w:tcW w:w="2238" w:type="dxa"/>
          </w:tcPr>
          <w:p w:rsidR="00C141FF" w:rsidRDefault="00C141FF">
            <w:r>
              <w:t>Johannes Lenz</w:t>
            </w:r>
            <w:r w:rsidR="00B96ABA">
              <w:t>-</w:t>
            </w:r>
            <w:proofErr w:type="spellStart"/>
            <w:r w:rsidR="00B96ABA">
              <w:t>Hawliczek</w:t>
            </w:r>
            <w:proofErr w:type="spellEnd"/>
          </w:p>
        </w:tc>
        <w:tc>
          <w:tcPr>
            <w:tcW w:w="2273" w:type="dxa"/>
          </w:tcPr>
          <w:p w:rsidR="00C141FF" w:rsidRDefault="00C141FF">
            <w:pPr>
              <w:cnfStyle w:val="000000100000"/>
            </w:pPr>
            <w:r>
              <w:t>Dot Hotel</w:t>
            </w:r>
          </w:p>
        </w:tc>
        <w:tc>
          <w:tcPr>
            <w:tcW w:w="2299" w:type="dxa"/>
          </w:tcPr>
          <w:p w:rsidR="00C141FF" w:rsidRDefault="006E34BC">
            <w:pPr>
              <w:cnfStyle w:val="000000100000"/>
            </w:pPr>
            <w:r>
              <w:t>(</w:t>
            </w:r>
            <w:proofErr w:type="gramStart"/>
            <w:r>
              <w:t>new</w:t>
            </w:r>
            <w:proofErr w:type="gramEnd"/>
            <w:r>
              <w:t xml:space="preserve"> </w:t>
            </w:r>
            <w:proofErr w:type="spellStart"/>
            <w:r>
              <w:t>gTLD</w:t>
            </w:r>
            <w:proofErr w:type="spellEnd"/>
            <w:r>
              <w:t xml:space="preserve"> applicant)</w:t>
            </w:r>
          </w:p>
        </w:tc>
        <w:tc>
          <w:tcPr>
            <w:tcW w:w="2190" w:type="dxa"/>
          </w:tcPr>
          <w:p w:rsidR="00C141FF" w:rsidRDefault="006E34BC">
            <w:pPr>
              <w:cnfStyle w:val="000000100000"/>
            </w:pPr>
            <w:r>
              <w:t>Member</w:t>
            </w:r>
          </w:p>
        </w:tc>
      </w:tr>
      <w:tr w:rsidR="00C141FF">
        <w:tc>
          <w:tcPr>
            <w:cnfStyle w:val="001000000000"/>
            <w:tcW w:w="2238" w:type="dxa"/>
          </w:tcPr>
          <w:p w:rsidR="00C141FF" w:rsidRDefault="00C141FF">
            <w:proofErr w:type="spellStart"/>
            <w:r>
              <w:t>Jothan</w:t>
            </w:r>
            <w:proofErr w:type="spellEnd"/>
            <w:r>
              <w:t xml:space="preserve"> </w:t>
            </w:r>
            <w:proofErr w:type="spellStart"/>
            <w:r>
              <w:t>Frakes</w:t>
            </w:r>
            <w:proofErr w:type="spellEnd"/>
          </w:p>
        </w:tc>
        <w:tc>
          <w:tcPr>
            <w:tcW w:w="2273" w:type="dxa"/>
          </w:tcPr>
          <w:p w:rsidR="00C141FF" w:rsidRDefault="00C141FF">
            <w:pPr>
              <w:cnfStyle w:val="000000000000"/>
            </w:pPr>
            <w:r>
              <w:t xml:space="preserve">Minds </w:t>
            </w:r>
            <w:r w:rsidR="006E5141">
              <w:t>+</w:t>
            </w:r>
            <w:r>
              <w:t xml:space="preserve"> Machines</w:t>
            </w:r>
          </w:p>
        </w:tc>
        <w:tc>
          <w:tcPr>
            <w:tcW w:w="2299" w:type="dxa"/>
          </w:tcPr>
          <w:p w:rsidR="00C141FF" w:rsidRDefault="006E34BC">
            <w:pPr>
              <w:cnfStyle w:val="000000000000"/>
            </w:pPr>
            <w:r>
              <w:t>(</w:t>
            </w:r>
            <w:proofErr w:type="gramStart"/>
            <w:r>
              <w:t>new</w:t>
            </w:r>
            <w:proofErr w:type="gramEnd"/>
            <w:r>
              <w:t xml:space="preserve"> </w:t>
            </w:r>
            <w:proofErr w:type="spellStart"/>
            <w:r>
              <w:t>gTLD</w:t>
            </w:r>
            <w:proofErr w:type="spellEnd"/>
            <w:r>
              <w:t xml:space="preserve"> applicant)</w:t>
            </w:r>
          </w:p>
        </w:tc>
        <w:tc>
          <w:tcPr>
            <w:tcW w:w="2190" w:type="dxa"/>
          </w:tcPr>
          <w:p w:rsidR="00C141FF" w:rsidRDefault="00C141FF">
            <w:pPr>
              <w:cnfStyle w:val="000000000000"/>
            </w:pPr>
            <w:r>
              <w:t>WG Logistics</w:t>
            </w:r>
            <w:r w:rsidR="00B96ABA">
              <w:t>/Member</w:t>
            </w:r>
          </w:p>
        </w:tc>
      </w:tr>
      <w:tr w:rsidR="00C141FF">
        <w:trPr>
          <w:cnfStyle w:val="000000100000"/>
        </w:trPr>
        <w:tc>
          <w:tcPr>
            <w:cnfStyle w:val="001000000000"/>
            <w:tcW w:w="2238" w:type="dxa"/>
          </w:tcPr>
          <w:p w:rsidR="00C141FF" w:rsidRDefault="00C141FF">
            <w:r>
              <w:t>Liz Williams</w:t>
            </w:r>
          </w:p>
        </w:tc>
        <w:tc>
          <w:tcPr>
            <w:tcW w:w="2273" w:type="dxa"/>
          </w:tcPr>
          <w:p w:rsidR="00C141FF" w:rsidRDefault="00C141FF">
            <w:pPr>
              <w:cnfStyle w:val="000000100000"/>
            </w:pPr>
            <w:r>
              <w:t>Core</w:t>
            </w:r>
          </w:p>
        </w:tc>
        <w:tc>
          <w:tcPr>
            <w:tcW w:w="2299" w:type="dxa"/>
          </w:tcPr>
          <w:p w:rsidR="00C141FF" w:rsidRDefault="00B96ABA">
            <w:pPr>
              <w:cnfStyle w:val="000000100000"/>
            </w:pPr>
            <w:r>
              <w:t>(</w:t>
            </w:r>
            <w:proofErr w:type="gramStart"/>
            <w:r>
              <w:t>new</w:t>
            </w:r>
            <w:proofErr w:type="gramEnd"/>
            <w:r>
              <w:t xml:space="preserve"> </w:t>
            </w:r>
            <w:proofErr w:type="spellStart"/>
            <w:r>
              <w:t>gTLD</w:t>
            </w:r>
            <w:proofErr w:type="spellEnd"/>
            <w:r>
              <w:t xml:space="preserve"> applicant)</w:t>
            </w:r>
          </w:p>
        </w:tc>
        <w:tc>
          <w:tcPr>
            <w:tcW w:w="2190" w:type="dxa"/>
          </w:tcPr>
          <w:p w:rsidR="00C141FF" w:rsidRDefault="006E34BC">
            <w:pPr>
              <w:cnfStyle w:val="000000100000"/>
            </w:pPr>
            <w:r>
              <w:t>Member</w:t>
            </w:r>
          </w:p>
        </w:tc>
      </w:tr>
      <w:tr w:rsidR="00C141FF">
        <w:tc>
          <w:tcPr>
            <w:cnfStyle w:val="001000000000"/>
            <w:tcW w:w="2238" w:type="dxa"/>
            <w:tcBorders>
              <w:bottom w:val="single" w:sz="18" w:space="0" w:color="4F81BD" w:themeColor="accent1"/>
            </w:tcBorders>
          </w:tcPr>
          <w:p w:rsidR="00C141FF" w:rsidRDefault="00C141FF">
            <w:r>
              <w:t>Nick Wood</w:t>
            </w:r>
          </w:p>
        </w:tc>
        <w:tc>
          <w:tcPr>
            <w:tcW w:w="2273" w:type="dxa"/>
            <w:tcBorders>
              <w:bottom w:val="single" w:sz="18" w:space="0" w:color="4F81BD" w:themeColor="accent1"/>
            </w:tcBorders>
          </w:tcPr>
          <w:p w:rsidR="00C141FF" w:rsidRDefault="00C141FF">
            <w:pPr>
              <w:cnfStyle w:val="000000000000"/>
            </w:pPr>
            <w:r>
              <w:t>Com Laude</w:t>
            </w:r>
          </w:p>
        </w:tc>
        <w:tc>
          <w:tcPr>
            <w:tcW w:w="2299" w:type="dxa"/>
            <w:tcBorders>
              <w:bottom w:val="single" w:sz="18" w:space="0" w:color="4F81BD" w:themeColor="accent1"/>
            </w:tcBorders>
          </w:tcPr>
          <w:p w:rsidR="00C141FF" w:rsidRDefault="006E5141">
            <w:pPr>
              <w:cnfStyle w:val="000000000000"/>
            </w:pPr>
            <w:r>
              <w:t>IPC</w:t>
            </w:r>
          </w:p>
        </w:tc>
        <w:tc>
          <w:tcPr>
            <w:tcW w:w="2190" w:type="dxa"/>
            <w:tcBorders>
              <w:bottom w:val="single" w:sz="18" w:space="0" w:color="4F81BD" w:themeColor="accent1"/>
            </w:tcBorders>
          </w:tcPr>
          <w:p w:rsidR="00C141FF" w:rsidRDefault="00B96ABA">
            <w:pPr>
              <w:cnfStyle w:val="000000000000"/>
            </w:pPr>
            <w:r>
              <w:t>Member</w:t>
            </w:r>
          </w:p>
        </w:tc>
      </w:tr>
      <w:tr w:rsidR="00C141FF">
        <w:trPr>
          <w:cnfStyle w:val="000000100000"/>
        </w:trPr>
        <w:tc>
          <w:tcPr>
            <w:cnfStyle w:val="001000000000"/>
            <w:tcW w:w="2238" w:type="dxa"/>
            <w:tcBorders>
              <w:bottom w:val="single" w:sz="18" w:space="0" w:color="4F81BD" w:themeColor="accent1"/>
            </w:tcBorders>
          </w:tcPr>
          <w:p w:rsidR="00C141FF" w:rsidRDefault="00C141FF">
            <w:r>
              <w:t xml:space="preserve">Oscar Robles </w:t>
            </w:r>
            <w:proofErr w:type="spellStart"/>
            <w:r>
              <w:t>Garay</w:t>
            </w:r>
            <w:proofErr w:type="spellEnd"/>
          </w:p>
        </w:tc>
        <w:tc>
          <w:tcPr>
            <w:tcW w:w="2273" w:type="dxa"/>
            <w:tcBorders>
              <w:bottom w:val="single" w:sz="18" w:space="0" w:color="4F81BD" w:themeColor="accent1"/>
            </w:tcBorders>
          </w:tcPr>
          <w:p w:rsidR="00C141FF" w:rsidRDefault="00720387">
            <w:pPr>
              <w:cnfStyle w:val="000000100000"/>
            </w:pPr>
            <w:r>
              <w:t>NIC Mexico</w:t>
            </w:r>
          </w:p>
        </w:tc>
        <w:tc>
          <w:tcPr>
            <w:tcW w:w="2299" w:type="dxa"/>
            <w:tcBorders>
              <w:bottom w:val="single" w:sz="18" w:space="0" w:color="4F81BD" w:themeColor="accent1"/>
            </w:tcBorders>
          </w:tcPr>
          <w:p w:rsidR="00C141FF" w:rsidRDefault="00C141FF">
            <w:pPr>
              <w:cnfStyle w:val="000000100000"/>
            </w:pPr>
            <w:proofErr w:type="spellStart"/>
            <w:proofErr w:type="gramStart"/>
            <w:r>
              <w:t>ccNSO</w:t>
            </w:r>
            <w:proofErr w:type="spellEnd"/>
            <w:proofErr w:type="gramEnd"/>
          </w:p>
        </w:tc>
        <w:tc>
          <w:tcPr>
            <w:tcW w:w="2190" w:type="dxa"/>
            <w:tcBorders>
              <w:bottom w:val="single" w:sz="18" w:space="0" w:color="4F81BD" w:themeColor="accent1"/>
            </w:tcBorders>
          </w:tcPr>
          <w:p w:rsidR="00C141FF" w:rsidRDefault="00B96ABA">
            <w:pPr>
              <w:cnfStyle w:val="000000100000"/>
            </w:pPr>
            <w:r>
              <w:t>Member</w:t>
            </w:r>
          </w:p>
        </w:tc>
      </w:tr>
      <w:tr w:rsidR="00C141FF">
        <w:tc>
          <w:tcPr>
            <w:cnfStyle w:val="001000000000"/>
            <w:tcW w:w="2238" w:type="dxa"/>
            <w:tcBorders>
              <w:bottom w:val="single" w:sz="18" w:space="0" w:color="4F81BD" w:themeColor="accent1"/>
            </w:tcBorders>
          </w:tcPr>
          <w:p w:rsidR="00C141FF" w:rsidRDefault="00C141FF">
            <w:r>
              <w:t xml:space="preserve">Patrick Van de </w:t>
            </w:r>
            <w:proofErr w:type="spellStart"/>
            <w:r>
              <w:t>Walle</w:t>
            </w:r>
            <w:proofErr w:type="spellEnd"/>
          </w:p>
        </w:tc>
        <w:tc>
          <w:tcPr>
            <w:tcW w:w="2273" w:type="dxa"/>
            <w:tcBorders>
              <w:bottom w:val="single" w:sz="18" w:space="0" w:color="4F81BD" w:themeColor="accent1"/>
            </w:tcBorders>
          </w:tcPr>
          <w:p w:rsidR="00C141FF" w:rsidRDefault="00C141FF">
            <w:pPr>
              <w:cnfStyle w:val="000000000000"/>
            </w:pPr>
          </w:p>
        </w:tc>
        <w:tc>
          <w:tcPr>
            <w:tcW w:w="2299" w:type="dxa"/>
            <w:tcBorders>
              <w:bottom w:val="single" w:sz="18" w:space="0" w:color="4F81BD" w:themeColor="accent1"/>
            </w:tcBorders>
          </w:tcPr>
          <w:p w:rsidR="00C141FF" w:rsidRDefault="00C141FF">
            <w:pPr>
              <w:cnfStyle w:val="000000000000"/>
            </w:pPr>
            <w:r>
              <w:t>At Large</w:t>
            </w:r>
          </w:p>
        </w:tc>
        <w:tc>
          <w:tcPr>
            <w:tcW w:w="2190" w:type="dxa"/>
            <w:tcBorders>
              <w:bottom w:val="single" w:sz="18" w:space="0" w:color="4F81BD" w:themeColor="accent1"/>
            </w:tcBorders>
          </w:tcPr>
          <w:p w:rsidR="00C141FF" w:rsidRDefault="00B96ABA">
            <w:pPr>
              <w:cnfStyle w:val="000000000000"/>
            </w:pPr>
            <w:r>
              <w:t>Member</w:t>
            </w:r>
          </w:p>
        </w:tc>
      </w:tr>
      <w:tr w:rsidR="00C141FF">
        <w:trPr>
          <w:cnfStyle w:val="000000100000"/>
        </w:trPr>
        <w:tc>
          <w:tcPr>
            <w:cnfStyle w:val="001000000000"/>
            <w:tcW w:w="2238" w:type="dxa"/>
            <w:tcBorders>
              <w:bottom w:val="single" w:sz="18" w:space="0" w:color="4F81BD" w:themeColor="accent1"/>
            </w:tcBorders>
          </w:tcPr>
          <w:p w:rsidR="00C141FF" w:rsidRDefault="00C141FF">
            <w:r>
              <w:t xml:space="preserve">Paul </w:t>
            </w:r>
            <w:proofErr w:type="spellStart"/>
            <w:r>
              <w:t>McGrady</w:t>
            </w:r>
            <w:proofErr w:type="spellEnd"/>
          </w:p>
        </w:tc>
        <w:tc>
          <w:tcPr>
            <w:tcW w:w="2273" w:type="dxa"/>
            <w:tcBorders>
              <w:bottom w:val="single" w:sz="18" w:space="0" w:color="4F81BD" w:themeColor="accent1"/>
            </w:tcBorders>
          </w:tcPr>
          <w:p w:rsidR="00C141FF" w:rsidRDefault="00B96ABA">
            <w:pPr>
              <w:cnfStyle w:val="000000100000"/>
            </w:pPr>
            <w:r>
              <w:t>Greenberg-</w:t>
            </w:r>
            <w:proofErr w:type="spellStart"/>
            <w:r>
              <w:t>Traurig</w:t>
            </w:r>
            <w:proofErr w:type="spellEnd"/>
          </w:p>
        </w:tc>
        <w:tc>
          <w:tcPr>
            <w:tcW w:w="2299" w:type="dxa"/>
            <w:tcBorders>
              <w:bottom w:val="single" w:sz="18" w:space="0" w:color="4F81BD" w:themeColor="accent1"/>
            </w:tcBorders>
          </w:tcPr>
          <w:p w:rsidR="00C141FF" w:rsidRDefault="00C141FF">
            <w:pPr>
              <w:cnfStyle w:val="000000100000"/>
            </w:pPr>
            <w:r>
              <w:t>IPC</w:t>
            </w:r>
          </w:p>
        </w:tc>
        <w:tc>
          <w:tcPr>
            <w:tcW w:w="2190" w:type="dxa"/>
            <w:tcBorders>
              <w:bottom w:val="single" w:sz="18" w:space="0" w:color="4F81BD" w:themeColor="accent1"/>
            </w:tcBorders>
          </w:tcPr>
          <w:p w:rsidR="00C141FF" w:rsidRDefault="00B96ABA">
            <w:pPr>
              <w:cnfStyle w:val="000000100000"/>
            </w:pPr>
            <w:r>
              <w:t>Member</w:t>
            </w:r>
          </w:p>
        </w:tc>
      </w:tr>
      <w:tr w:rsidR="00B96ABA">
        <w:tc>
          <w:tcPr>
            <w:cnfStyle w:val="001000000000"/>
            <w:tcW w:w="2238" w:type="dxa"/>
            <w:tcBorders>
              <w:bottom w:val="single" w:sz="18" w:space="0" w:color="4F81BD" w:themeColor="accent1"/>
            </w:tcBorders>
          </w:tcPr>
          <w:p w:rsidR="00B96ABA" w:rsidRPr="00B96ABA" w:rsidRDefault="00B96ABA">
            <w:r w:rsidRPr="00B96ABA">
              <w:rPr>
                <w:rFonts w:cs="Cambria-Bold"/>
                <w:bCs w:val="0"/>
                <w:color w:val="000000"/>
              </w:rPr>
              <w:t xml:space="preserve">Pierre </w:t>
            </w:r>
            <w:proofErr w:type="spellStart"/>
            <w:r w:rsidRPr="00B96ABA">
              <w:rPr>
                <w:rFonts w:cs="Cambria-Bold"/>
                <w:bCs w:val="0"/>
                <w:color w:val="000000"/>
              </w:rPr>
              <w:t>Ouedraogo</w:t>
            </w:r>
            <w:proofErr w:type="spellEnd"/>
          </w:p>
        </w:tc>
        <w:tc>
          <w:tcPr>
            <w:tcW w:w="2273" w:type="dxa"/>
            <w:tcBorders>
              <w:bottom w:val="single" w:sz="18" w:space="0" w:color="4F81BD" w:themeColor="accent1"/>
            </w:tcBorders>
          </w:tcPr>
          <w:p w:rsidR="00B96ABA" w:rsidRDefault="00B96ABA">
            <w:pPr>
              <w:cnfStyle w:val="000000000000"/>
            </w:pPr>
          </w:p>
        </w:tc>
        <w:tc>
          <w:tcPr>
            <w:tcW w:w="2299" w:type="dxa"/>
            <w:tcBorders>
              <w:bottom w:val="single" w:sz="18" w:space="0" w:color="4F81BD" w:themeColor="accent1"/>
            </w:tcBorders>
          </w:tcPr>
          <w:p w:rsidR="00B96ABA" w:rsidRDefault="00B96ABA">
            <w:pPr>
              <w:cnfStyle w:val="000000000000"/>
            </w:pPr>
            <w:r>
              <w:t>ALAC</w:t>
            </w:r>
          </w:p>
        </w:tc>
        <w:tc>
          <w:tcPr>
            <w:tcW w:w="2190" w:type="dxa"/>
            <w:tcBorders>
              <w:bottom w:val="single" w:sz="18" w:space="0" w:color="4F81BD" w:themeColor="accent1"/>
            </w:tcBorders>
          </w:tcPr>
          <w:p w:rsidR="00B96ABA" w:rsidRDefault="00B96ABA">
            <w:pPr>
              <w:cnfStyle w:val="000000000000"/>
            </w:pPr>
            <w:r>
              <w:t>Member</w:t>
            </w:r>
          </w:p>
        </w:tc>
      </w:tr>
      <w:tr w:rsidR="00C141FF">
        <w:trPr>
          <w:cnfStyle w:val="000000100000"/>
        </w:trPr>
        <w:tc>
          <w:tcPr>
            <w:cnfStyle w:val="001000000000"/>
            <w:tcW w:w="2238" w:type="dxa"/>
            <w:tcBorders>
              <w:bottom w:val="single" w:sz="18" w:space="0" w:color="4F81BD" w:themeColor="accent1"/>
            </w:tcBorders>
          </w:tcPr>
          <w:p w:rsidR="00C141FF" w:rsidRDefault="006E34BC">
            <w:r>
              <w:t xml:space="preserve">Maureen </w:t>
            </w:r>
            <w:proofErr w:type="spellStart"/>
            <w:r>
              <w:t>Cubberly</w:t>
            </w:r>
            <w:proofErr w:type="spellEnd"/>
          </w:p>
        </w:tc>
        <w:tc>
          <w:tcPr>
            <w:tcW w:w="2273" w:type="dxa"/>
            <w:tcBorders>
              <w:bottom w:val="single" w:sz="18" w:space="0" w:color="4F81BD" w:themeColor="accent1"/>
            </w:tcBorders>
          </w:tcPr>
          <w:p w:rsidR="00C141FF" w:rsidRDefault="00C141FF">
            <w:pPr>
              <w:cnfStyle w:val="000000100000"/>
            </w:pPr>
          </w:p>
        </w:tc>
        <w:tc>
          <w:tcPr>
            <w:tcW w:w="2299" w:type="dxa"/>
            <w:tcBorders>
              <w:bottom w:val="single" w:sz="18" w:space="0" w:color="4F81BD" w:themeColor="accent1"/>
            </w:tcBorders>
          </w:tcPr>
          <w:p w:rsidR="00C141FF" w:rsidRDefault="00C141FF">
            <w:pPr>
              <w:cnfStyle w:val="000000100000"/>
            </w:pPr>
          </w:p>
        </w:tc>
        <w:tc>
          <w:tcPr>
            <w:tcW w:w="2190" w:type="dxa"/>
            <w:tcBorders>
              <w:bottom w:val="single" w:sz="18" w:space="0" w:color="4F81BD" w:themeColor="accent1"/>
            </w:tcBorders>
          </w:tcPr>
          <w:p w:rsidR="00C141FF" w:rsidRDefault="00C141FF">
            <w:pPr>
              <w:cnfStyle w:val="000000100000"/>
            </w:pPr>
            <w:r>
              <w:t>WG Chair</w:t>
            </w:r>
          </w:p>
        </w:tc>
      </w:tr>
      <w:tr w:rsidR="00C141FF">
        <w:tc>
          <w:tcPr>
            <w:cnfStyle w:val="001000000000"/>
            <w:tcW w:w="2238" w:type="dxa"/>
            <w:tcBorders>
              <w:bottom w:val="single" w:sz="18" w:space="0" w:color="4F81BD" w:themeColor="accent1"/>
            </w:tcBorders>
          </w:tcPr>
          <w:p w:rsidR="00C141FF" w:rsidRDefault="00C141FF">
            <w:proofErr w:type="spellStart"/>
            <w:r>
              <w:t>Stephane</w:t>
            </w:r>
            <w:proofErr w:type="spellEnd"/>
            <w:r>
              <w:t xml:space="preserve"> van </w:t>
            </w:r>
            <w:proofErr w:type="spellStart"/>
            <w:r>
              <w:t>Gelder</w:t>
            </w:r>
            <w:proofErr w:type="spellEnd"/>
          </w:p>
        </w:tc>
        <w:tc>
          <w:tcPr>
            <w:tcW w:w="2273" w:type="dxa"/>
            <w:tcBorders>
              <w:bottom w:val="single" w:sz="18" w:space="0" w:color="4F81BD" w:themeColor="accent1"/>
            </w:tcBorders>
          </w:tcPr>
          <w:p w:rsidR="00C141FF" w:rsidRDefault="00C141FF">
            <w:pPr>
              <w:cnfStyle w:val="000000000000"/>
            </w:pPr>
            <w:proofErr w:type="spellStart"/>
            <w:r>
              <w:t>Indom</w:t>
            </w:r>
            <w:proofErr w:type="spellEnd"/>
          </w:p>
        </w:tc>
        <w:tc>
          <w:tcPr>
            <w:tcW w:w="2299" w:type="dxa"/>
            <w:tcBorders>
              <w:bottom w:val="single" w:sz="18" w:space="0" w:color="4F81BD" w:themeColor="accent1"/>
            </w:tcBorders>
          </w:tcPr>
          <w:p w:rsidR="00C141FF" w:rsidRDefault="00B96ABA">
            <w:pPr>
              <w:cnfStyle w:val="000000000000"/>
            </w:pPr>
            <w:r>
              <w:t>GNSO</w:t>
            </w:r>
          </w:p>
        </w:tc>
        <w:tc>
          <w:tcPr>
            <w:tcW w:w="2190" w:type="dxa"/>
            <w:tcBorders>
              <w:bottom w:val="single" w:sz="18" w:space="0" w:color="4F81BD" w:themeColor="accent1"/>
            </w:tcBorders>
          </w:tcPr>
          <w:p w:rsidR="00C141FF" w:rsidRDefault="006E34BC">
            <w:pPr>
              <w:cnfStyle w:val="000000000000"/>
            </w:pPr>
            <w:r>
              <w:t>GNSO Observer</w:t>
            </w:r>
          </w:p>
        </w:tc>
      </w:tr>
      <w:tr w:rsidR="00C141FF">
        <w:trPr>
          <w:cnfStyle w:val="000000100000"/>
        </w:trPr>
        <w:tc>
          <w:tcPr>
            <w:cnfStyle w:val="001000000000"/>
            <w:tcW w:w="2238" w:type="dxa"/>
            <w:tcBorders>
              <w:bottom w:val="single" w:sz="18" w:space="0" w:color="4F81BD" w:themeColor="accent1"/>
            </w:tcBorders>
          </w:tcPr>
          <w:p w:rsidR="00C141FF" w:rsidRDefault="00C141FF">
            <w:r>
              <w:t>Susan Kawaguchi</w:t>
            </w:r>
          </w:p>
        </w:tc>
        <w:tc>
          <w:tcPr>
            <w:tcW w:w="2273" w:type="dxa"/>
            <w:tcBorders>
              <w:bottom w:val="single" w:sz="18" w:space="0" w:color="4F81BD" w:themeColor="accent1"/>
            </w:tcBorders>
          </w:tcPr>
          <w:p w:rsidR="00C141FF" w:rsidRDefault="00C141FF">
            <w:pPr>
              <w:cnfStyle w:val="000000100000"/>
            </w:pPr>
            <w:proofErr w:type="spellStart"/>
            <w:r>
              <w:t>Facebook</w:t>
            </w:r>
            <w:proofErr w:type="spellEnd"/>
          </w:p>
        </w:tc>
        <w:tc>
          <w:tcPr>
            <w:tcW w:w="2299" w:type="dxa"/>
            <w:tcBorders>
              <w:bottom w:val="single" w:sz="18" w:space="0" w:color="4F81BD" w:themeColor="accent1"/>
            </w:tcBorders>
          </w:tcPr>
          <w:p w:rsidR="00C141FF" w:rsidRDefault="00C141FF">
            <w:pPr>
              <w:cnfStyle w:val="000000100000"/>
            </w:pPr>
            <w:r>
              <w:t>Business</w:t>
            </w:r>
          </w:p>
        </w:tc>
        <w:tc>
          <w:tcPr>
            <w:tcW w:w="2190" w:type="dxa"/>
            <w:tcBorders>
              <w:bottom w:val="single" w:sz="18" w:space="0" w:color="4F81BD" w:themeColor="accent1"/>
            </w:tcBorders>
          </w:tcPr>
          <w:p w:rsidR="00C141FF" w:rsidRDefault="00B96ABA">
            <w:pPr>
              <w:cnfStyle w:val="000000100000"/>
            </w:pPr>
            <w:r>
              <w:t>Member</w:t>
            </w:r>
          </w:p>
        </w:tc>
      </w:tr>
      <w:tr w:rsidR="00C141FF">
        <w:trPr>
          <w:cnfStyle w:val="010000000000"/>
        </w:trPr>
        <w:tc>
          <w:tcPr>
            <w:cnfStyle w:val="001000000000"/>
            <w:tcW w:w="2238" w:type="dxa"/>
            <w:tcBorders>
              <w:bottom w:val="single" w:sz="18" w:space="0" w:color="4F81BD" w:themeColor="accent1"/>
            </w:tcBorders>
          </w:tcPr>
          <w:p w:rsidR="00C141FF" w:rsidRDefault="00C141FF">
            <w:r>
              <w:t>Tony Harris</w:t>
            </w:r>
          </w:p>
        </w:tc>
        <w:tc>
          <w:tcPr>
            <w:tcW w:w="2273" w:type="dxa"/>
            <w:tcBorders>
              <w:bottom w:val="single" w:sz="18" w:space="0" w:color="4F81BD" w:themeColor="accent1"/>
            </w:tcBorders>
          </w:tcPr>
          <w:p w:rsidR="00C141FF" w:rsidRDefault="00C141FF">
            <w:pPr>
              <w:cnfStyle w:val="010000000000"/>
            </w:pPr>
            <w:r>
              <w:t>LACNIC</w:t>
            </w:r>
          </w:p>
        </w:tc>
        <w:tc>
          <w:tcPr>
            <w:tcW w:w="2299" w:type="dxa"/>
            <w:tcBorders>
              <w:bottom w:val="single" w:sz="18" w:space="0" w:color="4F81BD" w:themeColor="accent1"/>
            </w:tcBorders>
          </w:tcPr>
          <w:p w:rsidR="00C141FF" w:rsidRDefault="00C141FF">
            <w:pPr>
              <w:cnfStyle w:val="010000000000"/>
            </w:pPr>
            <w:r>
              <w:t>ISP</w:t>
            </w:r>
          </w:p>
        </w:tc>
        <w:tc>
          <w:tcPr>
            <w:tcW w:w="2190" w:type="dxa"/>
            <w:tcBorders>
              <w:bottom w:val="single" w:sz="18" w:space="0" w:color="4F81BD" w:themeColor="accent1"/>
            </w:tcBorders>
          </w:tcPr>
          <w:p w:rsidR="00C141FF" w:rsidRDefault="00B96ABA">
            <w:pPr>
              <w:cnfStyle w:val="010000000000"/>
            </w:pPr>
            <w:r>
              <w:t>Member</w:t>
            </w:r>
          </w:p>
        </w:tc>
      </w:tr>
    </w:tbl>
    <w:p w:rsidR="00C158CE" w:rsidRDefault="00C158CE" w:rsidP="00C158CE">
      <w:pPr>
        <w:spacing w:before="120"/>
        <w:rPr>
          <w:rFonts w:asciiTheme="majorHAnsi" w:hAnsiTheme="majorHAnsi"/>
          <w:sz w:val="23"/>
        </w:rPr>
      </w:pPr>
    </w:p>
    <w:p w:rsidR="00C141FF" w:rsidRDefault="00C141FF" w:rsidP="00B96ABA">
      <w:pPr>
        <w:pStyle w:val="Heading1"/>
      </w:pPr>
      <w:r>
        <w:t>Outputs</w:t>
      </w:r>
    </w:p>
    <w:p w:rsidR="00C141FF" w:rsidRDefault="00C141FF" w:rsidP="00C158CE">
      <w:pPr>
        <w:spacing w:before="120"/>
        <w:rPr>
          <w:rFonts w:asciiTheme="majorHAnsi" w:hAnsiTheme="majorHAnsi"/>
          <w:sz w:val="23"/>
        </w:rPr>
      </w:pPr>
      <w:r>
        <w:rPr>
          <w:rFonts w:asciiTheme="majorHAnsi" w:hAnsiTheme="majorHAnsi"/>
          <w:sz w:val="23"/>
        </w:rPr>
        <w:t>The output of the Working Group will be a consensus implementation report which address each of the points in the Board Resolution with a timeframe and risk analysis.</w:t>
      </w:r>
    </w:p>
    <w:p w:rsidR="00C141FF" w:rsidRPr="00B06D8B" w:rsidRDefault="00C141FF" w:rsidP="00C158CE">
      <w:pPr>
        <w:spacing w:before="120"/>
        <w:rPr>
          <w:rFonts w:asciiTheme="majorHAnsi" w:hAnsiTheme="majorHAnsi"/>
          <w:sz w:val="23"/>
        </w:rPr>
      </w:pPr>
    </w:p>
    <w:sectPr w:rsidR="00C141FF" w:rsidRPr="00B06D8B" w:rsidSect="001B63DD">
      <w:headerReference w:type="default" r:id="rId5"/>
      <w:footerReference w:type="default" r:id="rId6"/>
      <w:pgSz w:w="12240" w:h="15840"/>
      <w:pgMar w:top="1440" w:right="1728" w:bottom="1440" w:left="1728"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E6E" w:rsidRPr="001B63DD" w:rsidRDefault="00051E6E" w:rsidP="00C158CE">
    <w:pPr>
      <w:pStyle w:val="Footer"/>
      <w:jc w:val="right"/>
      <w:rPr>
        <w:rFonts w:asciiTheme="majorHAnsi" w:hAnsiTheme="majorHAnsi"/>
        <w:sz w:val="18"/>
      </w:rPr>
    </w:pPr>
    <w:r w:rsidRPr="001B63DD">
      <w:rPr>
        <w:rFonts w:asciiTheme="majorHAnsi" w:hAnsiTheme="majorHAnsi"/>
        <w:sz w:val="18"/>
      </w:rPr>
      <w:t xml:space="preserve">Page </w:t>
    </w:r>
    <w:r w:rsidRPr="001B63DD">
      <w:rPr>
        <w:rFonts w:asciiTheme="majorHAnsi" w:hAnsiTheme="majorHAnsi"/>
        <w:sz w:val="18"/>
      </w:rPr>
      <w:fldChar w:fldCharType="begin"/>
    </w:r>
    <w:r w:rsidRPr="001B63DD">
      <w:rPr>
        <w:rFonts w:asciiTheme="majorHAnsi" w:hAnsiTheme="majorHAnsi"/>
        <w:sz w:val="18"/>
      </w:rPr>
      <w:instrText xml:space="preserve"> PAGE </w:instrText>
    </w:r>
    <w:r w:rsidRPr="001B63DD">
      <w:rPr>
        <w:rFonts w:asciiTheme="majorHAnsi" w:hAnsiTheme="majorHAnsi"/>
        <w:sz w:val="18"/>
      </w:rPr>
      <w:fldChar w:fldCharType="separate"/>
    </w:r>
    <w:r w:rsidR="001A686A">
      <w:rPr>
        <w:rFonts w:asciiTheme="majorHAnsi" w:hAnsiTheme="majorHAnsi"/>
        <w:noProof/>
        <w:sz w:val="18"/>
      </w:rPr>
      <w:t>4</w:t>
    </w:r>
    <w:r w:rsidRPr="001B63DD">
      <w:rPr>
        <w:rFonts w:asciiTheme="majorHAnsi" w:hAnsiTheme="majorHAnsi"/>
        <w:sz w:val="18"/>
      </w:rPr>
      <w:fldChar w:fldCharType="end"/>
    </w:r>
    <w:r w:rsidRPr="001B63DD">
      <w:rPr>
        <w:rFonts w:asciiTheme="majorHAnsi" w:hAnsiTheme="majorHAnsi"/>
        <w:sz w:val="18"/>
      </w:rPr>
      <w:t xml:space="preserve"> of </w:t>
    </w:r>
    <w:r w:rsidRPr="001B63DD">
      <w:rPr>
        <w:rFonts w:asciiTheme="majorHAnsi" w:hAnsiTheme="majorHAnsi"/>
        <w:sz w:val="18"/>
      </w:rPr>
      <w:fldChar w:fldCharType="begin"/>
    </w:r>
    <w:r w:rsidRPr="001B63DD">
      <w:rPr>
        <w:rFonts w:asciiTheme="majorHAnsi" w:hAnsiTheme="majorHAnsi"/>
        <w:sz w:val="18"/>
      </w:rPr>
      <w:instrText xml:space="preserve"> NUMPAGES </w:instrText>
    </w:r>
    <w:r w:rsidRPr="001B63DD">
      <w:rPr>
        <w:rFonts w:asciiTheme="majorHAnsi" w:hAnsiTheme="majorHAnsi"/>
        <w:sz w:val="18"/>
      </w:rPr>
      <w:fldChar w:fldCharType="separate"/>
    </w:r>
    <w:r w:rsidR="001A686A">
      <w:rPr>
        <w:rFonts w:asciiTheme="majorHAnsi" w:hAnsiTheme="majorHAnsi"/>
        <w:noProof/>
        <w:sz w:val="18"/>
      </w:rPr>
      <w:t>5</w:t>
    </w:r>
    <w:r w:rsidRPr="001B63DD">
      <w:rPr>
        <w:rFonts w:asciiTheme="majorHAnsi" w:hAnsiTheme="majorHAnsi"/>
        <w:sz w:val="18"/>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E6E" w:rsidRPr="001B63DD" w:rsidRDefault="00051E6E" w:rsidP="00C158CE">
    <w:pPr>
      <w:pStyle w:val="Header"/>
      <w:jc w:val="right"/>
      <w:rPr>
        <w:rFonts w:asciiTheme="majorHAnsi" w:hAnsiTheme="majorHAnsi"/>
        <w:sz w:val="18"/>
      </w:rPr>
    </w:pPr>
    <w:r w:rsidRPr="001B63DD">
      <w:rPr>
        <w:rFonts w:asciiTheme="majorHAnsi" w:hAnsiTheme="majorHAnsi"/>
        <w:sz w:val="18"/>
      </w:rPr>
      <w:t>November 5, 2009</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32E"/>
    <w:multiLevelType w:val="multilevel"/>
    <w:tmpl w:val="C3622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7829DF"/>
    <w:multiLevelType w:val="hybridMultilevel"/>
    <w:tmpl w:val="101EBF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0693A"/>
    <w:multiLevelType w:val="hybridMultilevel"/>
    <w:tmpl w:val="7ABE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87"/>
    <w:multiLevelType w:val="hybridMultilevel"/>
    <w:tmpl w:val="C362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36EE8"/>
    <w:multiLevelType w:val="multilevel"/>
    <w:tmpl w:val="102E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873790"/>
    <w:multiLevelType w:val="hybridMultilevel"/>
    <w:tmpl w:val="7F4C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24916"/>
    <w:multiLevelType w:val="hybridMultilevel"/>
    <w:tmpl w:val="3884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81814"/>
    <w:multiLevelType w:val="hybridMultilevel"/>
    <w:tmpl w:val="101EBF18"/>
    <w:lvl w:ilvl="0" w:tplc="0409000D">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F1A72"/>
    <w:multiLevelType w:val="hybridMultilevel"/>
    <w:tmpl w:val="962CB2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726C9"/>
    <w:multiLevelType w:val="hybridMultilevel"/>
    <w:tmpl w:val="102E1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43566"/>
    <w:multiLevelType w:val="hybridMultilevel"/>
    <w:tmpl w:val="B4549A3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1E67FB"/>
    <w:multiLevelType w:val="hybridMultilevel"/>
    <w:tmpl w:val="B50AD71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732EC"/>
    <w:multiLevelType w:val="hybridMultilevel"/>
    <w:tmpl w:val="8892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6"/>
  </w:num>
  <w:num w:numId="5">
    <w:abstractNumId w:val="5"/>
  </w:num>
  <w:num w:numId="6">
    <w:abstractNumId w:val="2"/>
  </w:num>
  <w:num w:numId="7">
    <w:abstractNumId w:val="0"/>
  </w:num>
  <w:num w:numId="8">
    <w:abstractNumId w:val="11"/>
  </w:num>
  <w:num w:numId="9">
    <w:abstractNumId w:val="1"/>
  </w:num>
  <w:num w:numId="10">
    <w:abstractNumId w:val="7"/>
  </w:num>
  <w:num w:numId="11">
    <w:abstractNumId w:val="10"/>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compat>
    <w:doNotAutofitConstrainedTables/>
    <w:splitPgBreakAndParaMark/>
    <w:doNotVertAlignCellWithSp/>
    <w:doNotBreakConstrainedForcedTable/>
    <w:useAnsiKerningPairs/>
    <w:cachedColBalance/>
  </w:compat>
  <w:rsids>
    <w:rsidRoot w:val="000A5D5D"/>
    <w:rsid w:val="00051E6E"/>
    <w:rsid w:val="000A5D5D"/>
    <w:rsid w:val="00117CB5"/>
    <w:rsid w:val="001A686A"/>
    <w:rsid w:val="001B63DD"/>
    <w:rsid w:val="00650DE1"/>
    <w:rsid w:val="006E34BC"/>
    <w:rsid w:val="006E5141"/>
    <w:rsid w:val="00720387"/>
    <w:rsid w:val="007203B0"/>
    <w:rsid w:val="008E0DFD"/>
    <w:rsid w:val="00947E7F"/>
    <w:rsid w:val="00A07BFF"/>
    <w:rsid w:val="00B96ABA"/>
    <w:rsid w:val="00C141FF"/>
    <w:rsid w:val="00C158CE"/>
    <w:rsid w:val="00DB73A3"/>
    <w:rsid w:val="00DF072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F0"/>
    <w:rPr>
      <w:sz w:val="24"/>
      <w:szCs w:val="24"/>
    </w:rPr>
  </w:style>
  <w:style w:type="paragraph" w:styleId="Heading1">
    <w:name w:val="heading 1"/>
    <w:basedOn w:val="Normal"/>
    <w:next w:val="Normal"/>
    <w:link w:val="Heading1Char"/>
    <w:autoRedefine/>
    <w:uiPriority w:val="9"/>
    <w:qFormat/>
    <w:rsid w:val="00720387"/>
    <w:pPr>
      <w:keepNext/>
      <w:keepLines/>
      <w:spacing w:before="360" w:after="12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qFormat/>
    <w:rsid w:val="00F91E42"/>
    <w:pPr>
      <w:keepNext/>
      <w:spacing w:before="240" w:after="60"/>
      <w:outlineLvl w:val="2"/>
    </w:pPr>
    <w:rPr>
      <w:rFonts w:ascii="Arial" w:eastAsia="Times" w:hAnsi="Arial"/>
      <w:b/>
      <w:i/>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
    <w:name w:val="Table Text"/>
    <w:basedOn w:val="BodyText"/>
    <w:autoRedefine/>
    <w:rsid w:val="00F91E42"/>
    <w:pPr>
      <w:spacing w:after="0"/>
    </w:pPr>
    <w:rPr>
      <w:rFonts w:ascii="Helvetica" w:eastAsia="Times" w:hAnsi="Helvetica"/>
      <w:sz w:val="20"/>
      <w:szCs w:val="20"/>
    </w:rPr>
  </w:style>
  <w:style w:type="paragraph" w:styleId="BodyText">
    <w:name w:val="Body Text"/>
    <w:basedOn w:val="Normal"/>
    <w:rsid w:val="00F91E42"/>
    <w:pPr>
      <w:spacing w:after="120"/>
    </w:pPr>
  </w:style>
  <w:style w:type="paragraph" w:styleId="BlockText">
    <w:name w:val="Block Text"/>
    <w:basedOn w:val="Normal"/>
    <w:autoRedefine/>
    <w:rsid w:val="00595051"/>
    <w:pPr>
      <w:spacing w:after="120"/>
      <w:ind w:left="720" w:right="720"/>
    </w:pPr>
    <w:rPr>
      <w:rFonts w:ascii="Arial" w:eastAsia="Cambria" w:hAnsi="Arial"/>
      <w:sz w:val="22"/>
    </w:rPr>
  </w:style>
  <w:style w:type="paragraph" w:styleId="FootnoteText">
    <w:name w:val="footnote text"/>
    <w:basedOn w:val="Normal"/>
    <w:autoRedefine/>
    <w:semiHidden/>
    <w:rsid w:val="00595051"/>
    <w:rPr>
      <w:rFonts w:ascii="Arial" w:eastAsia="Cambria" w:hAnsi="Arial"/>
      <w:sz w:val="20"/>
    </w:rPr>
  </w:style>
  <w:style w:type="paragraph" w:styleId="ListParagraph">
    <w:name w:val="List Paragraph"/>
    <w:basedOn w:val="Normal"/>
    <w:uiPriority w:val="34"/>
    <w:qFormat/>
    <w:rsid w:val="000A5D5D"/>
    <w:pPr>
      <w:ind w:left="720"/>
      <w:contextualSpacing/>
    </w:pPr>
  </w:style>
  <w:style w:type="character" w:styleId="Hyperlink">
    <w:name w:val="Hyperlink"/>
    <w:basedOn w:val="DefaultParagraphFont"/>
    <w:uiPriority w:val="99"/>
    <w:semiHidden/>
    <w:unhideWhenUsed/>
    <w:rsid w:val="00270A06"/>
    <w:rPr>
      <w:color w:val="0000FF" w:themeColor="hyperlink"/>
      <w:u w:val="single"/>
    </w:rPr>
  </w:style>
  <w:style w:type="paragraph" w:styleId="Header">
    <w:name w:val="header"/>
    <w:basedOn w:val="Normal"/>
    <w:link w:val="HeaderChar"/>
    <w:uiPriority w:val="99"/>
    <w:semiHidden/>
    <w:unhideWhenUsed/>
    <w:rsid w:val="00EB46C4"/>
    <w:pPr>
      <w:tabs>
        <w:tab w:val="center" w:pos="4320"/>
        <w:tab w:val="right" w:pos="8640"/>
      </w:tabs>
    </w:pPr>
  </w:style>
  <w:style w:type="character" w:customStyle="1" w:styleId="HeaderChar">
    <w:name w:val="Header Char"/>
    <w:basedOn w:val="DefaultParagraphFont"/>
    <w:link w:val="Header"/>
    <w:uiPriority w:val="99"/>
    <w:semiHidden/>
    <w:rsid w:val="00EB46C4"/>
    <w:rPr>
      <w:sz w:val="24"/>
      <w:szCs w:val="24"/>
    </w:rPr>
  </w:style>
  <w:style w:type="paragraph" w:styleId="Footer">
    <w:name w:val="footer"/>
    <w:basedOn w:val="Normal"/>
    <w:link w:val="FooterChar"/>
    <w:uiPriority w:val="99"/>
    <w:semiHidden/>
    <w:unhideWhenUsed/>
    <w:rsid w:val="00EB46C4"/>
    <w:pPr>
      <w:tabs>
        <w:tab w:val="center" w:pos="4320"/>
        <w:tab w:val="right" w:pos="8640"/>
      </w:tabs>
    </w:pPr>
  </w:style>
  <w:style w:type="character" w:customStyle="1" w:styleId="FooterChar">
    <w:name w:val="Footer Char"/>
    <w:basedOn w:val="DefaultParagraphFont"/>
    <w:link w:val="Footer"/>
    <w:uiPriority w:val="99"/>
    <w:semiHidden/>
    <w:rsid w:val="00EB46C4"/>
    <w:rPr>
      <w:sz w:val="24"/>
      <w:szCs w:val="24"/>
    </w:rPr>
  </w:style>
  <w:style w:type="paragraph" w:styleId="BalloonText">
    <w:name w:val="Balloon Text"/>
    <w:basedOn w:val="Normal"/>
    <w:link w:val="BalloonTextChar"/>
    <w:uiPriority w:val="99"/>
    <w:semiHidden/>
    <w:unhideWhenUsed/>
    <w:rsid w:val="00F46E1A"/>
    <w:rPr>
      <w:rFonts w:ascii="Lucida Grande" w:hAnsi="Lucida Grande"/>
      <w:sz w:val="18"/>
      <w:szCs w:val="18"/>
    </w:rPr>
  </w:style>
  <w:style w:type="character" w:customStyle="1" w:styleId="BalloonTextChar">
    <w:name w:val="Balloon Text Char"/>
    <w:basedOn w:val="DefaultParagraphFont"/>
    <w:link w:val="BalloonText"/>
    <w:uiPriority w:val="99"/>
    <w:semiHidden/>
    <w:rsid w:val="00F46E1A"/>
    <w:rPr>
      <w:rFonts w:ascii="Lucida Grande" w:hAnsi="Lucida Grande"/>
      <w:sz w:val="18"/>
      <w:szCs w:val="18"/>
    </w:rPr>
  </w:style>
  <w:style w:type="table" w:styleId="MediumGrid2-Accent1">
    <w:name w:val="Medium Grid 2 Accent 1"/>
    <w:basedOn w:val="TableNormal"/>
    <w:uiPriority w:val="68"/>
    <w:rsid w:val="00C158CE"/>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72038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Words>
  <Characters>7941</Characters>
  <Application>Microsoft Macintosh Word</Application>
  <DocSecurity>0</DocSecurity>
  <Lines>66</Lines>
  <Paragraphs>15</Paragraphs>
  <ScaleCrop>false</ScaleCrop>
  <Company>Minds + Machines</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Van Couvering</dc:creator>
  <cp:keywords/>
  <cp:lastModifiedBy>Antony Van Couvering</cp:lastModifiedBy>
  <cp:revision>2</cp:revision>
  <cp:lastPrinted>2009-10-29T18:59:00Z</cp:lastPrinted>
  <dcterms:created xsi:type="dcterms:W3CDTF">2009-11-06T15:44:00Z</dcterms:created>
  <dcterms:modified xsi:type="dcterms:W3CDTF">2009-11-06T15:44:00Z</dcterms:modified>
</cp:coreProperties>
</file>