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80" w:firstRow="0" w:lastRow="0" w:firstColumn="1" w:lastColumn="0" w:noHBand="0" w:noVBand="1"/>
      </w:tblPr>
      <w:tblGrid>
        <w:gridCol w:w="4124"/>
        <w:gridCol w:w="4105"/>
        <w:gridCol w:w="4721"/>
      </w:tblGrid>
      <w:tr w:rsidR="00415B54" w14:paraId="4F0E9933" w14:textId="77777777" w:rsidTr="0018724A">
        <w:trPr>
          <w:tblHeader/>
        </w:trPr>
        <w:tc>
          <w:tcPr>
            <w:tcW w:w="4316" w:type="dxa"/>
            <w:tcBorders>
              <w:bottom w:val="single" w:sz="4" w:space="0" w:color="auto"/>
              <w:right w:val="single" w:sz="6" w:space="0" w:color="auto"/>
            </w:tcBorders>
            <w:shd w:val="clear" w:color="auto" w:fill="BFBFBF" w:themeFill="background1" w:themeFillShade="BF"/>
          </w:tcPr>
          <w:p w14:paraId="32FC1420" w14:textId="67608031" w:rsidR="00415B54" w:rsidRPr="00415B54" w:rsidRDefault="00415B54" w:rsidP="00415B54">
            <w:pPr>
              <w:rPr>
                <w:b/>
                <w:bCs/>
              </w:rPr>
            </w:pPr>
            <w:r w:rsidRPr="00415B54">
              <w:rPr>
                <w:b/>
                <w:bCs/>
              </w:rPr>
              <w:t>Output Overview</w:t>
            </w:r>
          </w:p>
        </w:tc>
        <w:tc>
          <w:tcPr>
            <w:tcW w:w="4317" w:type="dxa"/>
            <w:tcBorders>
              <w:left w:val="single" w:sz="6" w:space="0" w:color="auto"/>
              <w:bottom w:val="single" w:sz="4" w:space="0" w:color="auto"/>
              <w:right w:val="single" w:sz="6" w:space="0" w:color="auto"/>
            </w:tcBorders>
            <w:shd w:val="clear" w:color="auto" w:fill="BFBFBF" w:themeFill="background1" w:themeFillShade="BF"/>
          </w:tcPr>
          <w:p w14:paraId="0B9CEE56" w14:textId="44716586" w:rsidR="00415B54" w:rsidRPr="00415B54" w:rsidRDefault="00415B54" w:rsidP="00415B54">
            <w:pPr>
              <w:rPr>
                <w:b/>
                <w:bCs/>
              </w:rPr>
            </w:pPr>
            <w:r w:rsidRPr="00415B54">
              <w:rPr>
                <w:b/>
                <w:bCs/>
              </w:rPr>
              <w:t>Issue Synopsis</w:t>
            </w:r>
          </w:p>
        </w:tc>
        <w:tc>
          <w:tcPr>
            <w:tcW w:w="4317" w:type="dxa"/>
            <w:tcBorders>
              <w:left w:val="single" w:sz="6" w:space="0" w:color="auto"/>
              <w:bottom w:val="single" w:sz="4" w:space="0" w:color="auto"/>
            </w:tcBorders>
            <w:shd w:val="clear" w:color="auto" w:fill="BFBFBF" w:themeFill="background1" w:themeFillShade="BF"/>
          </w:tcPr>
          <w:p w14:paraId="1E702380" w14:textId="013D0732" w:rsidR="00415B54" w:rsidRPr="00415B54" w:rsidRDefault="00415B54" w:rsidP="00415B54">
            <w:pPr>
              <w:rPr>
                <w:b/>
                <w:bCs/>
              </w:rPr>
            </w:pPr>
            <w:r w:rsidRPr="00415B54">
              <w:rPr>
                <w:b/>
                <w:bCs/>
              </w:rPr>
              <w:t>Neuman Views</w:t>
            </w:r>
          </w:p>
        </w:tc>
      </w:tr>
      <w:tr w:rsidR="00415B54" w14:paraId="65E8E6A6" w14:textId="77777777" w:rsidTr="0018724A">
        <w:trPr>
          <w:trHeight w:val="602"/>
          <w:tblHeader/>
        </w:trPr>
        <w:tc>
          <w:tcPr>
            <w:tcW w:w="12950" w:type="dxa"/>
            <w:gridSpan w:val="3"/>
            <w:shd w:val="clear" w:color="auto" w:fill="0D0D0D" w:themeFill="text1" w:themeFillTint="F2"/>
            <w:vAlign w:val="center"/>
          </w:tcPr>
          <w:p w14:paraId="015CF328" w14:textId="2DF771F6" w:rsidR="00415B54" w:rsidRPr="00415B54" w:rsidRDefault="00415B54" w:rsidP="00415B54">
            <w:pPr>
              <w:rPr>
                <w:b/>
                <w:bCs/>
              </w:rPr>
            </w:pPr>
            <w:r>
              <w:rPr>
                <w:b/>
                <w:bCs/>
              </w:rPr>
              <w:t>Table 3:  Applications Assessed in Rounds</w:t>
            </w:r>
          </w:p>
        </w:tc>
      </w:tr>
      <w:tr w:rsidR="00415B54" w14:paraId="2AEE4EFC" w14:textId="77777777" w:rsidTr="0018724A">
        <w:trPr>
          <w:tblHeader/>
        </w:trPr>
        <w:tc>
          <w:tcPr>
            <w:tcW w:w="4316" w:type="dxa"/>
          </w:tcPr>
          <w:p w14:paraId="7E18201A" w14:textId="3183297E" w:rsidR="00415B54" w:rsidRDefault="00415B54" w:rsidP="00415B54">
            <w:r>
              <w:rPr>
                <w:b/>
              </w:rPr>
              <w:t>Affirmation with Modification 3.1</w:t>
            </w:r>
            <w:r>
              <w:t>: The Working Group affirms recommendation 13 from the 2007 policy,</w:t>
            </w:r>
            <w:r>
              <w:rPr>
                <w:spacing w:val="-14"/>
              </w:rPr>
              <w:t xml:space="preserve"> </w:t>
            </w:r>
            <w:r>
              <w:t>which</w:t>
            </w:r>
            <w:r>
              <w:rPr>
                <w:spacing w:val="-14"/>
              </w:rPr>
              <w:t xml:space="preserve"> </w:t>
            </w:r>
            <w:r>
              <w:t>states:</w:t>
            </w:r>
            <w:r>
              <w:rPr>
                <w:spacing w:val="-14"/>
              </w:rPr>
              <w:t xml:space="preserve"> </w:t>
            </w:r>
            <w:r>
              <w:t>“Applications</w:t>
            </w:r>
            <w:r>
              <w:rPr>
                <w:spacing w:val="-13"/>
              </w:rPr>
              <w:t xml:space="preserve"> </w:t>
            </w:r>
            <w:r>
              <w:t>must initially be assessed in rounds until the scale of demand is clear.” However, the Working Group believes that the recommendation should be revised to simply read, “Applications must be assessed in rounds.”</w:t>
            </w:r>
          </w:p>
        </w:tc>
        <w:tc>
          <w:tcPr>
            <w:tcW w:w="4317" w:type="dxa"/>
          </w:tcPr>
          <w:p w14:paraId="74D23079" w14:textId="77777777" w:rsidR="00415B54" w:rsidRDefault="00415B54" w:rsidP="00415B54">
            <w:pPr>
              <w:pStyle w:val="TableParagraph"/>
              <w:spacing w:before="134"/>
              <w:ind w:left="0" w:right="139"/>
            </w:pPr>
            <w:r>
              <w:t>As noted in the ODA, “ICANN org considered that assessing applications in rounds and establishing criteria for starting subsequent rounds requires deliberation of what it means to close a round and possibly,</w:t>
            </w:r>
            <w:r>
              <w:rPr>
                <w:spacing w:val="-10"/>
              </w:rPr>
              <w:t xml:space="preserve"> </w:t>
            </w:r>
            <w:r>
              <w:t>the</w:t>
            </w:r>
            <w:r>
              <w:rPr>
                <w:spacing w:val="-10"/>
              </w:rPr>
              <w:t xml:space="preserve"> </w:t>
            </w:r>
            <w:r>
              <w:t>implications</w:t>
            </w:r>
            <w:r>
              <w:rPr>
                <w:spacing w:val="-10"/>
              </w:rPr>
              <w:t xml:space="preserve"> </w:t>
            </w:r>
            <w:r>
              <w:t>of</w:t>
            </w:r>
            <w:r>
              <w:rPr>
                <w:spacing w:val="-10"/>
              </w:rPr>
              <w:t xml:space="preserve"> </w:t>
            </w:r>
            <w:r>
              <w:t>simultaneous</w:t>
            </w:r>
            <w:r>
              <w:rPr>
                <w:spacing w:val="-10"/>
              </w:rPr>
              <w:t xml:space="preserve"> </w:t>
            </w:r>
            <w:r>
              <w:t>rounds</w:t>
            </w:r>
            <w:r>
              <w:rPr>
                <w:spacing w:val="-10"/>
              </w:rPr>
              <w:t xml:space="preserve"> </w:t>
            </w:r>
            <w:r>
              <w:t>for both applicants and ICANN org.”</w:t>
            </w:r>
            <w:r>
              <w:rPr>
                <w:vertAlign w:val="superscript"/>
              </w:rPr>
              <w:t>1</w:t>
            </w:r>
          </w:p>
          <w:p w14:paraId="3E9A8738" w14:textId="77777777" w:rsidR="00415B54" w:rsidRDefault="00415B54" w:rsidP="00415B54">
            <w:pPr>
              <w:pStyle w:val="TableParagraph"/>
              <w:ind w:left="0"/>
              <w:rPr>
                <w:b/>
              </w:rPr>
            </w:pPr>
          </w:p>
          <w:p w14:paraId="7E9478D5" w14:textId="49425386" w:rsidR="00415B54" w:rsidRDefault="00415B54" w:rsidP="00415B54">
            <w:r>
              <w:t>The Board is considering to direct ICANN org to establish the exact criteria for considering a round “closed” during the implementation process, doing so in</w:t>
            </w:r>
            <w:r>
              <w:rPr>
                <w:spacing w:val="-10"/>
              </w:rPr>
              <w:t xml:space="preserve"> </w:t>
            </w:r>
            <w:r>
              <w:t>consultation</w:t>
            </w:r>
            <w:r>
              <w:rPr>
                <w:spacing w:val="-10"/>
              </w:rPr>
              <w:t xml:space="preserve"> </w:t>
            </w:r>
            <w:r>
              <w:t>with</w:t>
            </w:r>
            <w:r>
              <w:rPr>
                <w:spacing w:val="-10"/>
              </w:rPr>
              <w:t xml:space="preserve"> </w:t>
            </w:r>
            <w:r>
              <w:t>the</w:t>
            </w:r>
            <w:r>
              <w:rPr>
                <w:spacing w:val="-10"/>
              </w:rPr>
              <w:t xml:space="preserve"> </w:t>
            </w:r>
            <w:r>
              <w:t>Implementation</w:t>
            </w:r>
            <w:r>
              <w:rPr>
                <w:spacing w:val="-10"/>
              </w:rPr>
              <w:t xml:space="preserve"> </w:t>
            </w:r>
            <w:r>
              <w:t>Review</w:t>
            </w:r>
            <w:r>
              <w:rPr>
                <w:spacing w:val="-13"/>
              </w:rPr>
              <w:t xml:space="preserve"> </w:t>
            </w:r>
            <w:r>
              <w:t xml:space="preserve">Team </w:t>
            </w:r>
            <w:r>
              <w:rPr>
                <w:spacing w:val="-2"/>
              </w:rPr>
              <w:t>(IRT).</w:t>
            </w:r>
          </w:p>
        </w:tc>
        <w:tc>
          <w:tcPr>
            <w:tcW w:w="4317" w:type="dxa"/>
            <w:shd w:val="clear" w:color="auto" w:fill="auto"/>
          </w:tcPr>
          <w:p w14:paraId="6BB1BE14" w14:textId="77777777" w:rsidR="00415B54" w:rsidRDefault="00415B54" w:rsidP="00415B54">
            <w:pPr>
              <w:pStyle w:val="TableParagraph"/>
              <w:numPr>
                <w:ilvl w:val="0"/>
                <w:numId w:val="1"/>
              </w:numPr>
              <w:spacing w:before="134"/>
            </w:pPr>
            <w:r>
              <w:t xml:space="preserve">Most important thing here is that the Board announces </w:t>
            </w:r>
            <w:r>
              <w:rPr>
                <w:u w:val="single"/>
              </w:rPr>
              <w:t>when</w:t>
            </w:r>
            <w:r>
              <w:t xml:space="preserve"> the next window will open and put that date/criteria in the Applicant Guidebook</w:t>
            </w:r>
          </w:p>
          <w:p w14:paraId="1CD5FF07" w14:textId="77777777" w:rsidR="00415B54" w:rsidRDefault="00415B54" w:rsidP="00415B54">
            <w:pPr>
              <w:pStyle w:val="TableParagraph"/>
              <w:numPr>
                <w:ilvl w:val="0"/>
                <w:numId w:val="1"/>
              </w:numPr>
              <w:spacing w:before="134"/>
            </w:pPr>
            <w:r>
              <w:t>SubPro has stated that a new “round” may initiate even if steps related to application processing and delegation from previous application rounds have not been fully completed (3.4)</w:t>
            </w:r>
          </w:p>
          <w:p w14:paraId="58A56976" w14:textId="77777777" w:rsidR="00415B54" w:rsidRDefault="00415B54" w:rsidP="00415B54">
            <w:pPr>
              <w:pStyle w:val="TableParagraph"/>
              <w:numPr>
                <w:ilvl w:val="0"/>
                <w:numId w:val="1"/>
              </w:numPr>
              <w:spacing w:before="134"/>
            </w:pPr>
            <w:r>
              <w:t>Thus, defining when a round is “closed” is really only relevant for Fees section making it less important that an exact “closed date” as opposed to a formula be selected</w:t>
            </w:r>
          </w:p>
          <w:p w14:paraId="1B23175F" w14:textId="77777777" w:rsidR="00415B54" w:rsidRDefault="00415B54" w:rsidP="00415B54">
            <w:pPr>
              <w:pStyle w:val="TableParagraph"/>
              <w:numPr>
                <w:ilvl w:val="0"/>
                <w:numId w:val="1"/>
              </w:numPr>
              <w:spacing w:before="134"/>
            </w:pPr>
            <w:r>
              <w:t>No Consensus within SubPro on First-Come, First Served because it provides a less predictable process for applicants / applicant support, public comment periods, objections, etc.</w:t>
            </w:r>
          </w:p>
          <w:p w14:paraId="20EC7918" w14:textId="1591F2FA" w:rsidR="00415B54" w:rsidRDefault="00415B54" w:rsidP="00415B54">
            <w:pPr>
              <w:pStyle w:val="TableParagraph"/>
              <w:numPr>
                <w:ilvl w:val="0"/>
                <w:numId w:val="1"/>
              </w:numPr>
              <w:spacing w:before="134"/>
            </w:pPr>
            <w:r w:rsidRPr="00415B54">
              <w:rPr>
                <w:color w:val="0070C0"/>
              </w:rPr>
              <w:t xml:space="preserve">Possible Compromise is to accept applications on a FCFS basis, but publish them for comment/objections, etc. on a predictable time frame.  Namely, apps received from Jan-March are published April 1, April through June, July 1, July – Sep., Oct 1, and Oct-December, the next Jan 1.  But with the time stamp, only the first application for a string is processed and other </w:t>
            </w:r>
            <w:r w:rsidRPr="00415B54">
              <w:rPr>
                <w:color w:val="0070C0"/>
              </w:rPr>
              <w:lastRenderedPageBreak/>
              <w:t>ones placed on hold unless 1</w:t>
            </w:r>
            <w:r w:rsidRPr="00415B54">
              <w:rPr>
                <w:color w:val="0070C0"/>
                <w:vertAlign w:val="superscript"/>
              </w:rPr>
              <w:t>st</w:t>
            </w:r>
            <w:r w:rsidRPr="00415B54">
              <w:rPr>
                <w:color w:val="0070C0"/>
              </w:rPr>
              <w:t xml:space="preserve"> one does not qualify</w:t>
            </w:r>
          </w:p>
        </w:tc>
      </w:tr>
      <w:tr w:rsidR="00415B54" w14:paraId="3BED726A" w14:textId="77777777" w:rsidTr="0018724A">
        <w:trPr>
          <w:tblHeader/>
        </w:trPr>
        <w:tc>
          <w:tcPr>
            <w:tcW w:w="4316" w:type="dxa"/>
          </w:tcPr>
          <w:p w14:paraId="1358D50B" w14:textId="2585879C" w:rsidR="00415B54" w:rsidRDefault="00415B54" w:rsidP="00415B54">
            <w:r>
              <w:rPr>
                <w:b/>
              </w:rPr>
              <w:lastRenderedPageBreak/>
              <w:t>Recommendation 3.2</w:t>
            </w:r>
            <w:r>
              <w:t>: Upon the commencement of the next</w:t>
            </w:r>
            <w:r>
              <w:rPr>
                <w:spacing w:val="-1"/>
              </w:rPr>
              <w:t xml:space="preserve"> </w:t>
            </w:r>
            <w:r>
              <w:t>Application Submission</w:t>
            </w:r>
            <w:r>
              <w:rPr>
                <w:spacing w:val="-8"/>
              </w:rPr>
              <w:t xml:space="preserve"> </w:t>
            </w:r>
            <w:r>
              <w:t>Period,</w:t>
            </w:r>
            <w:r>
              <w:rPr>
                <w:spacing w:val="-8"/>
              </w:rPr>
              <w:t xml:space="preserve"> </w:t>
            </w:r>
            <w:r>
              <w:t>there</w:t>
            </w:r>
            <w:r>
              <w:rPr>
                <w:spacing w:val="-8"/>
              </w:rPr>
              <w:t xml:space="preserve"> </w:t>
            </w:r>
            <w:r>
              <w:t>must</w:t>
            </w:r>
            <w:r>
              <w:rPr>
                <w:spacing w:val="-8"/>
              </w:rPr>
              <w:t xml:space="preserve"> </w:t>
            </w:r>
            <w:r>
              <w:t>be</w:t>
            </w:r>
            <w:r>
              <w:rPr>
                <w:spacing w:val="-8"/>
              </w:rPr>
              <w:t xml:space="preserve"> </w:t>
            </w:r>
            <w:r>
              <w:t>clarity around the timing and/or criteria for initiating subsequent procedures from that point forth. More specifically, prior to the commencement of the next Application</w:t>
            </w:r>
            <w:r>
              <w:rPr>
                <w:spacing w:val="-10"/>
              </w:rPr>
              <w:t xml:space="preserve"> </w:t>
            </w:r>
            <w:r>
              <w:t>Submission</w:t>
            </w:r>
            <w:r>
              <w:rPr>
                <w:spacing w:val="-10"/>
              </w:rPr>
              <w:t xml:space="preserve"> </w:t>
            </w:r>
            <w:r>
              <w:t>Period,</w:t>
            </w:r>
            <w:r>
              <w:rPr>
                <w:spacing w:val="-10"/>
              </w:rPr>
              <w:t xml:space="preserve"> </w:t>
            </w:r>
            <w:r>
              <w:t>ICANN must</w:t>
            </w:r>
            <w:r>
              <w:rPr>
                <w:spacing w:val="-7"/>
              </w:rPr>
              <w:t xml:space="preserve"> </w:t>
            </w:r>
            <w:r>
              <w:t>publish</w:t>
            </w:r>
            <w:r>
              <w:rPr>
                <w:spacing w:val="-4"/>
              </w:rPr>
              <w:t xml:space="preserve"> </w:t>
            </w:r>
            <w:r>
              <w:t>either</w:t>
            </w:r>
            <w:r>
              <w:rPr>
                <w:spacing w:val="-4"/>
              </w:rPr>
              <w:t xml:space="preserve"> </w:t>
            </w:r>
            <w:r>
              <w:t>(a)</w:t>
            </w:r>
            <w:r>
              <w:rPr>
                <w:spacing w:val="-4"/>
              </w:rPr>
              <w:t xml:space="preserve"> </w:t>
            </w:r>
            <w:r>
              <w:t>the</w:t>
            </w:r>
            <w:r>
              <w:rPr>
                <w:spacing w:val="-4"/>
              </w:rPr>
              <w:t xml:space="preserve"> </w:t>
            </w:r>
            <w:r>
              <w:t>date</w:t>
            </w:r>
            <w:r>
              <w:rPr>
                <w:spacing w:val="-4"/>
              </w:rPr>
              <w:t xml:space="preserve"> </w:t>
            </w:r>
            <w:r>
              <w:t>in</w:t>
            </w:r>
            <w:r>
              <w:rPr>
                <w:spacing w:val="-4"/>
              </w:rPr>
              <w:t xml:space="preserve"> </w:t>
            </w:r>
            <w:r>
              <w:rPr>
                <w:spacing w:val="-2"/>
              </w:rPr>
              <w:t xml:space="preserve">which </w:t>
            </w:r>
            <w:r>
              <w:t>the next subsequent round of new gTLDs</w:t>
            </w:r>
            <w:r>
              <w:rPr>
                <w:spacing w:val="-6"/>
              </w:rPr>
              <w:t xml:space="preserve"> </w:t>
            </w:r>
            <w:r>
              <w:t>will</w:t>
            </w:r>
            <w:r>
              <w:rPr>
                <w:spacing w:val="-6"/>
              </w:rPr>
              <w:t xml:space="preserve"> </w:t>
            </w:r>
            <w:r>
              <w:t>take</w:t>
            </w:r>
            <w:r>
              <w:rPr>
                <w:spacing w:val="-6"/>
              </w:rPr>
              <w:t xml:space="preserve"> </w:t>
            </w:r>
            <w:r>
              <w:t>place</w:t>
            </w:r>
            <w:r>
              <w:rPr>
                <w:spacing w:val="-6"/>
              </w:rPr>
              <w:t xml:space="preserve"> </w:t>
            </w:r>
            <w:r>
              <w:t>or</w:t>
            </w:r>
            <w:r>
              <w:rPr>
                <w:spacing w:val="-6"/>
              </w:rPr>
              <w:t xml:space="preserve"> </w:t>
            </w:r>
            <w:r>
              <w:t>(b)</w:t>
            </w:r>
            <w:r>
              <w:rPr>
                <w:spacing w:val="-6"/>
              </w:rPr>
              <w:t xml:space="preserve"> </w:t>
            </w:r>
            <w:r>
              <w:t>the</w:t>
            </w:r>
            <w:r>
              <w:rPr>
                <w:spacing w:val="-6"/>
              </w:rPr>
              <w:t xml:space="preserve"> </w:t>
            </w:r>
            <w:r>
              <w:t>specific set of criteria and/or events that must occur</w:t>
            </w:r>
            <w:r>
              <w:rPr>
                <w:spacing w:val="-3"/>
              </w:rPr>
              <w:t xml:space="preserve"> </w:t>
            </w:r>
            <w:r>
              <w:t>prior</w:t>
            </w:r>
            <w:r>
              <w:rPr>
                <w:spacing w:val="-3"/>
              </w:rPr>
              <w:t xml:space="preserve"> </w:t>
            </w:r>
            <w:r>
              <w:t>to</w:t>
            </w:r>
            <w:r>
              <w:rPr>
                <w:spacing w:val="-3"/>
              </w:rPr>
              <w:t xml:space="preserve"> </w:t>
            </w:r>
            <w:r>
              <w:t>the</w:t>
            </w:r>
            <w:r>
              <w:rPr>
                <w:spacing w:val="-3"/>
              </w:rPr>
              <w:t xml:space="preserve"> </w:t>
            </w:r>
            <w:r>
              <w:t>opening</w:t>
            </w:r>
            <w:r>
              <w:rPr>
                <w:spacing w:val="-3"/>
              </w:rPr>
              <w:t xml:space="preserve"> </w:t>
            </w:r>
            <w:r>
              <w:t>up</w:t>
            </w:r>
            <w:r>
              <w:rPr>
                <w:spacing w:val="-3"/>
              </w:rPr>
              <w:t xml:space="preserve"> </w:t>
            </w:r>
            <w:r>
              <w:t>of</w:t>
            </w:r>
            <w:r>
              <w:rPr>
                <w:spacing w:val="-3"/>
              </w:rPr>
              <w:t xml:space="preserve"> </w:t>
            </w:r>
            <w:r>
              <w:t>the</w:t>
            </w:r>
            <w:r>
              <w:rPr>
                <w:spacing w:val="-3"/>
              </w:rPr>
              <w:t xml:space="preserve"> </w:t>
            </w:r>
            <w:r>
              <w:t>next subsequent round.</w:t>
            </w:r>
          </w:p>
        </w:tc>
        <w:tc>
          <w:tcPr>
            <w:tcW w:w="4317" w:type="dxa"/>
          </w:tcPr>
          <w:p w14:paraId="51F1C303" w14:textId="17992CE5" w:rsidR="00415B54" w:rsidRDefault="00415B54" w:rsidP="00415B54">
            <w:r>
              <w:t>See</w:t>
            </w:r>
            <w:r>
              <w:rPr>
                <w:spacing w:val="-14"/>
              </w:rPr>
              <w:t xml:space="preserve"> </w:t>
            </w:r>
            <w:r>
              <w:t>Affirmation</w:t>
            </w:r>
            <w:r>
              <w:rPr>
                <w:spacing w:val="-14"/>
              </w:rPr>
              <w:t xml:space="preserve"> </w:t>
            </w:r>
            <w:r>
              <w:t>with</w:t>
            </w:r>
            <w:r>
              <w:rPr>
                <w:spacing w:val="-10"/>
              </w:rPr>
              <w:t xml:space="preserve"> </w:t>
            </w:r>
            <w:r>
              <w:t>Modification</w:t>
            </w:r>
            <w:r>
              <w:rPr>
                <w:spacing w:val="-8"/>
              </w:rPr>
              <w:t xml:space="preserve"> </w:t>
            </w:r>
            <w:r>
              <w:rPr>
                <w:spacing w:val="-5"/>
              </w:rPr>
              <w:t>3.1</w:t>
            </w:r>
          </w:p>
        </w:tc>
        <w:tc>
          <w:tcPr>
            <w:tcW w:w="4317" w:type="dxa"/>
          </w:tcPr>
          <w:p w14:paraId="42D336E3" w14:textId="52593BC4" w:rsidR="00415B54" w:rsidRDefault="00415B54" w:rsidP="00415B54">
            <w:r>
              <w:t>See Above</w:t>
            </w:r>
          </w:p>
        </w:tc>
      </w:tr>
      <w:tr w:rsidR="00415B54" w14:paraId="300B1FAC" w14:textId="77777777" w:rsidTr="0018724A">
        <w:trPr>
          <w:tblHeader/>
        </w:trPr>
        <w:tc>
          <w:tcPr>
            <w:tcW w:w="4316" w:type="dxa"/>
          </w:tcPr>
          <w:p w14:paraId="1F4B1F15" w14:textId="2B811A06" w:rsidR="00415B54" w:rsidRDefault="00415B54" w:rsidP="00415B54">
            <w:r>
              <w:rPr>
                <w:b/>
              </w:rPr>
              <w:t>Recommendation 3.5</w:t>
            </w:r>
            <w:r>
              <w:t>: Absent extraordinary circumstances application procedures must take place at predictable,</w:t>
            </w:r>
            <w:r>
              <w:rPr>
                <w:spacing w:val="-1"/>
              </w:rPr>
              <w:t xml:space="preserve"> </w:t>
            </w:r>
            <w:r>
              <w:t>regularly</w:t>
            </w:r>
            <w:r>
              <w:rPr>
                <w:spacing w:val="-1"/>
              </w:rPr>
              <w:t xml:space="preserve"> </w:t>
            </w:r>
            <w:r>
              <w:t>occurring</w:t>
            </w:r>
            <w:r>
              <w:rPr>
                <w:spacing w:val="-1"/>
              </w:rPr>
              <w:t xml:space="preserve"> </w:t>
            </w:r>
            <w:r>
              <w:t>intervals without indeterminable periods of</w:t>
            </w:r>
            <w:r>
              <w:rPr>
                <w:spacing w:val="40"/>
              </w:rPr>
              <w:t xml:space="preserve"> </w:t>
            </w:r>
            <w:r>
              <w:t>review unless the GNSO Council recommends pausing the program and such</w:t>
            </w:r>
            <w:r>
              <w:rPr>
                <w:spacing w:val="-5"/>
              </w:rPr>
              <w:t xml:space="preserve"> </w:t>
            </w:r>
            <w:r>
              <w:t>recommendation</w:t>
            </w:r>
            <w:r>
              <w:rPr>
                <w:spacing w:val="-5"/>
              </w:rPr>
              <w:t xml:space="preserve"> </w:t>
            </w:r>
            <w:r>
              <w:t>is</w:t>
            </w:r>
            <w:r>
              <w:rPr>
                <w:spacing w:val="-5"/>
              </w:rPr>
              <w:t xml:space="preserve"> </w:t>
            </w:r>
            <w:r>
              <w:t>approved</w:t>
            </w:r>
            <w:r>
              <w:rPr>
                <w:spacing w:val="-5"/>
              </w:rPr>
              <w:t xml:space="preserve"> </w:t>
            </w:r>
            <w:r>
              <w:t>by</w:t>
            </w:r>
            <w:r>
              <w:rPr>
                <w:spacing w:val="-5"/>
              </w:rPr>
              <w:t xml:space="preserve"> </w:t>
            </w:r>
            <w:r>
              <w:t>the Board.</w:t>
            </w:r>
            <w:r>
              <w:rPr>
                <w:spacing w:val="-14"/>
              </w:rPr>
              <w:t xml:space="preserve"> </w:t>
            </w:r>
            <w:r>
              <w:t>Such</w:t>
            </w:r>
            <w:r>
              <w:rPr>
                <w:spacing w:val="-14"/>
              </w:rPr>
              <w:t xml:space="preserve"> </w:t>
            </w:r>
            <w:r>
              <w:t>extraordinary</w:t>
            </w:r>
            <w:r>
              <w:rPr>
                <w:spacing w:val="-13"/>
              </w:rPr>
              <w:t xml:space="preserve"> </w:t>
            </w:r>
            <w:r>
              <w:t>circumstances must be subject to the Predictability Framework</w:t>
            </w:r>
            <w:r>
              <w:rPr>
                <w:spacing w:val="-6"/>
              </w:rPr>
              <w:t xml:space="preserve"> </w:t>
            </w:r>
            <w:r>
              <w:t>under</w:t>
            </w:r>
            <w:r>
              <w:rPr>
                <w:spacing w:val="-9"/>
              </w:rPr>
              <w:t xml:space="preserve"> </w:t>
            </w:r>
            <w:r>
              <w:t>Topic</w:t>
            </w:r>
            <w:r>
              <w:rPr>
                <w:spacing w:val="-6"/>
              </w:rPr>
              <w:t xml:space="preserve"> </w:t>
            </w:r>
            <w:r>
              <w:t>2</w:t>
            </w:r>
            <w:r>
              <w:rPr>
                <w:spacing w:val="-6"/>
              </w:rPr>
              <w:t xml:space="preserve"> </w:t>
            </w:r>
            <w:r>
              <w:t>of</w:t>
            </w:r>
            <w:r>
              <w:rPr>
                <w:spacing w:val="-6"/>
              </w:rPr>
              <w:t xml:space="preserve"> </w:t>
            </w:r>
            <w:r>
              <w:t>this</w:t>
            </w:r>
            <w:r>
              <w:rPr>
                <w:spacing w:val="-6"/>
              </w:rPr>
              <w:t xml:space="preserve"> </w:t>
            </w:r>
            <w:r>
              <w:t>Report. Unless and until other procedures are recommended</w:t>
            </w:r>
            <w:r>
              <w:rPr>
                <w:spacing w:val="-7"/>
              </w:rPr>
              <w:t xml:space="preserve"> </w:t>
            </w:r>
            <w:r>
              <w:t>by</w:t>
            </w:r>
            <w:r>
              <w:rPr>
                <w:spacing w:val="-7"/>
              </w:rPr>
              <w:t xml:space="preserve"> </w:t>
            </w:r>
            <w:r>
              <w:t>the</w:t>
            </w:r>
            <w:r>
              <w:rPr>
                <w:spacing w:val="-7"/>
              </w:rPr>
              <w:t xml:space="preserve"> </w:t>
            </w:r>
            <w:r>
              <w:t>GNSO</w:t>
            </w:r>
            <w:r>
              <w:rPr>
                <w:spacing w:val="-7"/>
              </w:rPr>
              <w:t xml:space="preserve"> </w:t>
            </w:r>
            <w:r>
              <w:t>Council</w:t>
            </w:r>
            <w:r>
              <w:rPr>
                <w:spacing w:val="-7"/>
              </w:rPr>
              <w:t xml:space="preserve"> </w:t>
            </w:r>
            <w:r>
              <w:t>and approved by the ICANN Board, ICANN must</w:t>
            </w:r>
            <w:r>
              <w:rPr>
                <w:spacing w:val="-3"/>
              </w:rPr>
              <w:t xml:space="preserve"> </w:t>
            </w:r>
            <w:r>
              <w:t>only</w:t>
            </w:r>
            <w:r>
              <w:rPr>
                <w:spacing w:val="-3"/>
              </w:rPr>
              <w:t xml:space="preserve"> </w:t>
            </w:r>
            <w:r>
              <w:t>use</w:t>
            </w:r>
            <w:r>
              <w:rPr>
                <w:spacing w:val="-3"/>
              </w:rPr>
              <w:t xml:space="preserve"> </w:t>
            </w:r>
            <w:r>
              <w:t>“rounds”</w:t>
            </w:r>
            <w:r>
              <w:rPr>
                <w:spacing w:val="-3"/>
              </w:rPr>
              <w:t xml:space="preserve"> </w:t>
            </w:r>
            <w:r>
              <w:t>to</w:t>
            </w:r>
            <w:r>
              <w:rPr>
                <w:spacing w:val="-3"/>
              </w:rPr>
              <w:t xml:space="preserve"> </w:t>
            </w:r>
            <w:r>
              <w:t>administer</w:t>
            </w:r>
            <w:r>
              <w:rPr>
                <w:spacing w:val="-3"/>
              </w:rPr>
              <w:t xml:space="preserve"> </w:t>
            </w:r>
            <w:r>
              <w:t>the New gTLD Program.</w:t>
            </w:r>
          </w:p>
        </w:tc>
        <w:tc>
          <w:tcPr>
            <w:tcW w:w="4317" w:type="dxa"/>
          </w:tcPr>
          <w:p w14:paraId="1FF4228D" w14:textId="7ADD0434" w:rsidR="00415B54" w:rsidRDefault="00415B54" w:rsidP="00415B54">
            <w:r>
              <w:t>See</w:t>
            </w:r>
            <w:r>
              <w:rPr>
                <w:spacing w:val="-14"/>
              </w:rPr>
              <w:t xml:space="preserve"> </w:t>
            </w:r>
            <w:r>
              <w:t>Affirmation</w:t>
            </w:r>
            <w:r>
              <w:rPr>
                <w:spacing w:val="-14"/>
              </w:rPr>
              <w:t xml:space="preserve"> </w:t>
            </w:r>
            <w:r>
              <w:t>with</w:t>
            </w:r>
            <w:r>
              <w:rPr>
                <w:spacing w:val="-10"/>
              </w:rPr>
              <w:t xml:space="preserve"> </w:t>
            </w:r>
            <w:r>
              <w:t>Modification</w:t>
            </w:r>
            <w:r>
              <w:rPr>
                <w:spacing w:val="-8"/>
              </w:rPr>
              <w:t xml:space="preserve"> </w:t>
            </w:r>
            <w:r>
              <w:rPr>
                <w:spacing w:val="-5"/>
              </w:rPr>
              <w:t>3.1</w:t>
            </w:r>
          </w:p>
        </w:tc>
        <w:tc>
          <w:tcPr>
            <w:tcW w:w="4317" w:type="dxa"/>
          </w:tcPr>
          <w:p w14:paraId="73DE3E5B" w14:textId="62EBFE14" w:rsidR="00415B54" w:rsidRDefault="00415B54" w:rsidP="00415B54">
            <w:r>
              <w:t>See Above</w:t>
            </w:r>
          </w:p>
        </w:tc>
      </w:tr>
      <w:tr w:rsidR="00415B54" w14:paraId="1BCB945F" w14:textId="77777777" w:rsidTr="0018724A">
        <w:trPr>
          <w:tblHeader/>
        </w:trPr>
        <w:tc>
          <w:tcPr>
            <w:tcW w:w="4316" w:type="dxa"/>
          </w:tcPr>
          <w:p w14:paraId="35CAD1A4" w14:textId="093F87A6" w:rsidR="00415B54" w:rsidRDefault="00415B54" w:rsidP="00415B54">
            <w:r>
              <w:rPr>
                <w:b/>
              </w:rPr>
              <w:t>Recommendation 3.6</w:t>
            </w:r>
            <w:r>
              <w:t xml:space="preserve">: Absent extraordinary circumstances, future reviews and/or policy development processes, including the next Competition, </w:t>
            </w:r>
            <w:r>
              <w:lastRenderedPageBreak/>
              <w:t>Consumer Choice &amp; Consumer Trust (CCT) Review, should take</w:t>
            </w:r>
            <w:r>
              <w:rPr>
                <w:spacing w:val="-11"/>
              </w:rPr>
              <w:t xml:space="preserve"> </w:t>
            </w:r>
            <w:r>
              <w:t>place</w:t>
            </w:r>
            <w:r>
              <w:rPr>
                <w:spacing w:val="-11"/>
              </w:rPr>
              <w:t xml:space="preserve"> </w:t>
            </w:r>
            <w:r>
              <w:t>concurrently</w:t>
            </w:r>
            <w:r>
              <w:rPr>
                <w:spacing w:val="-11"/>
              </w:rPr>
              <w:t xml:space="preserve"> </w:t>
            </w:r>
            <w:r>
              <w:t>with</w:t>
            </w:r>
            <w:r>
              <w:rPr>
                <w:spacing w:val="-11"/>
              </w:rPr>
              <w:t xml:space="preserve"> </w:t>
            </w:r>
            <w:r>
              <w:t>subsequent application rounds. In other words, future reviews and/or policy</w:t>
            </w:r>
            <w:r w:rsidR="0018724A">
              <w:t xml:space="preserve">  development</w:t>
            </w:r>
            <w:r w:rsidR="0018724A">
              <w:rPr>
                <w:spacing w:val="-8"/>
              </w:rPr>
              <w:t xml:space="preserve"> </w:t>
            </w:r>
            <w:r w:rsidR="0018724A">
              <w:t>processes</w:t>
            </w:r>
            <w:r w:rsidR="0018724A">
              <w:rPr>
                <w:spacing w:val="-8"/>
              </w:rPr>
              <w:t xml:space="preserve"> </w:t>
            </w:r>
            <w:r w:rsidR="0018724A">
              <w:t>must</w:t>
            </w:r>
            <w:r w:rsidR="0018724A">
              <w:rPr>
                <w:spacing w:val="-8"/>
              </w:rPr>
              <w:t xml:space="preserve"> </w:t>
            </w:r>
            <w:r w:rsidR="0018724A">
              <w:t>not</w:t>
            </w:r>
            <w:r w:rsidR="0018724A">
              <w:rPr>
                <w:spacing w:val="-8"/>
              </w:rPr>
              <w:t xml:space="preserve"> </w:t>
            </w:r>
            <w:r w:rsidR="0018724A">
              <w:t>stop</w:t>
            </w:r>
            <w:r w:rsidR="0018724A">
              <w:rPr>
                <w:spacing w:val="-8"/>
              </w:rPr>
              <w:t xml:space="preserve"> </w:t>
            </w:r>
            <w:r w:rsidR="0018724A">
              <w:t>or delay subsequent new gTLD rounds.</w:t>
            </w:r>
          </w:p>
        </w:tc>
        <w:tc>
          <w:tcPr>
            <w:tcW w:w="4317" w:type="dxa"/>
          </w:tcPr>
          <w:p w14:paraId="40D95758" w14:textId="67E9C725" w:rsidR="00415B54" w:rsidRDefault="00415B54" w:rsidP="00415B54">
            <w:r>
              <w:lastRenderedPageBreak/>
              <w:t>See</w:t>
            </w:r>
            <w:r>
              <w:rPr>
                <w:spacing w:val="-14"/>
              </w:rPr>
              <w:t xml:space="preserve"> </w:t>
            </w:r>
            <w:r>
              <w:t>Affirmation</w:t>
            </w:r>
            <w:r>
              <w:rPr>
                <w:spacing w:val="-14"/>
              </w:rPr>
              <w:t xml:space="preserve"> </w:t>
            </w:r>
            <w:r>
              <w:t>with</w:t>
            </w:r>
            <w:r>
              <w:rPr>
                <w:spacing w:val="-10"/>
              </w:rPr>
              <w:t xml:space="preserve"> </w:t>
            </w:r>
            <w:r>
              <w:t>Modification</w:t>
            </w:r>
            <w:r>
              <w:rPr>
                <w:spacing w:val="-8"/>
              </w:rPr>
              <w:t xml:space="preserve"> </w:t>
            </w:r>
            <w:r>
              <w:rPr>
                <w:spacing w:val="-5"/>
              </w:rPr>
              <w:t>3.1</w:t>
            </w:r>
          </w:p>
        </w:tc>
        <w:tc>
          <w:tcPr>
            <w:tcW w:w="4317" w:type="dxa"/>
          </w:tcPr>
          <w:p w14:paraId="6CF8B1D8" w14:textId="3C4207DA" w:rsidR="00415B54" w:rsidRDefault="00415B54" w:rsidP="00415B54">
            <w:r>
              <w:t>See Above</w:t>
            </w:r>
          </w:p>
        </w:tc>
      </w:tr>
      <w:tr w:rsidR="00415B54" w14:paraId="21CDC61B" w14:textId="77777777" w:rsidTr="0018724A">
        <w:trPr>
          <w:tblHeader/>
        </w:trPr>
        <w:tc>
          <w:tcPr>
            <w:tcW w:w="4316" w:type="dxa"/>
          </w:tcPr>
          <w:p w14:paraId="6C07BF60" w14:textId="796BBF77" w:rsidR="00415B54" w:rsidRDefault="0018724A" w:rsidP="00415B54">
            <w:r>
              <w:rPr>
                <w:b/>
              </w:rPr>
              <w:t>Recommendation 3.7</w:t>
            </w:r>
            <w:r>
              <w:t>: If the outputs of any reviews and/or policy development processes</w:t>
            </w:r>
            <w:r>
              <w:rPr>
                <w:spacing w:val="-8"/>
              </w:rPr>
              <w:t xml:space="preserve"> </w:t>
            </w:r>
            <w:r>
              <w:t>has,</w:t>
            </w:r>
            <w:r>
              <w:rPr>
                <w:spacing w:val="-8"/>
              </w:rPr>
              <w:t xml:space="preserve"> </w:t>
            </w:r>
            <w:r>
              <w:t>or</w:t>
            </w:r>
            <w:r>
              <w:rPr>
                <w:spacing w:val="-8"/>
              </w:rPr>
              <w:t xml:space="preserve"> </w:t>
            </w:r>
            <w:r>
              <w:t>could</w:t>
            </w:r>
            <w:r>
              <w:rPr>
                <w:spacing w:val="-8"/>
              </w:rPr>
              <w:t xml:space="preserve"> </w:t>
            </w:r>
            <w:r>
              <w:t>reasonably</w:t>
            </w:r>
            <w:r>
              <w:rPr>
                <w:spacing w:val="-8"/>
              </w:rPr>
              <w:t xml:space="preserve"> </w:t>
            </w:r>
            <w:r>
              <w:t>have, a material impact on the manner in which application procedures are conducted, such changes must only apply to the opening of the application procedure</w:t>
            </w:r>
            <w:r>
              <w:rPr>
                <w:spacing w:val="-1"/>
              </w:rPr>
              <w:t xml:space="preserve"> </w:t>
            </w:r>
            <w:r>
              <w:t>subsequent</w:t>
            </w:r>
            <w:r>
              <w:rPr>
                <w:spacing w:val="-1"/>
              </w:rPr>
              <w:t xml:space="preserve"> </w:t>
            </w:r>
            <w:r>
              <w:t>to</w:t>
            </w:r>
            <w:r>
              <w:rPr>
                <w:spacing w:val="-1"/>
              </w:rPr>
              <w:t xml:space="preserve"> </w:t>
            </w:r>
            <w:r>
              <w:t>the</w:t>
            </w:r>
            <w:r>
              <w:rPr>
                <w:spacing w:val="-1"/>
              </w:rPr>
              <w:t xml:space="preserve"> </w:t>
            </w:r>
            <w:r>
              <w:t>adoption</w:t>
            </w:r>
            <w:r>
              <w:rPr>
                <w:spacing w:val="-1"/>
              </w:rPr>
              <w:t xml:space="preserve"> </w:t>
            </w:r>
            <w:r>
              <w:t>of the relevant recommendations by the ICANN Board.</w:t>
            </w:r>
          </w:p>
        </w:tc>
        <w:tc>
          <w:tcPr>
            <w:tcW w:w="4317" w:type="dxa"/>
          </w:tcPr>
          <w:p w14:paraId="0045AEEE" w14:textId="6E98852D" w:rsidR="00415B54" w:rsidRDefault="0018724A" w:rsidP="00415B54">
            <w:r>
              <w:t>See Affirmation with Modification 3.1</w:t>
            </w:r>
          </w:p>
        </w:tc>
        <w:tc>
          <w:tcPr>
            <w:tcW w:w="4317" w:type="dxa"/>
          </w:tcPr>
          <w:p w14:paraId="0C54870D" w14:textId="1AF4251B" w:rsidR="00415B54" w:rsidRDefault="0018724A" w:rsidP="00415B54">
            <w:r>
              <w:t>See Above.</w:t>
            </w:r>
          </w:p>
        </w:tc>
      </w:tr>
      <w:tr w:rsidR="0018724A" w14:paraId="7357F03B" w14:textId="77777777" w:rsidTr="0018724A">
        <w:trPr>
          <w:trHeight w:val="530"/>
          <w:tblHeader/>
        </w:trPr>
        <w:tc>
          <w:tcPr>
            <w:tcW w:w="12950" w:type="dxa"/>
            <w:gridSpan w:val="3"/>
            <w:shd w:val="clear" w:color="auto" w:fill="0D0D0D" w:themeFill="text1" w:themeFillTint="F2"/>
            <w:vAlign w:val="center"/>
          </w:tcPr>
          <w:p w14:paraId="61DCEC09" w14:textId="6A39C69B" w:rsidR="0018724A" w:rsidRPr="0018724A" w:rsidRDefault="0018724A" w:rsidP="0018724A">
            <w:pPr>
              <w:rPr>
                <w:b/>
                <w:bCs/>
              </w:rPr>
            </w:pPr>
            <w:r w:rsidRPr="0018724A">
              <w:rPr>
                <w:b/>
                <w:bCs/>
                <w:color w:val="FFFFFF" w:themeColor="background1"/>
              </w:rPr>
              <w:t>Topic 6:  Registry Service Provider Pre-Evaluation</w:t>
            </w:r>
          </w:p>
        </w:tc>
      </w:tr>
      <w:tr w:rsidR="0018724A" w14:paraId="63D71045" w14:textId="77777777" w:rsidTr="0018724A">
        <w:trPr>
          <w:tblHeader/>
        </w:trPr>
        <w:tc>
          <w:tcPr>
            <w:tcW w:w="4316" w:type="dxa"/>
          </w:tcPr>
          <w:p w14:paraId="29389701" w14:textId="77777777" w:rsidR="0018724A" w:rsidRDefault="0018724A" w:rsidP="0018724A">
            <w:pPr>
              <w:pStyle w:val="TableParagraph"/>
              <w:spacing w:before="139"/>
              <w:ind w:left="0"/>
            </w:pPr>
            <w:r>
              <w:rPr>
                <w:b/>
              </w:rPr>
              <w:t>Recommendation</w:t>
            </w:r>
            <w:r>
              <w:rPr>
                <w:b/>
                <w:spacing w:val="-8"/>
              </w:rPr>
              <w:t xml:space="preserve"> </w:t>
            </w:r>
            <w:r>
              <w:rPr>
                <w:b/>
              </w:rPr>
              <w:t>6.8</w:t>
            </w:r>
            <w:r>
              <w:t>:</w:t>
            </w:r>
            <w:r>
              <w:rPr>
                <w:spacing w:val="-10"/>
              </w:rPr>
              <w:t xml:space="preserve"> </w:t>
            </w:r>
            <w:r>
              <w:t>The</w:t>
            </w:r>
            <w:r>
              <w:rPr>
                <w:spacing w:val="-7"/>
              </w:rPr>
              <w:t xml:space="preserve"> </w:t>
            </w:r>
            <w:r>
              <w:rPr>
                <w:spacing w:val="-5"/>
              </w:rPr>
              <w:t>RSP</w:t>
            </w:r>
          </w:p>
          <w:p w14:paraId="7B686671" w14:textId="7B05CE3D" w:rsidR="0018724A" w:rsidRDefault="0018724A" w:rsidP="0018724A">
            <w:r>
              <w:t>pre-evaluation</w:t>
            </w:r>
            <w:r>
              <w:rPr>
                <w:spacing w:val="-10"/>
              </w:rPr>
              <w:t xml:space="preserve"> </w:t>
            </w:r>
            <w:r>
              <w:t>program</w:t>
            </w:r>
            <w:r>
              <w:rPr>
                <w:spacing w:val="-10"/>
              </w:rPr>
              <w:t xml:space="preserve"> </w:t>
            </w:r>
            <w:r>
              <w:t>must</w:t>
            </w:r>
            <w:r>
              <w:rPr>
                <w:spacing w:val="-10"/>
              </w:rPr>
              <w:t xml:space="preserve"> </w:t>
            </w:r>
            <w:r>
              <w:t>be</w:t>
            </w:r>
            <w:r>
              <w:rPr>
                <w:spacing w:val="-10"/>
              </w:rPr>
              <w:t xml:space="preserve"> </w:t>
            </w:r>
            <w:r>
              <w:t>funded by those seeking pre-evaluation on a cost-recovery basis. Costs of the program should be established during the implementation phase by the Implementation Review Team in collaboration with ICANN org.</w:t>
            </w:r>
          </w:p>
        </w:tc>
        <w:tc>
          <w:tcPr>
            <w:tcW w:w="4317" w:type="dxa"/>
          </w:tcPr>
          <w:p w14:paraId="6F2EFCE0" w14:textId="1B117020" w:rsidR="0018724A" w:rsidRDefault="0018724A" w:rsidP="0018724A">
            <w:r>
              <w:t>The</w:t>
            </w:r>
            <w:r>
              <w:rPr>
                <w:spacing w:val="-6"/>
              </w:rPr>
              <w:t xml:space="preserve"> </w:t>
            </w:r>
            <w:r>
              <w:t>Board</w:t>
            </w:r>
            <w:r>
              <w:rPr>
                <w:spacing w:val="-6"/>
              </w:rPr>
              <w:t xml:space="preserve"> </w:t>
            </w:r>
            <w:r>
              <w:t>is</w:t>
            </w:r>
            <w:r>
              <w:rPr>
                <w:spacing w:val="-6"/>
              </w:rPr>
              <w:t xml:space="preserve"> </w:t>
            </w:r>
            <w:r>
              <w:t>concerned</w:t>
            </w:r>
            <w:r>
              <w:rPr>
                <w:spacing w:val="-6"/>
              </w:rPr>
              <w:t xml:space="preserve"> </w:t>
            </w:r>
            <w:r>
              <w:t>about</w:t>
            </w:r>
            <w:r>
              <w:rPr>
                <w:spacing w:val="-6"/>
              </w:rPr>
              <w:t xml:space="preserve"> </w:t>
            </w:r>
            <w:r>
              <w:t>the</w:t>
            </w:r>
            <w:r>
              <w:rPr>
                <w:spacing w:val="-6"/>
              </w:rPr>
              <w:t xml:space="preserve"> </w:t>
            </w:r>
            <w:r>
              <w:t>recommended</w:t>
            </w:r>
            <w:r>
              <w:rPr>
                <w:spacing w:val="-6"/>
              </w:rPr>
              <w:t xml:space="preserve"> </w:t>
            </w:r>
            <w:r>
              <w:t>roles and responsibilities during the implementation process. Per Consensus Policy Implementation Framework (</w:t>
            </w:r>
            <w:hyperlink r:id="rId7">
              <w:r>
                <w:rPr>
                  <w:color w:val="1154CC"/>
                  <w:u w:val="thick" w:color="1154CC"/>
                </w:rPr>
                <w:t>CPIF</w:t>
              </w:r>
            </w:hyperlink>
            <w:r>
              <w:t xml:space="preserve">) and the </w:t>
            </w:r>
            <w:hyperlink r:id="rId8">
              <w:r>
                <w:rPr>
                  <w:color w:val="1154CC"/>
                  <w:u w:val="thick" w:color="1154CC"/>
                </w:rPr>
                <w:t>IRT Principles &amp;</w:t>
              </w:r>
            </w:hyperlink>
            <w:r>
              <w:rPr>
                <w:color w:val="1154CC"/>
              </w:rPr>
              <w:t xml:space="preserve"> </w:t>
            </w:r>
            <w:hyperlink r:id="rId9">
              <w:r>
                <w:rPr>
                  <w:color w:val="1154CC"/>
                  <w:u w:val="thick" w:color="1154CC"/>
                </w:rPr>
                <w:t>Guidelines</w:t>
              </w:r>
            </w:hyperlink>
            <w:r>
              <w:rPr>
                <w:color w:val="1154CC"/>
              </w:rPr>
              <w:t xml:space="preserve"> </w:t>
            </w:r>
            <w:r>
              <w:t>ICANN org leads implementation efforts. Therefore, the costs of the program should be established by ICANN org during implementation in consultation with the IRT.</w:t>
            </w:r>
          </w:p>
        </w:tc>
        <w:tc>
          <w:tcPr>
            <w:tcW w:w="4317" w:type="dxa"/>
          </w:tcPr>
          <w:p w14:paraId="11055721" w14:textId="77777777" w:rsidR="0018724A" w:rsidRDefault="0018724A" w:rsidP="0018724A">
            <w:pPr>
              <w:pStyle w:val="TableParagraph"/>
              <w:spacing w:before="139"/>
              <w:ind w:left="142"/>
              <w:rPr>
                <w:color w:val="0070C0"/>
              </w:rPr>
            </w:pPr>
            <w:r>
              <w:rPr>
                <w:color w:val="0070C0"/>
              </w:rPr>
              <w:t xml:space="preserve">I believe this wording in the recommendation may have been confusing or at the very lease was not what was intended.  It was intended that the </w:t>
            </w:r>
            <w:r>
              <w:rPr>
                <w:color w:val="0070C0"/>
                <w:u w:val="single"/>
              </w:rPr>
              <w:t>formula</w:t>
            </w:r>
            <w:r>
              <w:rPr>
                <w:color w:val="0070C0"/>
              </w:rPr>
              <w:t xml:space="preserve"> for figuring out what elements would be considered for determining the costs would be worked on by the IRT (as the formula for application fees in general were worked on by the SubPro WG).  But the </w:t>
            </w:r>
            <w:r>
              <w:rPr>
                <w:color w:val="0070C0"/>
                <w:u w:val="single"/>
              </w:rPr>
              <w:t>actual fees</w:t>
            </w:r>
            <w:r>
              <w:rPr>
                <w:color w:val="0070C0"/>
              </w:rPr>
              <w:t xml:space="preserve"> themselves are determined by ICANN using the formula / criteria set through IRT work.</w:t>
            </w:r>
          </w:p>
          <w:p w14:paraId="78A81914" w14:textId="77777777" w:rsidR="0018724A" w:rsidRDefault="0018724A" w:rsidP="0018724A"/>
        </w:tc>
      </w:tr>
      <w:tr w:rsidR="003774E3" w14:paraId="1822BC96" w14:textId="77777777" w:rsidTr="00851C31">
        <w:trPr>
          <w:trHeight w:val="575"/>
          <w:tblHeader/>
        </w:trPr>
        <w:tc>
          <w:tcPr>
            <w:tcW w:w="12950" w:type="dxa"/>
            <w:gridSpan w:val="3"/>
            <w:shd w:val="clear" w:color="auto" w:fill="0D0D0D" w:themeFill="text1" w:themeFillTint="F2"/>
            <w:vAlign w:val="center"/>
          </w:tcPr>
          <w:p w14:paraId="6B543283" w14:textId="5D47C971" w:rsidR="003774E3" w:rsidRPr="00851C31" w:rsidRDefault="00851C31" w:rsidP="0018724A">
            <w:pPr>
              <w:rPr>
                <w:b/>
                <w:bCs/>
              </w:rPr>
            </w:pPr>
            <w:r w:rsidRPr="00851C31">
              <w:rPr>
                <w:b/>
                <w:bCs/>
              </w:rPr>
              <w:t>Topic 9: Registry Voluntary Commitments / Public Interest Commitments</w:t>
            </w:r>
          </w:p>
        </w:tc>
      </w:tr>
      <w:tr w:rsidR="0018724A" w14:paraId="63D84F7D" w14:textId="77777777" w:rsidTr="0018724A">
        <w:trPr>
          <w:tblHeader/>
        </w:trPr>
        <w:tc>
          <w:tcPr>
            <w:tcW w:w="4316" w:type="dxa"/>
          </w:tcPr>
          <w:p w14:paraId="4E1F6577" w14:textId="47D43474" w:rsidR="0018724A" w:rsidRDefault="00686726" w:rsidP="0018724A">
            <w:r>
              <w:rPr>
                <w:b/>
              </w:rPr>
              <w:t>Recommendation 9.1</w:t>
            </w:r>
            <w:r>
              <w:t>: Mandatory Public Interest Commitments (PICs) currently</w:t>
            </w:r>
            <w:r>
              <w:rPr>
                <w:spacing w:val="-12"/>
              </w:rPr>
              <w:t xml:space="preserve"> </w:t>
            </w:r>
            <w:r>
              <w:t>captured</w:t>
            </w:r>
            <w:r>
              <w:rPr>
                <w:spacing w:val="-12"/>
              </w:rPr>
              <w:t xml:space="preserve"> </w:t>
            </w:r>
            <w:r>
              <w:t>in</w:t>
            </w:r>
            <w:r>
              <w:rPr>
                <w:spacing w:val="-12"/>
              </w:rPr>
              <w:t xml:space="preserve"> </w:t>
            </w:r>
            <w:r>
              <w:t>Specification</w:t>
            </w:r>
            <w:r>
              <w:rPr>
                <w:spacing w:val="-12"/>
              </w:rPr>
              <w:t xml:space="preserve"> </w:t>
            </w:r>
            <w:r>
              <w:t>11</w:t>
            </w:r>
            <w:r w:rsidR="00BB1B7B">
              <w:t xml:space="preserve"> 3(a)-(d)</w:t>
            </w:r>
            <w:r w:rsidR="00BB1B7B">
              <w:rPr>
                <w:spacing w:val="-11"/>
              </w:rPr>
              <w:t xml:space="preserve"> </w:t>
            </w:r>
            <w:r w:rsidR="00BB1B7B">
              <w:t>of</w:t>
            </w:r>
            <w:r w:rsidR="00BB1B7B">
              <w:rPr>
                <w:spacing w:val="-7"/>
              </w:rPr>
              <w:t xml:space="preserve"> </w:t>
            </w:r>
            <w:r w:rsidR="00BB1B7B">
              <w:t>the</w:t>
            </w:r>
            <w:r w:rsidR="00BB1B7B">
              <w:rPr>
                <w:spacing w:val="-7"/>
              </w:rPr>
              <w:t xml:space="preserve"> </w:t>
            </w:r>
            <w:r w:rsidR="00BB1B7B">
              <w:t>Registry</w:t>
            </w:r>
            <w:r w:rsidR="00BB1B7B">
              <w:rPr>
                <w:spacing w:val="-14"/>
              </w:rPr>
              <w:t xml:space="preserve"> </w:t>
            </w:r>
            <w:r w:rsidR="00BB1B7B">
              <w:t>Agreement</w:t>
            </w:r>
            <w:r w:rsidR="00BB1B7B">
              <w:rPr>
                <w:vertAlign w:val="superscript"/>
              </w:rPr>
              <w:t>2</w:t>
            </w:r>
            <w:r w:rsidR="00BB1B7B">
              <w:rPr>
                <w:spacing w:val="-7"/>
              </w:rPr>
              <w:t xml:space="preserve"> </w:t>
            </w:r>
            <w:r w:rsidR="00BB1B7B">
              <w:t xml:space="preserve">must continue to be </w:t>
            </w:r>
            <w:r w:rsidR="00BB1B7B">
              <w:lastRenderedPageBreak/>
              <w:t>included in Registry Agreements for gTLDs in subsequent procedures. Noting that mandatory PICs were not included in the 2007 recommendations, this recommendation puts existing practice into policy. One adjustment to the 2012 implementation</w:t>
            </w:r>
            <w:r w:rsidR="00BB1B7B">
              <w:rPr>
                <w:spacing w:val="40"/>
              </w:rPr>
              <w:t xml:space="preserve"> </w:t>
            </w:r>
            <w:r w:rsidR="00BB1B7B">
              <w:t>is included in the following recommendation (Recommendation</w:t>
            </w:r>
            <w:r w:rsidR="008766E5">
              <w:t xml:space="preserve"> </w:t>
            </w:r>
            <w:r w:rsidR="008766E5">
              <w:rPr>
                <w:spacing w:val="-2"/>
              </w:rPr>
              <w:t>9.2).</w:t>
            </w:r>
          </w:p>
        </w:tc>
        <w:tc>
          <w:tcPr>
            <w:tcW w:w="4317" w:type="dxa"/>
          </w:tcPr>
          <w:p w14:paraId="25845D00" w14:textId="0FD5C2D0" w:rsidR="0018724A" w:rsidRDefault="008A1FA9" w:rsidP="0018724A">
            <w:r>
              <w:lastRenderedPageBreak/>
              <w:t>The</w:t>
            </w:r>
            <w:r>
              <w:rPr>
                <w:spacing w:val="-6"/>
              </w:rPr>
              <w:t xml:space="preserve"> </w:t>
            </w:r>
            <w:r>
              <w:t>Board</w:t>
            </w:r>
            <w:r>
              <w:rPr>
                <w:spacing w:val="-6"/>
              </w:rPr>
              <w:t xml:space="preserve"> </w:t>
            </w:r>
            <w:r>
              <w:t>remains</w:t>
            </w:r>
            <w:r>
              <w:rPr>
                <w:spacing w:val="-6"/>
              </w:rPr>
              <w:t xml:space="preserve"> </w:t>
            </w:r>
            <w:r>
              <w:t>concerned,</w:t>
            </w:r>
            <w:r>
              <w:rPr>
                <w:spacing w:val="-6"/>
              </w:rPr>
              <w:t xml:space="preserve"> </w:t>
            </w:r>
            <w:r>
              <w:t>as</w:t>
            </w:r>
            <w:r>
              <w:rPr>
                <w:spacing w:val="-6"/>
              </w:rPr>
              <w:t xml:space="preserve"> </w:t>
            </w:r>
            <w:r>
              <w:t>previously</w:t>
            </w:r>
            <w:r>
              <w:rPr>
                <w:spacing w:val="-6"/>
              </w:rPr>
              <w:t xml:space="preserve"> </w:t>
            </w:r>
            <w:r>
              <w:t>voiced</w:t>
            </w:r>
            <w:r>
              <w:rPr>
                <w:spacing w:val="-6"/>
              </w:rPr>
              <w:t xml:space="preserve"> </w:t>
            </w:r>
            <w:r>
              <w:t xml:space="preserve">as part of its </w:t>
            </w:r>
            <w:hyperlink r:id="rId10">
              <w:r>
                <w:rPr>
                  <w:color w:val="1154CC"/>
                  <w:u w:val="thick" w:color="1154CC"/>
                </w:rPr>
                <w:t>comment on the Draft Final Report</w:t>
              </w:r>
            </w:hyperlink>
            <w:r>
              <w:t>, over risks</w:t>
            </w:r>
            <w:r>
              <w:rPr>
                <w:spacing w:val="-1"/>
              </w:rPr>
              <w:t xml:space="preserve"> </w:t>
            </w:r>
            <w:r>
              <w:t>of</w:t>
            </w:r>
            <w:r>
              <w:rPr>
                <w:spacing w:val="-1"/>
              </w:rPr>
              <w:t xml:space="preserve"> </w:t>
            </w:r>
            <w:r>
              <w:t>challenges</w:t>
            </w:r>
            <w:r>
              <w:rPr>
                <w:spacing w:val="-1"/>
              </w:rPr>
              <w:t xml:space="preserve"> </w:t>
            </w:r>
            <w:r>
              <w:t>related</w:t>
            </w:r>
            <w:r>
              <w:rPr>
                <w:spacing w:val="-1"/>
              </w:rPr>
              <w:t xml:space="preserve"> </w:t>
            </w:r>
            <w:r>
              <w:t>to</w:t>
            </w:r>
            <w:r>
              <w:rPr>
                <w:spacing w:val="-1"/>
              </w:rPr>
              <w:t xml:space="preserve"> </w:t>
            </w:r>
            <w:r>
              <w:t>ICANN’s</w:t>
            </w:r>
            <w:r>
              <w:rPr>
                <w:spacing w:val="-1"/>
              </w:rPr>
              <w:t xml:space="preserve"> </w:t>
            </w:r>
            <w:r>
              <w:t>ability</w:t>
            </w:r>
            <w:r>
              <w:rPr>
                <w:spacing w:val="-1"/>
              </w:rPr>
              <w:t xml:space="preserve"> </w:t>
            </w:r>
            <w:r>
              <w:t>to</w:t>
            </w:r>
            <w:r>
              <w:rPr>
                <w:spacing w:val="-1"/>
              </w:rPr>
              <w:t xml:space="preserve"> </w:t>
            </w:r>
            <w:r>
              <w:lastRenderedPageBreak/>
              <w:t>enter</w:t>
            </w:r>
            <w:r w:rsidR="00464A7F">
              <w:t xml:space="preserve">  into and enforce PICs/RVCs in accordance with its mission,</w:t>
            </w:r>
            <w:r w:rsidR="00464A7F">
              <w:rPr>
                <w:spacing w:val="-6"/>
              </w:rPr>
              <w:t xml:space="preserve"> </w:t>
            </w:r>
            <w:r w:rsidR="00464A7F">
              <w:t>due</w:t>
            </w:r>
            <w:r w:rsidR="00464A7F">
              <w:rPr>
                <w:spacing w:val="-6"/>
              </w:rPr>
              <w:t xml:space="preserve"> </w:t>
            </w:r>
            <w:r w:rsidR="00464A7F">
              <w:t>to</w:t>
            </w:r>
            <w:r w:rsidR="00464A7F">
              <w:rPr>
                <w:spacing w:val="-6"/>
              </w:rPr>
              <w:t xml:space="preserve"> </w:t>
            </w:r>
            <w:r w:rsidR="00464A7F">
              <w:t>limitations</w:t>
            </w:r>
            <w:r w:rsidR="00464A7F">
              <w:rPr>
                <w:spacing w:val="-6"/>
              </w:rPr>
              <w:t xml:space="preserve"> </w:t>
            </w:r>
            <w:r w:rsidR="00464A7F">
              <w:t>in</w:t>
            </w:r>
            <w:r w:rsidR="00464A7F">
              <w:rPr>
                <w:spacing w:val="-6"/>
              </w:rPr>
              <w:t xml:space="preserve"> </w:t>
            </w:r>
            <w:r w:rsidR="00464A7F">
              <w:t>the</w:t>
            </w:r>
            <w:r w:rsidR="00464A7F">
              <w:rPr>
                <w:spacing w:val="-6"/>
              </w:rPr>
              <w:t xml:space="preserve"> </w:t>
            </w:r>
            <w:r w:rsidR="00464A7F">
              <w:t>Bylaws</w:t>
            </w:r>
            <w:r w:rsidR="00464A7F">
              <w:rPr>
                <w:spacing w:val="-6"/>
              </w:rPr>
              <w:t xml:space="preserve"> </w:t>
            </w:r>
            <w:r w:rsidR="00464A7F">
              <w:t>Section</w:t>
            </w:r>
            <w:r w:rsidR="00464A7F">
              <w:rPr>
                <w:spacing w:val="-6"/>
              </w:rPr>
              <w:t xml:space="preserve"> </w:t>
            </w:r>
            <w:r w:rsidR="00464A7F">
              <w:t>1.1.</w:t>
            </w:r>
          </w:p>
        </w:tc>
        <w:tc>
          <w:tcPr>
            <w:tcW w:w="4317" w:type="dxa"/>
          </w:tcPr>
          <w:p w14:paraId="53535173" w14:textId="77777777" w:rsidR="0018724A" w:rsidRDefault="00DE5AE2" w:rsidP="0018724A">
            <w:pPr>
              <w:rPr>
                <w:color w:val="1F4E79" w:themeColor="accent5" w:themeShade="80"/>
              </w:rPr>
            </w:pPr>
            <w:r>
              <w:rPr>
                <w:color w:val="1F4E79" w:themeColor="accent5" w:themeShade="80"/>
              </w:rPr>
              <w:lastRenderedPageBreak/>
              <w:t xml:space="preserve">The SubPro PDP did discuss this issue after the ICANN Board’s comments to the Draft Final Report.  However, the Working Group believed </w:t>
            </w:r>
            <w:r>
              <w:rPr>
                <w:color w:val="1F4E79" w:themeColor="accent5" w:themeShade="80"/>
              </w:rPr>
              <w:lastRenderedPageBreak/>
              <w:t xml:space="preserve">that the ICANN Board’s concerns were not warranted for several reasons.  </w:t>
            </w:r>
          </w:p>
          <w:p w14:paraId="4BFFE6B5" w14:textId="77777777" w:rsidR="00F4358F" w:rsidRDefault="00F4358F" w:rsidP="0018724A">
            <w:pPr>
              <w:rPr>
                <w:color w:val="1F4E79" w:themeColor="accent5" w:themeShade="80"/>
              </w:rPr>
            </w:pPr>
          </w:p>
          <w:p w14:paraId="7A9941B0" w14:textId="298F0EC5" w:rsidR="00F4358F" w:rsidRDefault="00F4358F" w:rsidP="0018724A">
            <w:pPr>
              <w:rPr>
                <w:color w:val="1F4E79" w:themeColor="accent5" w:themeShade="80"/>
              </w:rPr>
            </w:pPr>
            <w:r>
              <w:rPr>
                <w:color w:val="1F4E79" w:themeColor="accent5" w:themeShade="80"/>
              </w:rPr>
              <w:t>According to the CCWG-Accountability Supplemental Final Proposal on Work Stream 1 Recommendations</w:t>
            </w:r>
            <w:r w:rsidR="00611A29">
              <w:rPr>
                <w:color w:val="1F4E79" w:themeColor="accent5" w:themeShade="80"/>
              </w:rPr>
              <w:t xml:space="preserve"> dated 23 Feb. 2016 (and provided in the overall transition package to the United States Department of Commerce (</w:t>
            </w:r>
            <w:r w:rsidR="00611A29">
              <w:t xml:space="preserve"> </w:t>
            </w:r>
            <w:hyperlink r:id="rId11" w:history="1">
              <w:r w:rsidR="00611A29" w:rsidRPr="00CC43E0">
                <w:rPr>
                  <w:rStyle w:val="Hyperlink"/>
                  <w:color w:val="023160" w:themeColor="hyperlink" w:themeShade="80"/>
                </w:rPr>
                <w:t>https://www.icann.org/en/system/files/files/iana-stewardship-transition-package-10mar16-en.pdf</w:t>
              </w:r>
            </w:hyperlink>
            <w:r w:rsidR="00611A29">
              <w:rPr>
                <w:color w:val="1F4E79" w:themeColor="accent5" w:themeShade="80"/>
              </w:rPr>
              <w:t xml:space="preserve">), </w:t>
            </w:r>
            <w:r w:rsidR="004154BC">
              <w:rPr>
                <w:color w:val="1F4E79" w:themeColor="accent5" w:themeShade="80"/>
              </w:rPr>
              <w:t xml:space="preserve">it was clearly stated </w:t>
            </w:r>
            <w:r w:rsidR="00176FF8">
              <w:rPr>
                <w:color w:val="1F4E79" w:themeColor="accent5" w:themeShade="80"/>
              </w:rPr>
              <w:t xml:space="preserve">in Recommendation 5 </w:t>
            </w:r>
            <w:r w:rsidR="004154BC">
              <w:rPr>
                <w:color w:val="1F4E79" w:themeColor="accent5" w:themeShade="80"/>
              </w:rPr>
              <w:t>that “ICANN shall have the ability to negotiate, enter into and enforce agreements, including Public Interest commitments (“PICs”), with contracted parties in service of its mission.” (See line 146).</w:t>
            </w:r>
          </w:p>
          <w:p w14:paraId="38AEABDB" w14:textId="77777777" w:rsidR="004154BC" w:rsidRDefault="004154BC" w:rsidP="0018724A">
            <w:pPr>
              <w:rPr>
                <w:color w:val="1F4E79" w:themeColor="accent5" w:themeShade="80"/>
              </w:rPr>
            </w:pPr>
          </w:p>
          <w:p w14:paraId="2CA2334B" w14:textId="77777777" w:rsidR="004154BC" w:rsidRDefault="00120161" w:rsidP="0018724A">
            <w:pPr>
              <w:rPr>
                <w:b/>
                <w:bCs/>
                <w:color w:val="1F4E79" w:themeColor="accent5" w:themeShade="80"/>
              </w:rPr>
            </w:pPr>
            <w:r>
              <w:rPr>
                <w:color w:val="1F4E79" w:themeColor="accent5" w:themeShade="80"/>
              </w:rPr>
              <w:t xml:space="preserve">It also importantly states, </w:t>
            </w:r>
            <w:r w:rsidRPr="00780D5E">
              <w:rPr>
                <w:b/>
                <w:bCs/>
                <w:color w:val="1F4E79" w:themeColor="accent5" w:themeShade="80"/>
              </w:rPr>
              <w:t>“The prohibition on the regulation of “content” is not intended to prevent ICANN policies from taking into account the use of domain names as identifiers in various natural languages” (See Line 147(1)).</w:t>
            </w:r>
          </w:p>
          <w:p w14:paraId="5D444EC9" w14:textId="77777777" w:rsidR="001F4350" w:rsidRDefault="001F4350" w:rsidP="0018724A">
            <w:pPr>
              <w:rPr>
                <w:b/>
                <w:bCs/>
                <w:color w:val="1F4E79" w:themeColor="accent5" w:themeShade="80"/>
              </w:rPr>
            </w:pPr>
          </w:p>
          <w:p w14:paraId="7DA28680" w14:textId="77777777" w:rsidR="001F4350" w:rsidRDefault="001F4350" w:rsidP="0018724A">
            <w:pPr>
              <w:rPr>
                <w:color w:val="1F4E79" w:themeColor="accent5" w:themeShade="80"/>
              </w:rPr>
            </w:pPr>
            <w:r>
              <w:rPr>
                <w:color w:val="1F4E79" w:themeColor="accent5" w:themeShade="80"/>
              </w:rPr>
              <w:t>These concepts are incorporated into ICANN’s Bylaws</w:t>
            </w:r>
            <w:r w:rsidR="00377E75">
              <w:rPr>
                <w:color w:val="1F4E79" w:themeColor="accent5" w:themeShade="80"/>
              </w:rPr>
              <w:t xml:space="preserve"> in Section 1.1 (Mission)</w:t>
            </w:r>
            <w:r w:rsidR="00990C08">
              <w:rPr>
                <w:color w:val="1F4E79" w:themeColor="accent5" w:themeShade="80"/>
              </w:rPr>
              <w:t>(d)(iv) though worded slightly differently.  But from the explanation provided by the CCWG, it is clear that the prohibition on the regulation of content was not intended to trump the ability of ICANN to promulgate policy and negotiate PICs.</w:t>
            </w:r>
          </w:p>
          <w:p w14:paraId="1DD8B603" w14:textId="77777777" w:rsidR="00990C08" w:rsidRDefault="00990C08" w:rsidP="0018724A">
            <w:pPr>
              <w:rPr>
                <w:color w:val="1F4E79" w:themeColor="accent5" w:themeShade="80"/>
              </w:rPr>
            </w:pPr>
            <w:r>
              <w:rPr>
                <w:color w:val="1F4E79" w:themeColor="accent5" w:themeShade="80"/>
              </w:rPr>
              <w:t xml:space="preserve"> </w:t>
            </w:r>
          </w:p>
          <w:p w14:paraId="61F08983" w14:textId="43C1DD3B" w:rsidR="0018724A" w:rsidRPr="001F4350" w:rsidRDefault="00990C08" w:rsidP="0018724A">
            <w:pPr>
              <w:rPr>
                <w:color w:val="1F4E79" w:themeColor="accent5" w:themeShade="80"/>
              </w:rPr>
            </w:pPr>
            <w:r>
              <w:rPr>
                <w:color w:val="1F4E79" w:themeColor="accent5" w:themeShade="80"/>
              </w:rPr>
              <w:t xml:space="preserve">Regardless, what is clear is that the recommendations for having PICs and RVCs in future agreements was adopted by unanimous consensus of the community and therefore, if an </w:t>
            </w:r>
            <w:r>
              <w:rPr>
                <w:color w:val="1F4E79" w:themeColor="accent5" w:themeShade="80"/>
              </w:rPr>
              <w:lastRenderedPageBreak/>
              <w:t>Amendment to the Bylaws must be made, this does not appear to be controversial.</w:t>
            </w:r>
          </w:p>
        </w:tc>
      </w:tr>
      <w:tr w:rsidR="0018724A" w14:paraId="18BA2D78" w14:textId="77777777" w:rsidTr="0018724A">
        <w:trPr>
          <w:tblHeader/>
        </w:trPr>
        <w:tc>
          <w:tcPr>
            <w:tcW w:w="4316" w:type="dxa"/>
          </w:tcPr>
          <w:p w14:paraId="0C6A4F5E" w14:textId="77777777" w:rsidR="00187D6F" w:rsidRDefault="00187D6F" w:rsidP="00205739">
            <w:pPr>
              <w:pStyle w:val="TableParagraph"/>
              <w:spacing w:before="143"/>
              <w:ind w:left="0"/>
            </w:pPr>
            <w:r>
              <w:rPr>
                <w:b/>
              </w:rPr>
              <w:lastRenderedPageBreak/>
              <w:t>Recommendation</w:t>
            </w:r>
            <w:r>
              <w:rPr>
                <w:b/>
                <w:spacing w:val="-9"/>
              </w:rPr>
              <w:t xml:space="preserve"> </w:t>
            </w:r>
            <w:r>
              <w:rPr>
                <w:b/>
              </w:rPr>
              <w:t>9.2</w:t>
            </w:r>
            <w:r>
              <w:t>:</w:t>
            </w:r>
            <w:r>
              <w:rPr>
                <w:spacing w:val="-9"/>
              </w:rPr>
              <w:t xml:space="preserve"> </w:t>
            </w:r>
            <w:r>
              <w:rPr>
                <w:spacing w:val="-2"/>
              </w:rPr>
              <w:t>Provide</w:t>
            </w:r>
          </w:p>
          <w:p w14:paraId="5418F368" w14:textId="65737C2C" w:rsidR="0018724A" w:rsidRDefault="00187D6F" w:rsidP="00187D6F">
            <w:r>
              <w:t>single-registrant</w:t>
            </w:r>
            <w:r>
              <w:rPr>
                <w:spacing w:val="-14"/>
              </w:rPr>
              <w:t xml:space="preserve"> </w:t>
            </w:r>
            <w:r>
              <w:t>TLDs</w:t>
            </w:r>
            <w:r>
              <w:rPr>
                <w:spacing w:val="-14"/>
              </w:rPr>
              <w:t xml:space="preserve"> </w:t>
            </w:r>
            <w:r>
              <w:t>with</w:t>
            </w:r>
            <w:r>
              <w:rPr>
                <w:spacing w:val="-14"/>
              </w:rPr>
              <w:t xml:space="preserve"> </w:t>
            </w:r>
            <w:r>
              <w:t>exemptions and/or waivers to mandatory PICs included in Specification 11 3(a) and Specification 11 3(b).</w:t>
            </w:r>
            <w:r>
              <w:rPr>
                <w:vertAlign w:val="superscript"/>
              </w:rPr>
              <w:t>4</w:t>
            </w:r>
          </w:p>
        </w:tc>
        <w:tc>
          <w:tcPr>
            <w:tcW w:w="4317" w:type="dxa"/>
          </w:tcPr>
          <w:p w14:paraId="456CDE7E" w14:textId="77777777" w:rsidR="00205739" w:rsidRDefault="00205739" w:rsidP="00205739">
            <w:pPr>
              <w:pStyle w:val="TableParagraph"/>
              <w:spacing w:before="143"/>
              <w:ind w:left="0"/>
            </w:pPr>
            <w:r>
              <w:t>The</w:t>
            </w:r>
            <w:r>
              <w:rPr>
                <w:spacing w:val="-5"/>
              </w:rPr>
              <w:t xml:space="preserve"> </w:t>
            </w:r>
            <w:r>
              <w:t>Board</w:t>
            </w:r>
            <w:r>
              <w:rPr>
                <w:spacing w:val="-5"/>
              </w:rPr>
              <w:t xml:space="preserve"> </w:t>
            </w:r>
            <w:r>
              <w:t>is</w:t>
            </w:r>
            <w:r>
              <w:rPr>
                <w:spacing w:val="-5"/>
              </w:rPr>
              <w:t xml:space="preserve"> </w:t>
            </w:r>
            <w:r>
              <w:t>concerned</w:t>
            </w:r>
            <w:r>
              <w:rPr>
                <w:spacing w:val="-5"/>
              </w:rPr>
              <w:t xml:space="preserve"> </w:t>
            </w:r>
            <w:r>
              <w:t>that</w:t>
            </w:r>
            <w:r>
              <w:rPr>
                <w:spacing w:val="-5"/>
              </w:rPr>
              <w:t xml:space="preserve"> </w:t>
            </w:r>
            <w:r>
              <w:t>a</w:t>
            </w:r>
            <w:r>
              <w:rPr>
                <w:spacing w:val="-5"/>
              </w:rPr>
              <w:t xml:space="preserve"> </w:t>
            </w:r>
            <w:r>
              <w:t>waiver</w:t>
            </w:r>
            <w:r>
              <w:rPr>
                <w:spacing w:val="-5"/>
              </w:rPr>
              <w:t xml:space="preserve"> </w:t>
            </w:r>
            <w:r>
              <w:t>to</w:t>
            </w:r>
            <w:r>
              <w:rPr>
                <w:spacing w:val="-5"/>
              </w:rPr>
              <w:t xml:space="preserve"> </w:t>
            </w:r>
            <w:r>
              <w:t>Spec</w:t>
            </w:r>
            <w:r>
              <w:rPr>
                <w:spacing w:val="-5"/>
              </w:rPr>
              <w:t xml:space="preserve"> </w:t>
            </w:r>
            <w:r>
              <w:t>11</w:t>
            </w:r>
            <w:r>
              <w:rPr>
                <w:spacing w:val="-5"/>
              </w:rPr>
              <w:t xml:space="preserve"> </w:t>
            </w:r>
            <w:r>
              <w:t>3</w:t>
            </w:r>
            <w:r>
              <w:rPr>
                <w:spacing w:val="-5"/>
              </w:rPr>
              <w:t xml:space="preserve"> </w:t>
            </w:r>
            <w:r>
              <w:t>(a) and 3 (b) could lead to DNS abuse for second level registrations in a single registrant TLD going undeterred, unobserved and therefore unmitigated.</w:t>
            </w:r>
          </w:p>
          <w:p w14:paraId="7CA05A1E" w14:textId="77777777" w:rsidR="00205739" w:rsidRDefault="00205739" w:rsidP="00205739">
            <w:pPr>
              <w:pStyle w:val="TableParagraph"/>
              <w:ind w:left="0"/>
            </w:pPr>
          </w:p>
          <w:p w14:paraId="5C3EBA37" w14:textId="2EAE22A4" w:rsidR="0018724A" w:rsidRDefault="00205739" w:rsidP="00205739">
            <w:r>
              <w:t>The</w:t>
            </w:r>
            <w:r>
              <w:rPr>
                <w:spacing w:val="-5"/>
              </w:rPr>
              <w:t xml:space="preserve"> </w:t>
            </w:r>
            <w:r>
              <w:t>Board</w:t>
            </w:r>
            <w:r>
              <w:rPr>
                <w:spacing w:val="-5"/>
              </w:rPr>
              <w:t xml:space="preserve"> </w:t>
            </w:r>
            <w:r>
              <w:t>is</w:t>
            </w:r>
            <w:r>
              <w:rPr>
                <w:spacing w:val="-5"/>
              </w:rPr>
              <w:t xml:space="preserve"> </w:t>
            </w:r>
            <w:r>
              <w:t>also</w:t>
            </w:r>
            <w:r>
              <w:rPr>
                <w:spacing w:val="-5"/>
              </w:rPr>
              <w:t xml:space="preserve"> </w:t>
            </w:r>
            <w:r>
              <w:t>concerned</w:t>
            </w:r>
            <w:r>
              <w:rPr>
                <w:spacing w:val="-5"/>
              </w:rPr>
              <w:t xml:space="preserve"> </w:t>
            </w:r>
            <w:r>
              <w:t>that</w:t>
            </w:r>
            <w:r>
              <w:rPr>
                <w:spacing w:val="-5"/>
              </w:rPr>
              <w:t xml:space="preserve"> </w:t>
            </w:r>
            <w:r>
              <w:t>a</w:t>
            </w:r>
            <w:r>
              <w:rPr>
                <w:spacing w:val="-5"/>
              </w:rPr>
              <w:t xml:space="preserve"> </w:t>
            </w:r>
            <w:r>
              <w:t>waiver</w:t>
            </w:r>
            <w:r>
              <w:rPr>
                <w:spacing w:val="-5"/>
              </w:rPr>
              <w:t xml:space="preserve"> </w:t>
            </w:r>
            <w:r>
              <w:t>to</w:t>
            </w:r>
            <w:r>
              <w:rPr>
                <w:spacing w:val="-5"/>
              </w:rPr>
              <w:t xml:space="preserve"> </w:t>
            </w:r>
            <w:r>
              <w:t>Spec</w:t>
            </w:r>
            <w:r>
              <w:rPr>
                <w:spacing w:val="-5"/>
              </w:rPr>
              <w:t xml:space="preserve"> </w:t>
            </w:r>
            <w:r>
              <w:t>11 3 (a) and 3 (b) could require a change to the RA’s Specification 13, which would introduce significant implementation efforts to harmonize current 2012 agreements</w:t>
            </w:r>
            <w:r>
              <w:rPr>
                <w:spacing w:val="-3"/>
              </w:rPr>
              <w:t xml:space="preserve"> </w:t>
            </w:r>
            <w:r>
              <w:t>with</w:t>
            </w:r>
            <w:r>
              <w:rPr>
                <w:spacing w:val="-3"/>
              </w:rPr>
              <w:t xml:space="preserve"> </w:t>
            </w:r>
            <w:r>
              <w:t>future</w:t>
            </w:r>
            <w:r>
              <w:rPr>
                <w:spacing w:val="-3"/>
              </w:rPr>
              <w:t xml:space="preserve"> </w:t>
            </w:r>
            <w:r>
              <w:t>rounds</w:t>
            </w:r>
            <w:r>
              <w:rPr>
                <w:spacing w:val="-3"/>
              </w:rPr>
              <w:t xml:space="preserve"> </w:t>
            </w:r>
            <w:r>
              <w:t>if</w:t>
            </w:r>
            <w:r>
              <w:rPr>
                <w:spacing w:val="-3"/>
              </w:rPr>
              <w:t xml:space="preserve"> </w:t>
            </w:r>
            <w:r>
              <w:t>ICANN</w:t>
            </w:r>
            <w:r>
              <w:rPr>
                <w:spacing w:val="-3"/>
              </w:rPr>
              <w:t xml:space="preserve"> </w:t>
            </w:r>
            <w:r>
              <w:t>org</w:t>
            </w:r>
            <w:r>
              <w:rPr>
                <w:spacing w:val="-3"/>
              </w:rPr>
              <w:t xml:space="preserve"> </w:t>
            </w:r>
            <w:r>
              <w:t xml:space="preserve">elected to leverage the current agreement for the future </w:t>
            </w:r>
            <w:r>
              <w:rPr>
                <w:spacing w:val="-2"/>
              </w:rPr>
              <w:t>rounds.</w:t>
            </w:r>
          </w:p>
        </w:tc>
        <w:tc>
          <w:tcPr>
            <w:tcW w:w="4317" w:type="dxa"/>
          </w:tcPr>
          <w:p w14:paraId="25202FB5" w14:textId="77777777" w:rsidR="0018724A" w:rsidRDefault="0018724A" w:rsidP="0018724A"/>
          <w:p w14:paraId="608AC80D" w14:textId="77777777" w:rsidR="009E71F0" w:rsidRDefault="001F1768" w:rsidP="0018724A">
            <w:pPr>
              <w:rPr>
                <w:color w:val="1F4E79" w:themeColor="accent5" w:themeShade="80"/>
              </w:rPr>
            </w:pPr>
            <w:r>
              <w:rPr>
                <w:color w:val="1F4E79" w:themeColor="accent5" w:themeShade="80"/>
              </w:rPr>
              <w:t>In breaking down Specification 11, it does not appear that the Board’s concerns would actually come to fruition.</w:t>
            </w:r>
          </w:p>
          <w:p w14:paraId="771EAF08" w14:textId="77777777" w:rsidR="001F1768" w:rsidRDefault="001F1768" w:rsidP="0018724A">
            <w:pPr>
              <w:rPr>
                <w:color w:val="1F4E79" w:themeColor="accent5" w:themeShade="80"/>
              </w:rPr>
            </w:pPr>
          </w:p>
          <w:p w14:paraId="792B2F31" w14:textId="45CC0470" w:rsidR="001F1768" w:rsidRDefault="001F1768" w:rsidP="001F1768">
            <w:pPr>
              <w:pStyle w:val="ListParagraph"/>
              <w:numPr>
                <w:ilvl w:val="0"/>
                <w:numId w:val="19"/>
              </w:numPr>
              <w:rPr>
                <w:color w:val="1F4E79" w:themeColor="accent5" w:themeShade="80"/>
              </w:rPr>
            </w:pPr>
            <w:r>
              <w:rPr>
                <w:color w:val="1F4E79" w:themeColor="accent5" w:themeShade="80"/>
              </w:rPr>
              <w:t xml:space="preserve"> </w:t>
            </w:r>
            <w:r w:rsidR="008B7FA8">
              <w:rPr>
                <w:color w:val="1F4E79" w:themeColor="accent5" w:themeShade="80"/>
              </w:rPr>
              <w:t>Spec 3(a) refers to registries requiring registrars to include a provision in its Registry-Registrar Agreement prohibiting certain activities.</w:t>
            </w:r>
            <w:r w:rsidR="00A94FC1">
              <w:rPr>
                <w:color w:val="1F4E79" w:themeColor="accent5" w:themeShade="80"/>
              </w:rPr>
              <w:t xml:space="preserve">  First, whether the use of Registrars should be required in a Single Registrant TLD is questionable.  But even putting that aside, this is a case where the Registry itself (or its affiliates/licensees) is the registrant.  Having an agreement requiring a third party to have an agreement with itself is a bizarre construct to begin with.  </w:t>
            </w:r>
            <w:r w:rsidR="0031165A">
              <w:rPr>
                <w:color w:val="1F4E79" w:themeColor="accent5" w:themeShade="80"/>
              </w:rPr>
              <w:t>But if it is that concerning, perhaps an overall requirement with a registry operator that is a single registrant TLD to not use the TLD for those purposes makes a lot more sense than this circular provision.</w:t>
            </w:r>
          </w:p>
          <w:p w14:paraId="3ED308F7" w14:textId="77777777" w:rsidR="0031165A" w:rsidRDefault="0031165A" w:rsidP="0031165A">
            <w:pPr>
              <w:pStyle w:val="ListParagraph"/>
              <w:rPr>
                <w:color w:val="1F4E79" w:themeColor="accent5" w:themeShade="80"/>
              </w:rPr>
            </w:pPr>
          </w:p>
          <w:p w14:paraId="638C0A18" w14:textId="77777777" w:rsidR="0031165A" w:rsidRDefault="0031165A" w:rsidP="001F1768">
            <w:pPr>
              <w:pStyle w:val="ListParagraph"/>
              <w:numPr>
                <w:ilvl w:val="0"/>
                <w:numId w:val="19"/>
              </w:numPr>
              <w:rPr>
                <w:color w:val="1F4E79" w:themeColor="accent5" w:themeShade="80"/>
              </w:rPr>
            </w:pPr>
            <w:r>
              <w:rPr>
                <w:color w:val="1F4E79" w:themeColor="accent5" w:themeShade="80"/>
              </w:rPr>
              <w:t xml:space="preserve">3(b) requires a technical assessment to assess whether domains are being used to perpetrate threats.  With single registrant TLDs, this makes little sense.  You are testing whether the TLD for which you are the registrant is being used to perpetrate threats.  In other words, you have to test whether you (or your affiliates) are using your own TLD for phishing, pharming, etc.  </w:t>
            </w:r>
            <w:r>
              <w:rPr>
                <w:color w:val="1F4E79" w:themeColor="accent5" w:themeShade="80"/>
              </w:rPr>
              <w:lastRenderedPageBreak/>
              <w:t>If one was going to use a TLD to perpetrate those threats, would having a testing requirement really lead to less abuse.  If a TLD operator were going to be malicious and perpetrate threats, why would it accurately perform technical assessments.</w:t>
            </w:r>
          </w:p>
          <w:p w14:paraId="0E6C2FD6" w14:textId="77777777" w:rsidR="0031165A" w:rsidRPr="0031165A" w:rsidRDefault="0031165A" w:rsidP="0031165A">
            <w:pPr>
              <w:pStyle w:val="ListParagraph"/>
              <w:rPr>
                <w:color w:val="1F4E79" w:themeColor="accent5" w:themeShade="80"/>
              </w:rPr>
            </w:pPr>
          </w:p>
          <w:p w14:paraId="3C8C0FDD" w14:textId="77777777" w:rsidR="0031165A" w:rsidRDefault="0031165A" w:rsidP="001F1768">
            <w:pPr>
              <w:pStyle w:val="ListParagraph"/>
              <w:numPr>
                <w:ilvl w:val="0"/>
                <w:numId w:val="19"/>
              </w:numPr>
              <w:rPr>
                <w:color w:val="1F4E79" w:themeColor="accent5" w:themeShade="80"/>
              </w:rPr>
            </w:pPr>
            <w:r>
              <w:rPr>
                <w:color w:val="1F4E79" w:themeColor="accent5" w:themeShade="80"/>
              </w:rPr>
              <w:t>3© requires you to operate consistent with principles of openness and non-discrimination…which is the very opposite of what a single registrant TLD is for.  This requirement makes no sense.</w:t>
            </w:r>
          </w:p>
          <w:p w14:paraId="64495BFD" w14:textId="77777777" w:rsidR="0031165A" w:rsidRPr="0031165A" w:rsidRDefault="0031165A" w:rsidP="0031165A">
            <w:pPr>
              <w:pStyle w:val="ListParagraph"/>
              <w:rPr>
                <w:color w:val="1F4E79" w:themeColor="accent5" w:themeShade="80"/>
              </w:rPr>
            </w:pPr>
          </w:p>
          <w:p w14:paraId="42EA4880" w14:textId="77777777" w:rsidR="0031165A" w:rsidRDefault="0031165A" w:rsidP="001F1768">
            <w:pPr>
              <w:pStyle w:val="ListParagraph"/>
              <w:numPr>
                <w:ilvl w:val="0"/>
                <w:numId w:val="19"/>
              </w:numPr>
              <w:rPr>
                <w:color w:val="1F4E79" w:themeColor="accent5" w:themeShade="80"/>
              </w:rPr>
            </w:pPr>
            <w:r>
              <w:rPr>
                <w:color w:val="1F4E79" w:themeColor="accent5" w:themeShade="80"/>
              </w:rPr>
              <w:t>3(d) requires no Closed Generics.  This will work itself out with whatever decision is made on closed generics.</w:t>
            </w:r>
          </w:p>
          <w:p w14:paraId="30EC2853" w14:textId="77777777" w:rsidR="0031165A" w:rsidRPr="0031165A" w:rsidRDefault="0031165A" w:rsidP="0031165A">
            <w:pPr>
              <w:pStyle w:val="ListParagraph"/>
              <w:rPr>
                <w:color w:val="1F4E79" w:themeColor="accent5" w:themeShade="80"/>
              </w:rPr>
            </w:pPr>
          </w:p>
          <w:p w14:paraId="6D7ABD39" w14:textId="4DD0D077" w:rsidR="0018724A" w:rsidRPr="0031165A" w:rsidRDefault="0031165A" w:rsidP="0018724A">
            <w:pPr>
              <w:rPr>
                <w:b/>
                <w:color w:val="1F4E79" w:themeColor="accent5" w:themeShade="80"/>
              </w:rPr>
            </w:pPr>
            <w:r>
              <w:rPr>
                <w:b/>
                <w:bCs/>
                <w:color w:val="1F4E79" w:themeColor="accent5" w:themeShade="80"/>
              </w:rPr>
              <w:t>In short, it is nearly impossible to see how the failure to include these PICs in Single Registrant TLDs will lead to abuse.</w:t>
            </w:r>
          </w:p>
        </w:tc>
      </w:tr>
      <w:tr w:rsidR="0018724A" w14:paraId="04D5CE19" w14:textId="77777777" w:rsidTr="0018724A">
        <w:trPr>
          <w:tblHeader/>
        </w:trPr>
        <w:tc>
          <w:tcPr>
            <w:tcW w:w="4316" w:type="dxa"/>
          </w:tcPr>
          <w:p w14:paraId="18D0B1AD" w14:textId="465A756F" w:rsidR="0018724A" w:rsidRDefault="00A62122" w:rsidP="0018724A">
            <w:r>
              <w:rPr>
                <w:b/>
              </w:rPr>
              <w:lastRenderedPageBreak/>
              <w:t>Recommendation 9.4</w:t>
            </w:r>
            <w:r>
              <w:t>: The Working Group recommends establishing a process to determine if an applied-for string falls into one of four groups defined by the NGPC framework for new gTLD strings deemed to be applicable to highly sensitive or regulated industries. This process must be</w:t>
            </w:r>
            <w:r>
              <w:rPr>
                <w:spacing w:val="-14"/>
              </w:rPr>
              <w:t xml:space="preserve"> </w:t>
            </w:r>
            <w:r>
              <w:t>included</w:t>
            </w:r>
            <w:r>
              <w:rPr>
                <w:spacing w:val="-8"/>
              </w:rPr>
              <w:t xml:space="preserve"> </w:t>
            </w:r>
            <w:r>
              <w:t>in</w:t>
            </w:r>
            <w:r>
              <w:rPr>
                <w:spacing w:val="-9"/>
              </w:rPr>
              <w:t xml:space="preserve"> </w:t>
            </w:r>
            <w:r>
              <w:t>the</w:t>
            </w:r>
            <w:r>
              <w:rPr>
                <w:spacing w:val="-14"/>
              </w:rPr>
              <w:t xml:space="preserve"> </w:t>
            </w:r>
            <w:r>
              <w:t>Applicant</w:t>
            </w:r>
            <w:r>
              <w:rPr>
                <w:spacing w:val="-8"/>
              </w:rPr>
              <w:t xml:space="preserve"> </w:t>
            </w:r>
            <w:r>
              <w:t>Guidebook along with information about the</w:t>
            </w:r>
            <w:r w:rsidR="00934D74">
              <w:t xml:space="preserve">  ramifications</w:t>
            </w:r>
            <w:r w:rsidR="00934D74">
              <w:rPr>
                <w:spacing w:val="-7"/>
              </w:rPr>
              <w:t xml:space="preserve"> </w:t>
            </w:r>
            <w:r w:rsidR="00934D74">
              <w:t>of</w:t>
            </w:r>
            <w:r w:rsidR="00934D74">
              <w:rPr>
                <w:spacing w:val="-7"/>
              </w:rPr>
              <w:t xml:space="preserve"> </w:t>
            </w:r>
            <w:r w:rsidR="00934D74">
              <w:t>a</w:t>
            </w:r>
            <w:r w:rsidR="00934D74">
              <w:rPr>
                <w:spacing w:val="-7"/>
              </w:rPr>
              <w:t xml:space="preserve"> </w:t>
            </w:r>
            <w:r w:rsidR="00934D74">
              <w:t>string</w:t>
            </w:r>
            <w:r w:rsidR="00934D74">
              <w:rPr>
                <w:spacing w:val="-7"/>
              </w:rPr>
              <w:t xml:space="preserve"> </w:t>
            </w:r>
            <w:r w:rsidR="00934D74">
              <w:t>being</w:t>
            </w:r>
            <w:r w:rsidR="00934D74">
              <w:rPr>
                <w:spacing w:val="-7"/>
              </w:rPr>
              <w:t xml:space="preserve"> </w:t>
            </w:r>
            <w:r w:rsidR="00934D74">
              <w:t>found</w:t>
            </w:r>
            <w:r w:rsidR="00934D74">
              <w:rPr>
                <w:spacing w:val="-7"/>
              </w:rPr>
              <w:t xml:space="preserve"> </w:t>
            </w:r>
            <w:r w:rsidR="00934D74">
              <w:t>to fall into one of the four groups.</w:t>
            </w:r>
          </w:p>
        </w:tc>
        <w:tc>
          <w:tcPr>
            <w:tcW w:w="4317" w:type="dxa"/>
          </w:tcPr>
          <w:p w14:paraId="193CF425" w14:textId="06EAAE85" w:rsidR="0018724A" w:rsidRDefault="00866796" w:rsidP="0018724A">
            <w:r>
              <w:t>See</w:t>
            </w:r>
            <w:r>
              <w:rPr>
                <w:spacing w:val="-9"/>
              </w:rPr>
              <w:t xml:space="preserve"> </w:t>
            </w:r>
            <w:r>
              <w:t>Recommendation</w:t>
            </w:r>
            <w:r>
              <w:rPr>
                <w:spacing w:val="-8"/>
              </w:rPr>
              <w:t xml:space="preserve"> </w:t>
            </w:r>
            <w:r>
              <w:rPr>
                <w:spacing w:val="-5"/>
              </w:rPr>
              <w:t>9.1</w:t>
            </w:r>
          </w:p>
        </w:tc>
        <w:tc>
          <w:tcPr>
            <w:tcW w:w="4317" w:type="dxa"/>
          </w:tcPr>
          <w:p w14:paraId="526EEF0E" w14:textId="7860237F" w:rsidR="0018724A" w:rsidRDefault="009E118C" w:rsidP="0018724A">
            <w:r>
              <w:t>See above</w:t>
            </w:r>
          </w:p>
        </w:tc>
      </w:tr>
      <w:tr w:rsidR="0018724A" w14:paraId="1E33EAF5" w14:textId="77777777" w:rsidTr="0018724A">
        <w:trPr>
          <w:tblHeader/>
        </w:trPr>
        <w:tc>
          <w:tcPr>
            <w:tcW w:w="4316" w:type="dxa"/>
          </w:tcPr>
          <w:p w14:paraId="47458035" w14:textId="4F1CA5CC" w:rsidR="0018724A" w:rsidRDefault="00F52317" w:rsidP="0018724A">
            <w:r>
              <w:rPr>
                <w:b/>
              </w:rPr>
              <w:t>Recommendation</w:t>
            </w:r>
            <w:r>
              <w:rPr>
                <w:b/>
                <w:spacing w:val="-1"/>
              </w:rPr>
              <w:t xml:space="preserve"> </w:t>
            </w:r>
            <w:r>
              <w:rPr>
                <w:b/>
              </w:rPr>
              <w:t>9.8</w:t>
            </w:r>
            <w:r>
              <w:t>:</w:t>
            </w:r>
            <w:r>
              <w:rPr>
                <w:spacing w:val="-1"/>
              </w:rPr>
              <w:t xml:space="preserve"> </w:t>
            </w:r>
            <w:r>
              <w:t>If</w:t>
            </w:r>
            <w:r>
              <w:rPr>
                <w:spacing w:val="-1"/>
              </w:rPr>
              <w:t xml:space="preserve"> </w:t>
            </w:r>
            <w:r>
              <w:t>an</w:t>
            </w:r>
            <w:r>
              <w:rPr>
                <w:spacing w:val="-1"/>
              </w:rPr>
              <w:t xml:space="preserve"> </w:t>
            </w:r>
            <w:r>
              <w:t xml:space="preserve">applied-for string is determined to fall into one of the </w:t>
            </w:r>
            <w:r>
              <w:lastRenderedPageBreak/>
              <w:t>four groups of strings applicable to highly sensitive or regulated industries, the</w:t>
            </w:r>
            <w:r>
              <w:rPr>
                <w:spacing w:val="-9"/>
              </w:rPr>
              <w:t xml:space="preserve"> </w:t>
            </w:r>
            <w:r>
              <w:t>relevant</w:t>
            </w:r>
            <w:r>
              <w:rPr>
                <w:spacing w:val="-9"/>
              </w:rPr>
              <w:t xml:space="preserve"> </w:t>
            </w:r>
            <w:r>
              <w:t>Category</w:t>
            </w:r>
            <w:r>
              <w:rPr>
                <w:spacing w:val="-9"/>
              </w:rPr>
              <w:t xml:space="preserve"> </w:t>
            </w:r>
            <w:r>
              <w:t>1</w:t>
            </w:r>
            <w:r>
              <w:rPr>
                <w:spacing w:val="-9"/>
              </w:rPr>
              <w:t xml:space="preserve"> </w:t>
            </w:r>
            <w:r>
              <w:t>Safeguards</w:t>
            </w:r>
            <w:r>
              <w:rPr>
                <w:spacing w:val="-9"/>
              </w:rPr>
              <w:t xml:space="preserve"> </w:t>
            </w:r>
            <w:r>
              <w:t>must be integrated into the Registry Agreement</w:t>
            </w:r>
            <w:r>
              <w:rPr>
                <w:spacing w:val="-3"/>
              </w:rPr>
              <w:t xml:space="preserve"> </w:t>
            </w:r>
            <w:r>
              <w:t>as</w:t>
            </w:r>
            <w:r>
              <w:rPr>
                <w:spacing w:val="-3"/>
              </w:rPr>
              <w:t xml:space="preserve"> </w:t>
            </w:r>
            <w:r>
              <w:t>mandatory</w:t>
            </w:r>
            <w:r>
              <w:rPr>
                <w:spacing w:val="-3"/>
              </w:rPr>
              <w:t xml:space="preserve"> </w:t>
            </w:r>
            <w:r>
              <w:t>Public</w:t>
            </w:r>
            <w:r>
              <w:rPr>
                <w:spacing w:val="-3"/>
              </w:rPr>
              <w:t xml:space="preserve"> </w:t>
            </w:r>
            <w:r>
              <w:t xml:space="preserve">Interest </w:t>
            </w:r>
            <w:r>
              <w:rPr>
                <w:spacing w:val="-2"/>
              </w:rPr>
              <w:t>Commitments.</w:t>
            </w:r>
          </w:p>
        </w:tc>
        <w:tc>
          <w:tcPr>
            <w:tcW w:w="4317" w:type="dxa"/>
          </w:tcPr>
          <w:p w14:paraId="505453B3" w14:textId="16279E51" w:rsidR="0018724A" w:rsidRDefault="00866796" w:rsidP="0018724A">
            <w:r>
              <w:lastRenderedPageBreak/>
              <w:t>See</w:t>
            </w:r>
            <w:r>
              <w:rPr>
                <w:spacing w:val="-9"/>
              </w:rPr>
              <w:t xml:space="preserve"> </w:t>
            </w:r>
            <w:r>
              <w:t>Recommendation</w:t>
            </w:r>
            <w:r>
              <w:rPr>
                <w:spacing w:val="-8"/>
              </w:rPr>
              <w:t xml:space="preserve"> </w:t>
            </w:r>
            <w:r>
              <w:rPr>
                <w:spacing w:val="-5"/>
              </w:rPr>
              <w:t>9.1</w:t>
            </w:r>
          </w:p>
        </w:tc>
        <w:tc>
          <w:tcPr>
            <w:tcW w:w="4317" w:type="dxa"/>
          </w:tcPr>
          <w:p w14:paraId="4E1BDE81" w14:textId="270A0841" w:rsidR="0018724A" w:rsidRDefault="009E118C" w:rsidP="0018724A">
            <w:r>
              <w:t>See Above.</w:t>
            </w:r>
          </w:p>
        </w:tc>
      </w:tr>
      <w:tr w:rsidR="00934D74" w14:paraId="4200B869" w14:textId="77777777" w:rsidTr="0018724A">
        <w:trPr>
          <w:tblHeader/>
        </w:trPr>
        <w:tc>
          <w:tcPr>
            <w:tcW w:w="4316" w:type="dxa"/>
          </w:tcPr>
          <w:p w14:paraId="147EB41E" w14:textId="3C51F50C" w:rsidR="00934D74" w:rsidRDefault="000D6085" w:rsidP="0018724A">
            <w:r>
              <w:rPr>
                <w:b/>
              </w:rPr>
              <w:t>Recommendation 9.9</w:t>
            </w:r>
            <w:r>
              <w:t>: ICANN must allow applicants to submit Registry Voluntary Commitments (RVCs) (previously called voluntary PICs) in subsequent rounds in their applications or to respond to public comments, objections, whether formal or informal, GAC Early Warnings, GAC Consensus Advice,</w:t>
            </w:r>
            <w:r>
              <w:rPr>
                <w:spacing w:val="-8"/>
              </w:rPr>
              <w:t xml:space="preserve"> </w:t>
            </w:r>
            <w:r>
              <w:t>and/or</w:t>
            </w:r>
            <w:r>
              <w:rPr>
                <w:spacing w:val="-8"/>
              </w:rPr>
              <w:t xml:space="preserve"> </w:t>
            </w:r>
            <w:r>
              <w:t>other</w:t>
            </w:r>
            <w:r>
              <w:rPr>
                <w:spacing w:val="-8"/>
              </w:rPr>
              <w:t xml:space="preserve"> </w:t>
            </w:r>
            <w:r>
              <w:t>comments</w:t>
            </w:r>
            <w:r>
              <w:rPr>
                <w:spacing w:val="-8"/>
              </w:rPr>
              <w:t xml:space="preserve"> </w:t>
            </w:r>
            <w:r>
              <w:t>from</w:t>
            </w:r>
            <w:r>
              <w:rPr>
                <w:spacing w:val="-8"/>
              </w:rPr>
              <w:t xml:space="preserve"> </w:t>
            </w:r>
            <w:r>
              <w:t>the GAC.</w:t>
            </w:r>
            <w:r>
              <w:rPr>
                <w:spacing w:val="-14"/>
              </w:rPr>
              <w:t xml:space="preserve"> </w:t>
            </w:r>
            <w:r>
              <w:t>Applicants</w:t>
            </w:r>
            <w:r>
              <w:rPr>
                <w:spacing w:val="-5"/>
              </w:rPr>
              <w:t xml:space="preserve"> </w:t>
            </w:r>
            <w:r>
              <w:t>must</w:t>
            </w:r>
            <w:r>
              <w:rPr>
                <w:spacing w:val="-4"/>
              </w:rPr>
              <w:t xml:space="preserve"> </w:t>
            </w:r>
            <w:r>
              <w:t>be</w:t>
            </w:r>
            <w:r>
              <w:rPr>
                <w:spacing w:val="-4"/>
              </w:rPr>
              <w:t xml:space="preserve"> </w:t>
            </w:r>
            <w:r>
              <w:t>able</w:t>
            </w:r>
            <w:r>
              <w:rPr>
                <w:spacing w:val="-4"/>
              </w:rPr>
              <w:t xml:space="preserve"> </w:t>
            </w:r>
            <w:r>
              <w:t>to</w:t>
            </w:r>
            <w:r>
              <w:rPr>
                <w:spacing w:val="-4"/>
              </w:rPr>
              <w:t xml:space="preserve"> </w:t>
            </w:r>
            <w:r>
              <w:t>submit RVCs at any time prior to the execution of a Registry Agreement; provided, however, that all RVCs submitted after the application submission date shall be considered</w:t>
            </w:r>
            <w:r>
              <w:rPr>
                <w:spacing w:val="-1"/>
              </w:rPr>
              <w:t xml:space="preserve"> </w:t>
            </w:r>
            <w:r>
              <w:t>Application Changes and be subject to the recommendation set forth under topic 20: Application Changes Requests, including, but not limited to,</w:t>
            </w:r>
            <w:r w:rsidR="00453F72">
              <w:t xml:space="preserve">  an operational comment period</w:t>
            </w:r>
            <w:r w:rsidR="00453F72">
              <w:rPr>
                <w:vertAlign w:val="superscript"/>
              </w:rPr>
              <w:t>5</w:t>
            </w:r>
            <w:r w:rsidR="00453F72">
              <w:t xml:space="preserve"> in accordance</w:t>
            </w:r>
            <w:r w:rsidR="00453F72">
              <w:rPr>
                <w:spacing w:val="-14"/>
              </w:rPr>
              <w:t xml:space="preserve"> </w:t>
            </w:r>
            <w:r w:rsidR="00453F72">
              <w:t>with</w:t>
            </w:r>
            <w:r w:rsidR="00453F72">
              <w:rPr>
                <w:spacing w:val="-14"/>
              </w:rPr>
              <w:t xml:space="preserve"> </w:t>
            </w:r>
            <w:r w:rsidR="00453F72">
              <w:t>ICANN’s</w:t>
            </w:r>
            <w:r w:rsidR="00453F72">
              <w:rPr>
                <w:spacing w:val="-14"/>
              </w:rPr>
              <w:t xml:space="preserve"> </w:t>
            </w:r>
            <w:r w:rsidR="00453F72">
              <w:t>standard procedures and timeframes.</w:t>
            </w:r>
          </w:p>
        </w:tc>
        <w:tc>
          <w:tcPr>
            <w:tcW w:w="4317" w:type="dxa"/>
          </w:tcPr>
          <w:p w14:paraId="5BD09D1E" w14:textId="0BE49CFE" w:rsidR="00934D74" w:rsidRDefault="00866796" w:rsidP="0018724A">
            <w:r>
              <w:t>See</w:t>
            </w:r>
            <w:r>
              <w:rPr>
                <w:spacing w:val="-9"/>
              </w:rPr>
              <w:t xml:space="preserve"> </w:t>
            </w:r>
            <w:r>
              <w:t>Recommendation</w:t>
            </w:r>
            <w:r>
              <w:rPr>
                <w:spacing w:val="-8"/>
              </w:rPr>
              <w:t xml:space="preserve"> </w:t>
            </w:r>
            <w:r>
              <w:rPr>
                <w:spacing w:val="-5"/>
              </w:rPr>
              <w:t>9.1</w:t>
            </w:r>
          </w:p>
        </w:tc>
        <w:tc>
          <w:tcPr>
            <w:tcW w:w="4317" w:type="dxa"/>
          </w:tcPr>
          <w:p w14:paraId="11E02AB3" w14:textId="77777777" w:rsidR="00934D74" w:rsidRDefault="009E118C" w:rsidP="0018724A">
            <w:pPr>
              <w:rPr>
                <w:color w:val="1F4E79" w:themeColor="accent5" w:themeShade="80"/>
              </w:rPr>
            </w:pPr>
            <w:r w:rsidRPr="009E118C">
              <w:rPr>
                <w:color w:val="1F4E79" w:themeColor="accent5" w:themeShade="80"/>
              </w:rPr>
              <w:t>See above. The point of this provision is to try and have applicants actually resolve their differences with objectors, the GAC, public comments, etc.  After all, if applicants can resolve its differences with those who have an objection to the application, why would we want to stand in the way of that?</w:t>
            </w:r>
          </w:p>
          <w:p w14:paraId="353784F7" w14:textId="77777777" w:rsidR="009E118C" w:rsidRDefault="009E118C" w:rsidP="0018724A">
            <w:pPr>
              <w:rPr>
                <w:color w:val="1F4E79" w:themeColor="accent5" w:themeShade="80"/>
              </w:rPr>
            </w:pPr>
          </w:p>
          <w:p w14:paraId="52401089" w14:textId="77777777" w:rsidR="009E118C" w:rsidRDefault="009E118C" w:rsidP="0018724A">
            <w:pPr>
              <w:rPr>
                <w:color w:val="1F4E79" w:themeColor="accent5" w:themeShade="80"/>
              </w:rPr>
            </w:pPr>
            <w:r w:rsidRPr="009E118C">
              <w:rPr>
                <w:color w:val="1F4E79" w:themeColor="accent5" w:themeShade="80"/>
              </w:rPr>
              <w:t>In the 2013 round, it was all or nothing.  If someone objected, there was no ability to modify proposals to alleviate concerns.  This lead to applications either getting rejected completely, or to applications going through as is with no attempt to resolve differences.  This in turn led to more disputes and of course more Independent Reviews which may have been able to have been resolved had a process like this been in place.  Ultimately, this is what ended up happening in .Amazon, where the parties eventually were forced to the table and try and resolve their differences.  It just took about 6 years to get there.</w:t>
            </w:r>
          </w:p>
          <w:p w14:paraId="3A2EA633" w14:textId="77777777" w:rsidR="009E118C" w:rsidRDefault="009E118C" w:rsidP="0018724A">
            <w:pPr>
              <w:rPr>
                <w:color w:val="1F4E79" w:themeColor="accent5" w:themeShade="80"/>
              </w:rPr>
            </w:pPr>
          </w:p>
          <w:p w14:paraId="6D2866E8" w14:textId="34C7352B" w:rsidR="00934D74" w:rsidRDefault="009E118C" w:rsidP="0018724A">
            <w:r>
              <w:rPr>
                <w:color w:val="1F4E79" w:themeColor="accent5" w:themeShade="80"/>
              </w:rPr>
              <w:t>This recommendation is a no-brainer to me personally that we need to figure out how to get into the program because it is the right thing to do.</w:t>
            </w:r>
          </w:p>
        </w:tc>
      </w:tr>
      <w:tr w:rsidR="00934D74" w14:paraId="10BB647F" w14:textId="77777777" w:rsidTr="0018724A">
        <w:trPr>
          <w:tblHeader/>
        </w:trPr>
        <w:tc>
          <w:tcPr>
            <w:tcW w:w="4316" w:type="dxa"/>
          </w:tcPr>
          <w:p w14:paraId="05D795BA" w14:textId="7C998557" w:rsidR="00934D74" w:rsidRDefault="00E61D3A" w:rsidP="00E61D3A">
            <w:r>
              <w:rPr>
                <w:b/>
              </w:rPr>
              <w:lastRenderedPageBreak/>
              <w:t>Recommendation 9.10</w:t>
            </w:r>
            <w:r>
              <w:t>: RVCs must continue</w:t>
            </w:r>
            <w:r>
              <w:rPr>
                <w:spacing w:val="-9"/>
              </w:rPr>
              <w:t xml:space="preserve"> </w:t>
            </w:r>
            <w:r>
              <w:t>to</w:t>
            </w:r>
            <w:r>
              <w:rPr>
                <w:spacing w:val="-9"/>
              </w:rPr>
              <w:t xml:space="preserve"> </w:t>
            </w:r>
            <w:r>
              <w:t>be</w:t>
            </w:r>
            <w:r>
              <w:rPr>
                <w:spacing w:val="-9"/>
              </w:rPr>
              <w:t xml:space="preserve"> </w:t>
            </w:r>
            <w:r>
              <w:t>included</w:t>
            </w:r>
            <w:r>
              <w:rPr>
                <w:spacing w:val="-9"/>
              </w:rPr>
              <w:t xml:space="preserve"> </w:t>
            </w:r>
            <w:r>
              <w:t>in</w:t>
            </w:r>
            <w:r>
              <w:rPr>
                <w:spacing w:val="-9"/>
              </w:rPr>
              <w:t xml:space="preserve"> </w:t>
            </w:r>
            <w:r>
              <w:t>the</w:t>
            </w:r>
            <w:r>
              <w:rPr>
                <w:spacing w:val="-9"/>
              </w:rPr>
              <w:t xml:space="preserve"> </w:t>
            </w:r>
            <w:r>
              <w:t>applicant’s Registry</w:t>
            </w:r>
            <w:r>
              <w:rPr>
                <w:spacing w:val="-12"/>
              </w:rPr>
              <w:t xml:space="preserve"> </w:t>
            </w:r>
            <w:r>
              <w:t>Agreement.</w:t>
            </w:r>
          </w:p>
        </w:tc>
        <w:tc>
          <w:tcPr>
            <w:tcW w:w="4317" w:type="dxa"/>
          </w:tcPr>
          <w:p w14:paraId="3A97C5BB" w14:textId="4D7ACEAE" w:rsidR="00934D74" w:rsidRDefault="00866796" w:rsidP="0018724A">
            <w:r>
              <w:t>See</w:t>
            </w:r>
            <w:r>
              <w:rPr>
                <w:spacing w:val="-9"/>
              </w:rPr>
              <w:t xml:space="preserve"> </w:t>
            </w:r>
            <w:r>
              <w:t>Recommendation</w:t>
            </w:r>
            <w:r>
              <w:rPr>
                <w:spacing w:val="-8"/>
              </w:rPr>
              <w:t xml:space="preserve"> </w:t>
            </w:r>
            <w:r>
              <w:rPr>
                <w:spacing w:val="-5"/>
              </w:rPr>
              <w:t>9.1</w:t>
            </w:r>
          </w:p>
        </w:tc>
        <w:tc>
          <w:tcPr>
            <w:tcW w:w="4317" w:type="dxa"/>
          </w:tcPr>
          <w:p w14:paraId="6B896382" w14:textId="4739E317" w:rsidR="00934D74" w:rsidRDefault="009E118C" w:rsidP="0018724A">
            <w:r>
              <w:t>See above.</w:t>
            </w:r>
          </w:p>
        </w:tc>
      </w:tr>
      <w:tr w:rsidR="00934D74" w14:paraId="1FBE29E4" w14:textId="77777777" w:rsidTr="0018724A">
        <w:trPr>
          <w:tblHeader/>
        </w:trPr>
        <w:tc>
          <w:tcPr>
            <w:tcW w:w="4316" w:type="dxa"/>
          </w:tcPr>
          <w:p w14:paraId="19676B1C" w14:textId="77172045" w:rsidR="00934D74" w:rsidRDefault="00000B7B" w:rsidP="0018724A">
            <w:r>
              <w:rPr>
                <w:b/>
              </w:rPr>
              <w:t>Recommendation 9.12</w:t>
            </w:r>
            <w:r>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w:t>
            </w:r>
            <w:r>
              <w:rPr>
                <w:spacing w:val="-10"/>
              </w:rPr>
              <w:t xml:space="preserve"> </w:t>
            </w:r>
            <w:r>
              <w:t>to</w:t>
            </w:r>
            <w:r>
              <w:rPr>
                <w:spacing w:val="-10"/>
              </w:rPr>
              <w:t xml:space="preserve"> </w:t>
            </w:r>
            <w:r>
              <w:t>a</w:t>
            </w:r>
            <w:r>
              <w:rPr>
                <w:spacing w:val="-10"/>
              </w:rPr>
              <w:t xml:space="preserve"> </w:t>
            </w:r>
            <w:r>
              <w:t>GAC</w:t>
            </w:r>
            <w:r>
              <w:rPr>
                <w:spacing w:val="-10"/>
              </w:rPr>
              <w:t xml:space="preserve"> </w:t>
            </w:r>
            <w:r>
              <w:t>Early</w:t>
            </w:r>
            <w:r>
              <w:rPr>
                <w:spacing w:val="-13"/>
              </w:rPr>
              <w:t xml:space="preserve"> </w:t>
            </w:r>
            <w:r>
              <w:t>Warning,</w:t>
            </w:r>
            <w:r>
              <w:rPr>
                <w:spacing w:val="-10"/>
              </w:rPr>
              <w:t xml:space="preserve"> </w:t>
            </w:r>
            <w:r>
              <w:t xml:space="preserve">GAC Consensus Advice, or other comments from the GAC)) to understand if the RVC addresses the underlying </w:t>
            </w:r>
            <w:r>
              <w:rPr>
                <w:spacing w:val="-2"/>
              </w:rPr>
              <w:t>concern(s).</w:t>
            </w:r>
          </w:p>
        </w:tc>
        <w:tc>
          <w:tcPr>
            <w:tcW w:w="4317" w:type="dxa"/>
          </w:tcPr>
          <w:p w14:paraId="2F84D343" w14:textId="7B642561" w:rsidR="00934D74" w:rsidRDefault="00866796" w:rsidP="0018724A">
            <w:r>
              <w:t>See</w:t>
            </w:r>
            <w:r>
              <w:rPr>
                <w:spacing w:val="-9"/>
              </w:rPr>
              <w:t xml:space="preserve"> </w:t>
            </w:r>
            <w:r>
              <w:t>Recommendation</w:t>
            </w:r>
            <w:r>
              <w:rPr>
                <w:spacing w:val="-8"/>
              </w:rPr>
              <w:t xml:space="preserve"> </w:t>
            </w:r>
            <w:r>
              <w:rPr>
                <w:spacing w:val="-5"/>
              </w:rPr>
              <w:t>9.1</w:t>
            </w:r>
          </w:p>
        </w:tc>
        <w:tc>
          <w:tcPr>
            <w:tcW w:w="4317" w:type="dxa"/>
          </w:tcPr>
          <w:p w14:paraId="15A96CC3" w14:textId="42C5A674" w:rsidR="00934D74" w:rsidRDefault="009E118C" w:rsidP="0018724A">
            <w:r>
              <w:t>See above.</w:t>
            </w:r>
          </w:p>
        </w:tc>
      </w:tr>
      <w:tr w:rsidR="00934D74" w14:paraId="6CC3AA6F" w14:textId="77777777" w:rsidTr="0018724A">
        <w:trPr>
          <w:tblHeader/>
        </w:trPr>
        <w:tc>
          <w:tcPr>
            <w:tcW w:w="4316" w:type="dxa"/>
          </w:tcPr>
          <w:p w14:paraId="629D7A93" w14:textId="4518201A" w:rsidR="00934D74" w:rsidRDefault="001606A5" w:rsidP="0018724A">
            <w:r>
              <w:rPr>
                <w:b/>
              </w:rPr>
              <w:t>Recommendation 9.13</w:t>
            </w:r>
            <w:r>
              <w:t>: In support of the</w:t>
            </w:r>
            <w:r>
              <w:rPr>
                <w:spacing w:val="-14"/>
              </w:rPr>
              <w:t xml:space="preserve"> </w:t>
            </w:r>
            <w:r>
              <w:t>principle</w:t>
            </w:r>
            <w:r>
              <w:rPr>
                <w:spacing w:val="-14"/>
              </w:rPr>
              <w:t xml:space="preserve"> </w:t>
            </w:r>
            <w:r>
              <w:t>of</w:t>
            </w:r>
            <w:r>
              <w:rPr>
                <w:spacing w:val="-14"/>
              </w:rPr>
              <w:t xml:space="preserve"> </w:t>
            </w:r>
            <w:r>
              <w:t>transparency,</w:t>
            </w:r>
            <w:r>
              <w:rPr>
                <w:spacing w:val="-13"/>
              </w:rPr>
              <w:t xml:space="preserve"> </w:t>
            </w:r>
            <w:r>
              <w:t>RVCs</w:t>
            </w:r>
            <w:r>
              <w:rPr>
                <w:spacing w:val="-14"/>
              </w:rPr>
              <w:t xml:space="preserve"> </w:t>
            </w:r>
            <w:r>
              <w:t>must be readily accessible and presented in a manner that is usable, as further</w:t>
            </w:r>
          </w:p>
        </w:tc>
        <w:tc>
          <w:tcPr>
            <w:tcW w:w="4317" w:type="dxa"/>
          </w:tcPr>
          <w:p w14:paraId="4E744107" w14:textId="7F3DA851" w:rsidR="00934D74" w:rsidRDefault="00866796" w:rsidP="0018724A">
            <w:r>
              <w:t>See</w:t>
            </w:r>
            <w:r>
              <w:rPr>
                <w:spacing w:val="-9"/>
              </w:rPr>
              <w:t xml:space="preserve"> </w:t>
            </w:r>
            <w:r>
              <w:t>Recommendation</w:t>
            </w:r>
            <w:r>
              <w:rPr>
                <w:spacing w:val="-8"/>
              </w:rPr>
              <w:t xml:space="preserve"> </w:t>
            </w:r>
            <w:r>
              <w:rPr>
                <w:spacing w:val="-5"/>
              </w:rPr>
              <w:t>9.1</w:t>
            </w:r>
          </w:p>
        </w:tc>
        <w:tc>
          <w:tcPr>
            <w:tcW w:w="4317" w:type="dxa"/>
          </w:tcPr>
          <w:p w14:paraId="5CEF8B66" w14:textId="4311D837" w:rsidR="00934D74" w:rsidRDefault="009E118C" w:rsidP="0018724A">
            <w:r>
              <w:t>See above.</w:t>
            </w:r>
          </w:p>
        </w:tc>
      </w:tr>
      <w:tr w:rsidR="00934D74" w14:paraId="1FB38B51" w14:textId="77777777" w:rsidTr="0018724A">
        <w:trPr>
          <w:tblHeader/>
        </w:trPr>
        <w:tc>
          <w:tcPr>
            <w:tcW w:w="4316" w:type="dxa"/>
          </w:tcPr>
          <w:p w14:paraId="123218F4" w14:textId="77777777" w:rsidR="00385E40" w:rsidRDefault="00385E40" w:rsidP="00385E40">
            <w:pPr>
              <w:pStyle w:val="TableParagraph"/>
              <w:spacing w:before="136"/>
              <w:ind w:left="0" w:right="177"/>
            </w:pPr>
            <w:r>
              <w:rPr>
                <w:b/>
              </w:rPr>
              <w:t>Recommendation 9.15</w:t>
            </w:r>
            <w:r>
              <w:t>: The Working Group</w:t>
            </w:r>
            <w:r>
              <w:rPr>
                <w:spacing w:val="-14"/>
              </w:rPr>
              <w:t xml:space="preserve"> </w:t>
            </w:r>
            <w:r>
              <w:t>acknowledges</w:t>
            </w:r>
            <w:r>
              <w:rPr>
                <w:spacing w:val="-14"/>
              </w:rPr>
              <w:t xml:space="preserve"> </w:t>
            </w:r>
            <w:r>
              <w:t>ongoing</w:t>
            </w:r>
            <w:r>
              <w:rPr>
                <w:spacing w:val="-13"/>
              </w:rPr>
              <w:t xml:space="preserve"> </w:t>
            </w:r>
            <w:r>
              <w:t>important work in the community on the topic of DNS abuse</w:t>
            </w:r>
            <w:r>
              <w:rPr>
                <w:vertAlign w:val="superscript"/>
              </w:rPr>
              <w:t>6</w:t>
            </w:r>
            <w: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w:t>
            </w:r>
            <w:r>
              <w:lastRenderedPageBreak/>
              <w:t>out those new gTLDs for disparate treatment in contravention of the ICANN Bylaws.</w:t>
            </w:r>
          </w:p>
          <w:p w14:paraId="3E46DB03" w14:textId="77777777" w:rsidR="00934D74" w:rsidRDefault="00385E40" w:rsidP="00385E40">
            <w:r>
              <w:t>Therefore, this PDP Working Group is not making any recommendations with respect</w:t>
            </w:r>
            <w:r>
              <w:rPr>
                <w:spacing w:val="-8"/>
              </w:rPr>
              <w:t xml:space="preserve"> </w:t>
            </w:r>
            <w:r>
              <w:t>to</w:t>
            </w:r>
            <w:r>
              <w:rPr>
                <w:spacing w:val="-8"/>
              </w:rPr>
              <w:t xml:space="preserve"> </w:t>
            </w:r>
            <w:r>
              <w:t>mitigating</w:t>
            </w:r>
            <w:r>
              <w:rPr>
                <w:spacing w:val="-8"/>
              </w:rPr>
              <w:t xml:space="preserve"> </w:t>
            </w:r>
            <w:r>
              <w:t>domain</w:t>
            </w:r>
            <w:r>
              <w:rPr>
                <w:spacing w:val="-8"/>
              </w:rPr>
              <w:t xml:space="preserve"> </w:t>
            </w:r>
            <w:r>
              <w:t>name</w:t>
            </w:r>
            <w:r>
              <w:rPr>
                <w:spacing w:val="-8"/>
              </w:rPr>
              <w:t xml:space="preserve"> </w:t>
            </w:r>
            <w:r>
              <w:t>abuse other than stating that any such future effort must apply to both existing and new gTLDs (and potentially ccTLDs).</w:t>
            </w:r>
          </w:p>
          <w:p w14:paraId="01E8F349" w14:textId="77777777" w:rsidR="001727B1" w:rsidRDefault="001727B1" w:rsidP="00385E40"/>
          <w:p w14:paraId="3CEE85B9" w14:textId="60C9E1A1" w:rsidR="001727B1" w:rsidRDefault="001727B1" w:rsidP="00385E40">
            <w:r>
              <w:t>The Working Group has reached this conclusion after duly considering the DNS abuse related CCT-RT Recommendations, which includes 14,</w:t>
            </w:r>
            <w:r>
              <w:rPr>
                <w:vertAlign w:val="superscript"/>
              </w:rPr>
              <w:t>7</w:t>
            </w:r>
            <w:r>
              <w:t xml:space="preserve"> 15,</w:t>
            </w:r>
            <w:r>
              <w:rPr>
                <w:vertAlign w:val="superscript"/>
              </w:rPr>
              <w:t>8</w:t>
            </w:r>
            <w:r>
              <w:t xml:space="preserve"> and 16</w:t>
            </w:r>
            <w:r>
              <w:rPr>
                <w:vertAlign w:val="superscript"/>
              </w:rPr>
              <w:t>9</w:t>
            </w:r>
            <w:r>
              <w:t>. Note, however, that at the time of the drafting of this report, the ICANN Board only approved Recommendation 16. Recommendations 14</w:t>
            </w:r>
            <w:r>
              <w:rPr>
                <w:spacing w:val="-7"/>
              </w:rPr>
              <w:t xml:space="preserve"> </w:t>
            </w:r>
            <w:r>
              <w:t>and</w:t>
            </w:r>
            <w:r>
              <w:rPr>
                <w:spacing w:val="-7"/>
              </w:rPr>
              <w:t xml:space="preserve"> </w:t>
            </w:r>
            <w:r>
              <w:t>15</w:t>
            </w:r>
            <w:r>
              <w:rPr>
                <w:spacing w:val="-7"/>
              </w:rPr>
              <w:t xml:space="preserve"> </w:t>
            </w:r>
            <w:r>
              <w:t>remain</w:t>
            </w:r>
            <w:r>
              <w:rPr>
                <w:spacing w:val="-7"/>
              </w:rPr>
              <w:t xml:space="preserve"> </w:t>
            </w:r>
            <w:r>
              <w:t>in</w:t>
            </w:r>
            <w:r>
              <w:rPr>
                <w:spacing w:val="-7"/>
              </w:rPr>
              <w:t xml:space="preserve"> </w:t>
            </w:r>
            <w:r>
              <w:t>a</w:t>
            </w:r>
            <w:r>
              <w:rPr>
                <w:spacing w:val="-7"/>
              </w:rPr>
              <w:t xml:space="preserve"> </w:t>
            </w:r>
            <w:r>
              <w:t>“Pending”</w:t>
            </w:r>
            <w:r>
              <w:rPr>
                <w:spacing w:val="-7"/>
              </w:rPr>
              <w:t xml:space="preserve"> </w:t>
            </w:r>
            <w:r>
              <w:t>status.</w:t>
            </w:r>
            <w:r>
              <w:rPr>
                <w:vertAlign w:val="superscript"/>
              </w:rPr>
              <w:t>10</w:t>
            </w:r>
          </w:p>
        </w:tc>
        <w:tc>
          <w:tcPr>
            <w:tcW w:w="4317" w:type="dxa"/>
          </w:tcPr>
          <w:p w14:paraId="258CCD6B" w14:textId="1916B09A" w:rsidR="00934D74" w:rsidRDefault="00090933" w:rsidP="00090933">
            <w:pPr>
              <w:jc w:val="both"/>
            </w:pPr>
            <w:r>
              <w:lastRenderedPageBreak/>
              <w:t>See</w:t>
            </w:r>
            <w:r>
              <w:rPr>
                <w:spacing w:val="-9"/>
              </w:rPr>
              <w:t xml:space="preserve"> </w:t>
            </w:r>
            <w:r>
              <w:t>Recommendation</w:t>
            </w:r>
            <w:r>
              <w:rPr>
                <w:spacing w:val="-8"/>
              </w:rPr>
              <w:t xml:space="preserve"> </w:t>
            </w:r>
            <w:r>
              <w:rPr>
                <w:spacing w:val="-5"/>
              </w:rPr>
              <w:t>9.1</w:t>
            </w:r>
          </w:p>
        </w:tc>
        <w:tc>
          <w:tcPr>
            <w:tcW w:w="4317" w:type="dxa"/>
          </w:tcPr>
          <w:p w14:paraId="25B15917" w14:textId="435DAB51" w:rsidR="00934D74" w:rsidRPr="009E118C" w:rsidRDefault="009E118C" w:rsidP="0018724A">
            <w:pPr>
              <w:rPr>
                <w:color w:val="1F4E79" w:themeColor="accent5" w:themeShade="80"/>
              </w:rPr>
            </w:pPr>
            <w:r>
              <w:rPr>
                <w:color w:val="1F4E79" w:themeColor="accent5" w:themeShade="80"/>
              </w:rPr>
              <w:t>Not sure why this recommendation was included as pending, but in either case, the community has moved beyond this and will have proposed changes to agreements to address this for ALL TLDs.</w:t>
            </w:r>
          </w:p>
        </w:tc>
      </w:tr>
      <w:tr w:rsidR="00AA6F12" w14:paraId="56D53FC6" w14:textId="77777777" w:rsidTr="00AA6F12">
        <w:trPr>
          <w:trHeight w:val="620"/>
          <w:tblHeader/>
        </w:trPr>
        <w:tc>
          <w:tcPr>
            <w:tcW w:w="12950" w:type="dxa"/>
            <w:gridSpan w:val="3"/>
            <w:shd w:val="clear" w:color="auto" w:fill="0D0D0D" w:themeFill="text1" w:themeFillTint="F2"/>
            <w:vAlign w:val="center"/>
          </w:tcPr>
          <w:p w14:paraId="653C56A7" w14:textId="550EA270" w:rsidR="00AA6F12" w:rsidRPr="00AA6F12" w:rsidRDefault="00AA6F12" w:rsidP="0018724A">
            <w:pPr>
              <w:rPr>
                <w:b/>
                <w:bCs/>
                <w:color w:val="FFFFFF" w:themeColor="background1"/>
              </w:rPr>
            </w:pPr>
            <w:r w:rsidRPr="00AA6F12">
              <w:rPr>
                <w:b/>
                <w:bCs/>
                <w:color w:val="FFFFFF" w:themeColor="background1"/>
              </w:rPr>
              <w:t>Topic 16:  Applicant Submission Period</w:t>
            </w:r>
          </w:p>
        </w:tc>
      </w:tr>
      <w:tr w:rsidR="00934D74" w14:paraId="6E4C1FD1" w14:textId="77777777" w:rsidTr="004A76AC">
        <w:trPr>
          <w:trHeight w:val="2060"/>
          <w:tblHeader/>
        </w:trPr>
        <w:tc>
          <w:tcPr>
            <w:tcW w:w="4316" w:type="dxa"/>
          </w:tcPr>
          <w:p w14:paraId="03CE0CAB" w14:textId="68AC7181" w:rsidR="00934D74" w:rsidRDefault="005A2D2B" w:rsidP="0018724A">
            <w:r>
              <w:rPr>
                <w:b/>
              </w:rPr>
              <w:t>Recommendation</w:t>
            </w:r>
            <w:r>
              <w:rPr>
                <w:b/>
                <w:spacing w:val="-14"/>
              </w:rPr>
              <w:t xml:space="preserve"> </w:t>
            </w:r>
            <w:r>
              <w:rPr>
                <w:b/>
              </w:rPr>
              <w:t>16.1</w:t>
            </w:r>
            <w:r>
              <w:t>:</w:t>
            </w:r>
            <w:r>
              <w:rPr>
                <w:spacing w:val="-14"/>
              </w:rPr>
              <w:t xml:space="preserve"> </w:t>
            </w:r>
            <w:r>
              <w:t>The</w:t>
            </w:r>
            <w:r>
              <w:rPr>
                <w:spacing w:val="-14"/>
              </w:rPr>
              <w:t xml:space="preserve"> </w:t>
            </w:r>
            <w:r>
              <w:t>Working Group recommends that for the next</w:t>
            </w:r>
            <w:r w:rsidR="00DC1F8D">
              <w:t xml:space="preserve"> application window and subsequent application windows, absent “extenuating or extraordinary” circumstances, the application submission</w:t>
            </w:r>
            <w:r w:rsidR="00DC1F8D">
              <w:rPr>
                <w:spacing w:val="-8"/>
              </w:rPr>
              <w:t xml:space="preserve"> </w:t>
            </w:r>
            <w:r w:rsidR="00DC1F8D">
              <w:t>period</w:t>
            </w:r>
            <w:r w:rsidR="00DC1F8D">
              <w:rPr>
                <w:spacing w:val="-8"/>
              </w:rPr>
              <w:t xml:space="preserve"> </w:t>
            </w:r>
            <w:r w:rsidR="00DC1F8D">
              <w:t>must</w:t>
            </w:r>
            <w:r w:rsidR="00DC1F8D">
              <w:rPr>
                <w:spacing w:val="-8"/>
              </w:rPr>
              <w:t xml:space="preserve"> </w:t>
            </w:r>
            <w:r w:rsidR="00DC1F8D">
              <w:t>be</w:t>
            </w:r>
            <w:r w:rsidR="00DC1F8D">
              <w:rPr>
                <w:spacing w:val="-8"/>
              </w:rPr>
              <w:t xml:space="preserve"> </w:t>
            </w:r>
            <w:r w:rsidR="00DC1F8D">
              <w:t>a</w:t>
            </w:r>
            <w:r w:rsidR="00DC1F8D">
              <w:rPr>
                <w:spacing w:val="-8"/>
              </w:rPr>
              <w:t xml:space="preserve"> </w:t>
            </w:r>
            <w:r w:rsidR="00DC1F8D">
              <w:t xml:space="preserve">minimum of 12 and a maximum of 15 weeks in </w:t>
            </w:r>
            <w:r w:rsidR="00DC1F8D">
              <w:rPr>
                <w:spacing w:val="-2"/>
              </w:rPr>
              <w:t>length.</w:t>
            </w:r>
          </w:p>
        </w:tc>
        <w:tc>
          <w:tcPr>
            <w:tcW w:w="4317" w:type="dxa"/>
          </w:tcPr>
          <w:p w14:paraId="12C8B5E5" w14:textId="599B73FE" w:rsidR="00934D74" w:rsidRDefault="002F0E2E" w:rsidP="0018724A">
            <w:r>
              <w:t>The</w:t>
            </w:r>
            <w:r>
              <w:rPr>
                <w:spacing w:val="-6"/>
              </w:rPr>
              <w:t xml:space="preserve"> </w:t>
            </w:r>
            <w:r>
              <w:t>Board</w:t>
            </w:r>
            <w:r>
              <w:rPr>
                <w:spacing w:val="-6"/>
              </w:rPr>
              <w:t xml:space="preserve"> </w:t>
            </w:r>
            <w:r>
              <w:t>is</w:t>
            </w:r>
            <w:r>
              <w:rPr>
                <w:spacing w:val="-6"/>
              </w:rPr>
              <w:t xml:space="preserve"> </w:t>
            </w:r>
            <w:r>
              <w:t>concerned</w:t>
            </w:r>
            <w:r>
              <w:rPr>
                <w:spacing w:val="-6"/>
              </w:rPr>
              <w:t xml:space="preserve"> </w:t>
            </w:r>
            <w:r>
              <w:t>that</w:t>
            </w:r>
            <w:r>
              <w:rPr>
                <w:spacing w:val="-6"/>
              </w:rPr>
              <w:t xml:space="preserve"> </w:t>
            </w:r>
            <w:r>
              <w:t>the</w:t>
            </w:r>
            <w:r>
              <w:rPr>
                <w:spacing w:val="-6"/>
              </w:rPr>
              <w:t xml:space="preserve"> </w:t>
            </w:r>
            <w:r>
              <w:t>time</w:t>
            </w:r>
            <w:r>
              <w:rPr>
                <w:spacing w:val="-6"/>
              </w:rPr>
              <w:t xml:space="preserve"> </w:t>
            </w:r>
            <w:r>
              <w:t>period</w:t>
            </w:r>
            <w:r>
              <w:rPr>
                <w:spacing w:val="-6"/>
              </w:rPr>
              <w:t xml:space="preserve"> </w:t>
            </w:r>
            <w:r>
              <w:t>provided in this recommendation could be too limiting for</w:t>
            </w:r>
            <w:r w:rsidR="00102263">
              <w:t xml:space="preserve">  future</w:t>
            </w:r>
            <w:r w:rsidR="00102263">
              <w:rPr>
                <w:spacing w:val="-6"/>
              </w:rPr>
              <w:t xml:space="preserve"> </w:t>
            </w:r>
            <w:r w:rsidR="00102263">
              <w:rPr>
                <w:spacing w:val="-2"/>
              </w:rPr>
              <w:t>rounds.</w:t>
            </w:r>
          </w:p>
        </w:tc>
        <w:tc>
          <w:tcPr>
            <w:tcW w:w="4317" w:type="dxa"/>
          </w:tcPr>
          <w:p w14:paraId="38F6C764" w14:textId="24954720" w:rsidR="00934D74" w:rsidRPr="009E118C" w:rsidRDefault="009E118C" w:rsidP="0018724A">
            <w:pPr>
              <w:rPr>
                <w:color w:val="1F4E79" w:themeColor="accent5" w:themeShade="80"/>
              </w:rPr>
            </w:pPr>
            <w:r>
              <w:rPr>
                <w:color w:val="1F4E79" w:themeColor="accent5" w:themeShade="80"/>
              </w:rPr>
              <w:t>Perhaps, the Board can approve this recommendation for the next round (as it was approximately the time period used in 2012), and hold its judgement for future rounds.  In other words, treat this as two separate recommendations for now.</w:t>
            </w:r>
          </w:p>
        </w:tc>
      </w:tr>
    </w:tbl>
    <w:tbl>
      <w:tblPr>
        <w:tblW w:w="1296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20"/>
        <w:gridCol w:w="4320"/>
        <w:gridCol w:w="4327"/>
      </w:tblGrid>
      <w:tr w:rsidR="004A76AC" w14:paraId="568F82F9" w14:textId="77777777" w:rsidTr="004A76AC">
        <w:trPr>
          <w:trHeight w:val="535"/>
        </w:trPr>
        <w:tc>
          <w:tcPr>
            <w:tcW w:w="8640" w:type="dxa"/>
            <w:gridSpan w:val="2"/>
            <w:shd w:val="clear" w:color="auto" w:fill="000000"/>
          </w:tcPr>
          <w:p w14:paraId="589C55A0" w14:textId="77777777" w:rsidR="004A76AC" w:rsidRDefault="004A76AC" w:rsidP="00C511EC">
            <w:pPr>
              <w:pStyle w:val="TableParagraph"/>
              <w:spacing w:before="141"/>
              <w:rPr>
                <w:b/>
              </w:rPr>
            </w:pPr>
            <w:r>
              <w:rPr>
                <w:b/>
                <w:color w:val="FFFFFF"/>
                <w:spacing w:val="-2"/>
              </w:rPr>
              <w:t>Topic</w:t>
            </w:r>
            <w:r>
              <w:rPr>
                <w:b/>
                <w:color w:val="FFFFFF"/>
                <w:spacing w:val="-1"/>
              </w:rPr>
              <w:t xml:space="preserve"> </w:t>
            </w:r>
            <w:r>
              <w:rPr>
                <w:b/>
                <w:color w:val="FFFFFF"/>
                <w:spacing w:val="-2"/>
              </w:rPr>
              <w:t>17:</w:t>
            </w:r>
            <w:r>
              <w:rPr>
                <w:b/>
                <w:color w:val="FFFFFF"/>
                <w:spacing w:val="-13"/>
              </w:rPr>
              <w:t xml:space="preserve"> </w:t>
            </w:r>
            <w:r>
              <w:rPr>
                <w:b/>
                <w:color w:val="FFFFFF"/>
                <w:spacing w:val="-2"/>
              </w:rPr>
              <w:t>Applicant</w:t>
            </w:r>
            <w:r>
              <w:rPr>
                <w:b/>
                <w:color w:val="FFFFFF"/>
                <w:spacing w:val="-1"/>
              </w:rPr>
              <w:t xml:space="preserve"> </w:t>
            </w:r>
            <w:r>
              <w:rPr>
                <w:b/>
                <w:color w:val="FFFFFF"/>
                <w:spacing w:val="-2"/>
              </w:rPr>
              <w:t>Support</w:t>
            </w:r>
          </w:p>
        </w:tc>
        <w:tc>
          <w:tcPr>
            <w:tcW w:w="4327" w:type="dxa"/>
            <w:shd w:val="clear" w:color="auto" w:fill="000000"/>
          </w:tcPr>
          <w:p w14:paraId="008DAF6C" w14:textId="77777777" w:rsidR="004A76AC" w:rsidRDefault="004A76AC" w:rsidP="00C511EC">
            <w:pPr>
              <w:pStyle w:val="TableParagraph"/>
              <w:ind w:left="0"/>
            </w:pPr>
          </w:p>
        </w:tc>
      </w:tr>
      <w:tr w:rsidR="004A76AC" w14:paraId="5342F54D" w14:textId="77777777" w:rsidTr="004A76AC">
        <w:trPr>
          <w:trHeight w:val="2554"/>
        </w:trPr>
        <w:tc>
          <w:tcPr>
            <w:tcW w:w="4320" w:type="dxa"/>
          </w:tcPr>
          <w:p w14:paraId="5AA061E6" w14:textId="77777777" w:rsidR="004A76AC" w:rsidRDefault="004A76AC" w:rsidP="00C511EC">
            <w:pPr>
              <w:pStyle w:val="TableParagraph"/>
              <w:spacing w:before="144"/>
              <w:ind w:right="220"/>
            </w:pPr>
            <w:r>
              <w:rPr>
                <w:b/>
              </w:rPr>
              <w:lastRenderedPageBreak/>
              <w:t>Recommendation 17.2</w:t>
            </w:r>
            <w:r>
              <w:t>: The Working Group recommends expanding the scope of financial support provided to Applicant Support Program beneficiaries</w:t>
            </w:r>
            <w:r>
              <w:rPr>
                <w:spacing w:val="-10"/>
              </w:rPr>
              <w:t xml:space="preserve"> </w:t>
            </w:r>
            <w:r>
              <w:t>beyond</w:t>
            </w:r>
            <w:r>
              <w:rPr>
                <w:spacing w:val="-10"/>
              </w:rPr>
              <w:t xml:space="preserve"> </w:t>
            </w:r>
            <w:r>
              <w:t>the</w:t>
            </w:r>
            <w:r>
              <w:rPr>
                <w:spacing w:val="-10"/>
              </w:rPr>
              <w:t xml:space="preserve"> </w:t>
            </w:r>
            <w:r>
              <w:t>application</w:t>
            </w:r>
            <w:r>
              <w:rPr>
                <w:spacing w:val="-10"/>
              </w:rPr>
              <w:t xml:space="preserve"> </w:t>
            </w:r>
            <w:r>
              <w:t>fee to also cover costs such as application writing</w:t>
            </w:r>
            <w:r>
              <w:rPr>
                <w:spacing w:val="-3"/>
              </w:rPr>
              <w:t xml:space="preserve"> </w:t>
            </w:r>
            <w:r>
              <w:t>fees</w:t>
            </w:r>
            <w:r>
              <w:rPr>
                <w:spacing w:val="-3"/>
              </w:rPr>
              <w:t xml:space="preserve"> </w:t>
            </w:r>
            <w:r>
              <w:t>and</w:t>
            </w:r>
            <w:r>
              <w:rPr>
                <w:spacing w:val="-3"/>
              </w:rPr>
              <w:t xml:space="preserve"> </w:t>
            </w:r>
            <w:r>
              <w:t>attorney</w:t>
            </w:r>
            <w:r>
              <w:rPr>
                <w:spacing w:val="-3"/>
              </w:rPr>
              <w:t xml:space="preserve"> </w:t>
            </w:r>
            <w:r>
              <w:t>fees</w:t>
            </w:r>
            <w:r>
              <w:rPr>
                <w:spacing w:val="-3"/>
              </w:rPr>
              <w:t xml:space="preserve"> </w:t>
            </w:r>
            <w:r>
              <w:t>related</w:t>
            </w:r>
            <w:r>
              <w:rPr>
                <w:spacing w:val="-3"/>
              </w:rPr>
              <w:t xml:space="preserve"> </w:t>
            </w:r>
            <w:r>
              <w:t>to the application process.</w:t>
            </w:r>
          </w:p>
        </w:tc>
        <w:tc>
          <w:tcPr>
            <w:tcW w:w="4320" w:type="dxa"/>
          </w:tcPr>
          <w:p w14:paraId="55D898E2" w14:textId="77777777" w:rsidR="004A76AC" w:rsidRDefault="004A76AC" w:rsidP="00C511EC">
            <w:pPr>
              <w:pStyle w:val="TableParagraph"/>
              <w:spacing w:before="144"/>
              <w:ind w:left="147" w:right="268"/>
            </w:pPr>
            <w:r>
              <w:t>The</w:t>
            </w:r>
            <w:r>
              <w:rPr>
                <w:spacing w:val="-7"/>
              </w:rPr>
              <w:t xml:space="preserve"> </w:t>
            </w:r>
            <w:r>
              <w:t>Board</w:t>
            </w:r>
            <w:r>
              <w:rPr>
                <w:spacing w:val="-7"/>
              </w:rPr>
              <w:t xml:space="preserve"> </w:t>
            </w:r>
            <w:r>
              <w:t>remains</w:t>
            </w:r>
            <w:r>
              <w:rPr>
                <w:spacing w:val="-7"/>
              </w:rPr>
              <w:t xml:space="preserve"> </w:t>
            </w:r>
            <w:r>
              <w:t>concerned,</w:t>
            </w:r>
            <w:r>
              <w:rPr>
                <w:spacing w:val="-7"/>
              </w:rPr>
              <w:t xml:space="preserve"> </w:t>
            </w:r>
            <w:r>
              <w:t>as</w:t>
            </w:r>
            <w:r>
              <w:rPr>
                <w:spacing w:val="-7"/>
              </w:rPr>
              <w:t xml:space="preserve"> </w:t>
            </w:r>
            <w:r>
              <w:t>previously</w:t>
            </w:r>
            <w:r>
              <w:rPr>
                <w:spacing w:val="-7"/>
              </w:rPr>
              <w:t xml:space="preserve"> </w:t>
            </w:r>
            <w:r>
              <w:t xml:space="preserve">voiced as part of its </w:t>
            </w:r>
            <w:hyperlink r:id="rId12">
              <w:r>
                <w:rPr>
                  <w:color w:val="1154CC"/>
                  <w:u w:val="thick" w:color="1154CC"/>
                </w:rPr>
                <w:t>comment on the Draft Final Repor</w:t>
              </w:r>
            </w:hyperlink>
            <w:r>
              <w:t>t, over the open ended nature of these fees as affirmative payments of costs beyond application fees could raise fiduciary concerns for the Board.</w:t>
            </w:r>
          </w:p>
          <w:p w14:paraId="716DF841" w14:textId="77777777" w:rsidR="004A76AC" w:rsidRDefault="004A76AC" w:rsidP="00C511EC">
            <w:pPr>
              <w:pStyle w:val="TableParagraph"/>
              <w:ind w:left="0"/>
            </w:pPr>
          </w:p>
          <w:p w14:paraId="19A1C80A" w14:textId="14346DAD" w:rsidR="004A76AC" w:rsidRDefault="004A76AC" w:rsidP="004A76AC">
            <w:pPr>
              <w:pStyle w:val="TableParagraph"/>
              <w:ind w:left="147"/>
            </w:pPr>
            <w:r>
              <w:t>Note,</w:t>
            </w:r>
            <w:r>
              <w:rPr>
                <w:spacing w:val="-8"/>
              </w:rPr>
              <w:t xml:space="preserve"> </w:t>
            </w:r>
            <w:r>
              <w:t>this</w:t>
            </w:r>
            <w:r>
              <w:rPr>
                <w:spacing w:val="-5"/>
              </w:rPr>
              <w:t xml:space="preserve"> </w:t>
            </w:r>
            <w:r>
              <w:t>concern</w:t>
            </w:r>
            <w:r>
              <w:rPr>
                <w:spacing w:val="-6"/>
              </w:rPr>
              <w:t xml:space="preserve"> </w:t>
            </w:r>
            <w:r>
              <w:t>does</w:t>
            </w:r>
            <w:r>
              <w:rPr>
                <w:spacing w:val="-5"/>
              </w:rPr>
              <w:t xml:space="preserve"> </w:t>
            </w:r>
            <w:r>
              <w:t>not</w:t>
            </w:r>
            <w:r>
              <w:rPr>
                <w:spacing w:val="-5"/>
              </w:rPr>
              <w:t xml:space="preserve"> </w:t>
            </w:r>
            <w:r>
              <w:t>extend</w:t>
            </w:r>
            <w:r>
              <w:rPr>
                <w:spacing w:val="-6"/>
              </w:rPr>
              <w:t xml:space="preserve"> </w:t>
            </w:r>
            <w:r>
              <w:t>to</w:t>
            </w:r>
            <w:r>
              <w:rPr>
                <w:spacing w:val="-5"/>
              </w:rPr>
              <w:t xml:space="preserve"> </w:t>
            </w:r>
            <w:r>
              <w:t>facilitation</w:t>
            </w:r>
            <w:r>
              <w:rPr>
                <w:spacing w:val="-5"/>
              </w:rPr>
              <w:t xml:space="preserve"> of </w:t>
            </w:r>
            <w:r>
              <w:rPr>
                <w:i/>
              </w:rPr>
              <w:t>pro</w:t>
            </w:r>
            <w:r>
              <w:rPr>
                <w:i/>
                <w:spacing w:val="-8"/>
              </w:rPr>
              <w:t xml:space="preserve"> </w:t>
            </w:r>
            <w:r>
              <w:rPr>
                <w:i/>
              </w:rPr>
              <w:t>bono</w:t>
            </w:r>
            <w:r>
              <w:rPr>
                <w:i/>
                <w:spacing w:val="-7"/>
              </w:rPr>
              <w:t xml:space="preserve"> </w:t>
            </w:r>
            <w:r>
              <w:rPr>
                <w:spacing w:val="-2"/>
              </w:rPr>
              <w:t>services.</w:t>
            </w:r>
          </w:p>
        </w:tc>
        <w:tc>
          <w:tcPr>
            <w:tcW w:w="4327" w:type="dxa"/>
          </w:tcPr>
          <w:p w14:paraId="23FAB5A1" w14:textId="77777777" w:rsidR="004A76AC" w:rsidRDefault="00CF4C05" w:rsidP="00C511EC">
            <w:pPr>
              <w:pStyle w:val="TableParagraph"/>
              <w:spacing w:before="144"/>
              <w:ind w:left="142"/>
              <w:rPr>
                <w:color w:val="1F4E79" w:themeColor="accent5" w:themeShade="80"/>
              </w:rPr>
            </w:pPr>
            <w:r>
              <w:rPr>
                <w:color w:val="1F4E79" w:themeColor="accent5" w:themeShade="80"/>
              </w:rPr>
              <w:t xml:space="preserve">I personally believe that this can be implemented </w:t>
            </w:r>
            <w:r w:rsidR="00A23994">
              <w:rPr>
                <w:color w:val="1F4E79" w:themeColor="accent5" w:themeShade="80"/>
              </w:rPr>
              <w:t xml:space="preserve">as a form of “reimbursement” for selected applicants that use approved vendors.  That reimbursement </w:t>
            </w:r>
            <w:r w:rsidR="00C264E4">
              <w:rPr>
                <w:color w:val="1F4E79" w:themeColor="accent5" w:themeShade="80"/>
              </w:rPr>
              <w:t xml:space="preserve">can be capped at a certain amount.  For example, ICANN could have its referral page for service providers and assign an amount for which the applicant must provide receipts to get those reimbursements.  An illustration may be that ICANN offers up to $25k in reimbursement for an “approved” providers application drafting services.  Or that ever year, ICANN will waive its annual fees for qualifying registries, etc.  </w:t>
            </w:r>
          </w:p>
          <w:p w14:paraId="52B3AA03" w14:textId="518E16CC" w:rsidR="00C264E4" w:rsidRDefault="00C264E4" w:rsidP="00C511EC">
            <w:pPr>
              <w:pStyle w:val="TableParagraph"/>
              <w:spacing w:before="144"/>
              <w:ind w:left="142"/>
              <w:rPr>
                <w:color w:val="1F4E79" w:themeColor="accent5" w:themeShade="80"/>
              </w:rPr>
            </w:pPr>
          </w:p>
          <w:p w14:paraId="530D648D" w14:textId="36DF7BC4" w:rsidR="00C264E4" w:rsidRDefault="00C264E4" w:rsidP="00C511EC">
            <w:pPr>
              <w:pStyle w:val="TableParagraph"/>
              <w:spacing w:before="144"/>
              <w:ind w:left="142"/>
              <w:rPr>
                <w:color w:val="1F4E79" w:themeColor="accent5" w:themeShade="80"/>
              </w:rPr>
            </w:pPr>
            <w:r>
              <w:rPr>
                <w:color w:val="1F4E79" w:themeColor="accent5" w:themeShade="80"/>
              </w:rPr>
              <w:t>There are a lot of creative ways in which programs like these could be carried out without being so open ended.</w:t>
            </w:r>
          </w:p>
          <w:p w14:paraId="6E83D9AF" w14:textId="64169DE1" w:rsidR="004A76AC" w:rsidRPr="00CF4C05" w:rsidRDefault="004A76AC" w:rsidP="00C511EC">
            <w:pPr>
              <w:pStyle w:val="TableParagraph"/>
              <w:spacing w:before="144"/>
              <w:ind w:left="142"/>
              <w:rPr>
                <w:color w:val="1F4E79" w:themeColor="accent5" w:themeShade="80"/>
              </w:rPr>
            </w:pPr>
          </w:p>
        </w:tc>
      </w:tr>
    </w:tbl>
    <w:tbl>
      <w:tblPr>
        <w:tblStyle w:val="TableGrid"/>
        <w:tblpPr w:leftFromText="180" w:rightFromText="180" w:vertAnchor="text" w:tblpY="1"/>
        <w:tblOverlap w:val="never"/>
        <w:tblW w:w="0" w:type="auto"/>
        <w:tblLook w:val="0480" w:firstRow="0" w:lastRow="0" w:firstColumn="1" w:lastColumn="0" w:noHBand="0" w:noVBand="1"/>
      </w:tblPr>
      <w:tblGrid>
        <w:gridCol w:w="4316"/>
        <w:gridCol w:w="4317"/>
        <w:gridCol w:w="4317"/>
      </w:tblGrid>
      <w:tr w:rsidR="0081180A" w14:paraId="0796846E" w14:textId="77777777" w:rsidTr="00917143">
        <w:trPr>
          <w:trHeight w:val="710"/>
          <w:tblHeader/>
        </w:trPr>
        <w:tc>
          <w:tcPr>
            <w:tcW w:w="12950" w:type="dxa"/>
            <w:gridSpan w:val="3"/>
            <w:shd w:val="clear" w:color="auto" w:fill="0D0D0D" w:themeFill="text1" w:themeFillTint="F2"/>
            <w:vAlign w:val="center"/>
          </w:tcPr>
          <w:p w14:paraId="66954575" w14:textId="082A03C3" w:rsidR="0081180A" w:rsidRPr="0081180A" w:rsidRDefault="0081180A" w:rsidP="0018724A">
            <w:pPr>
              <w:rPr>
                <w:b/>
                <w:bCs/>
              </w:rPr>
            </w:pPr>
            <w:r w:rsidRPr="0081180A">
              <w:rPr>
                <w:b/>
                <w:bCs/>
              </w:rPr>
              <w:lastRenderedPageBreak/>
              <w:t>Topic 18: Terms and Conditions</w:t>
            </w:r>
          </w:p>
        </w:tc>
      </w:tr>
      <w:tr w:rsidR="0081180A" w14:paraId="65F55A74" w14:textId="77777777" w:rsidTr="00D1748D">
        <w:trPr>
          <w:trHeight w:val="4670"/>
          <w:tblHeader/>
        </w:trPr>
        <w:tc>
          <w:tcPr>
            <w:tcW w:w="4316" w:type="dxa"/>
          </w:tcPr>
          <w:p w14:paraId="30688E50" w14:textId="0ECC0BA2" w:rsidR="0081180A" w:rsidRDefault="00EF425F" w:rsidP="0018724A">
            <w:r>
              <w:rPr>
                <w:b/>
              </w:rPr>
              <w:t>Recommendation</w:t>
            </w:r>
            <w:r>
              <w:rPr>
                <w:b/>
                <w:spacing w:val="-14"/>
              </w:rPr>
              <w:t xml:space="preserve"> </w:t>
            </w:r>
            <w:r>
              <w:rPr>
                <w:b/>
              </w:rPr>
              <w:t>18.1</w:t>
            </w:r>
            <w:r>
              <w:t>:</w:t>
            </w:r>
            <w:r>
              <w:rPr>
                <w:spacing w:val="-14"/>
              </w:rPr>
              <w:t xml:space="preserve"> </w:t>
            </w:r>
            <w:r>
              <w:t>Unless</w:t>
            </w:r>
            <w:r>
              <w:rPr>
                <w:spacing w:val="-13"/>
              </w:rPr>
              <w:t xml:space="preserve"> </w:t>
            </w:r>
            <w:r>
              <w:t>required by specific laws, ICANN Board members’ fiduciary duties, or the ICANN Bylaws, ICANN must only reject an application if done so in accordance with the provisions of the Applicant Guidebook. In the event an application</w:t>
            </w:r>
            <w:r>
              <w:rPr>
                <w:spacing w:val="-4"/>
              </w:rPr>
              <w:t xml:space="preserve"> </w:t>
            </w:r>
            <w:r>
              <w:t>is</w:t>
            </w:r>
            <w:r>
              <w:rPr>
                <w:spacing w:val="-4"/>
              </w:rPr>
              <w:t xml:space="preserve"> </w:t>
            </w:r>
            <w:r>
              <w:t>rejected,</w:t>
            </w:r>
            <w:r>
              <w:rPr>
                <w:spacing w:val="-4"/>
              </w:rPr>
              <w:t xml:space="preserve"> </w:t>
            </w:r>
            <w:r>
              <w:t>ICANN</w:t>
            </w:r>
            <w:r>
              <w:rPr>
                <w:spacing w:val="-4"/>
              </w:rPr>
              <w:t xml:space="preserve"> </w:t>
            </w:r>
            <w:r>
              <w:t>org</w:t>
            </w:r>
            <w:r>
              <w:rPr>
                <w:spacing w:val="-4"/>
              </w:rPr>
              <w:t xml:space="preserve"> </w:t>
            </w:r>
            <w:r>
              <w:t>must cite with specificity the reason in</w:t>
            </w:r>
            <w:r w:rsidR="00A57933">
              <w:t xml:space="preserve"> accordance with the Applicant Guidebook, or if applicable, the specific law and/or ICANN Bylaws for not allowing an application to proceed. This recommendation</w:t>
            </w:r>
            <w:r w:rsidR="00A57933">
              <w:rPr>
                <w:spacing w:val="-11"/>
              </w:rPr>
              <w:t xml:space="preserve"> </w:t>
            </w:r>
            <w:r w:rsidR="00A57933">
              <w:t>constitutes</w:t>
            </w:r>
            <w:r w:rsidR="00A57933">
              <w:rPr>
                <w:spacing w:val="-11"/>
              </w:rPr>
              <w:t xml:space="preserve"> </w:t>
            </w:r>
            <w:r w:rsidR="00A57933">
              <w:t>a</w:t>
            </w:r>
            <w:r w:rsidR="00A57933">
              <w:rPr>
                <w:spacing w:val="-11"/>
              </w:rPr>
              <w:t xml:space="preserve"> </w:t>
            </w:r>
            <w:r w:rsidR="00A57933">
              <w:t>revision</w:t>
            </w:r>
            <w:r w:rsidR="00A57933">
              <w:rPr>
                <w:spacing w:val="-11"/>
              </w:rPr>
              <w:t xml:space="preserve"> </w:t>
            </w:r>
            <w:r w:rsidR="00A57933">
              <w:t>to Section 3 of the Terms and Conditions from the 2012 round.</w:t>
            </w:r>
          </w:p>
        </w:tc>
        <w:tc>
          <w:tcPr>
            <w:tcW w:w="4317" w:type="dxa"/>
          </w:tcPr>
          <w:p w14:paraId="36285E5E" w14:textId="609CCBC4" w:rsidR="0081180A" w:rsidRDefault="0023761A" w:rsidP="0018724A">
            <w:r>
              <w:t>The</w:t>
            </w:r>
            <w:r>
              <w:rPr>
                <w:spacing w:val="-7"/>
              </w:rPr>
              <w:t xml:space="preserve"> </w:t>
            </w:r>
            <w:r>
              <w:t>Board</w:t>
            </w:r>
            <w:r>
              <w:rPr>
                <w:spacing w:val="-7"/>
              </w:rPr>
              <w:t xml:space="preserve"> </w:t>
            </w:r>
            <w:r>
              <w:t>remains</w:t>
            </w:r>
            <w:r>
              <w:rPr>
                <w:spacing w:val="-7"/>
              </w:rPr>
              <w:t xml:space="preserve"> </w:t>
            </w:r>
            <w:r>
              <w:t>concerned,</w:t>
            </w:r>
            <w:r>
              <w:rPr>
                <w:spacing w:val="-7"/>
              </w:rPr>
              <w:t xml:space="preserve"> </w:t>
            </w:r>
            <w:r>
              <w:t>as</w:t>
            </w:r>
            <w:r>
              <w:rPr>
                <w:spacing w:val="-7"/>
              </w:rPr>
              <w:t xml:space="preserve"> </w:t>
            </w:r>
            <w:r>
              <w:t>previously</w:t>
            </w:r>
            <w:r>
              <w:rPr>
                <w:spacing w:val="-7"/>
              </w:rPr>
              <w:t xml:space="preserve"> </w:t>
            </w:r>
            <w:r>
              <w:t xml:space="preserve">voiced as part of its </w:t>
            </w:r>
            <w:hyperlink r:id="rId13">
              <w:r>
                <w:rPr>
                  <w:color w:val="1154CC"/>
                  <w:u w:val="thick" w:color="1154CC"/>
                </w:rPr>
                <w:t>comment on the Draft Final Repor</w:t>
              </w:r>
            </w:hyperlink>
            <w:r>
              <w:t>t, over this recommendation unduly restricting ICANN’s discretion to reject an application in circumstances that fall outside the specific grounds set out in the recommendation.</w:t>
            </w:r>
          </w:p>
        </w:tc>
        <w:tc>
          <w:tcPr>
            <w:tcW w:w="4317" w:type="dxa"/>
          </w:tcPr>
          <w:p w14:paraId="013AA823" w14:textId="77777777" w:rsidR="0081180A" w:rsidRDefault="00C264E4" w:rsidP="00D1748D">
            <w:pPr>
              <w:rPr>
                <w:color w:val="1F4E79" w:themeColor="accent5" w:themeShade="80"/>
              </w:rPr>
            </w:pPr>
            <w:r>
              <w:rPr>
                <w:color w:val="1F4E79" w:themeColor="accent5" w:themeShade="80"/>
              </w:rPr>
              <w:t xml:space="preserve">The PDP Working Group discussed this recommendation extensively, but also discussed a balancing of harms between Applicants who follow all the rules, pay all the required fees, and get rejected based on criteria that did not exist in the Applicant Guidebook at the time an Applicant applied.  </w:t>
            </w:r>
          </w:p>
          <w:p w14:paraId="3633ABA4" w14:textId="77777777" w:rsidR="00C264E4" w:rsidRDefault="00C264E4" w:rsidP="00D1748D">
            <w:pPr>
              <w:rPr>
                <w:color w:val="1F4E79" w:themeColor="accent5" w:themeShade="80"/>
              </w:rPr>
            </w:pPr>
          </w:p>
          <w:p w14:paraId="1A8377CC" w14:textId="77777777" w:rsidR="00C264E4" w:rsidRDefault="00C264E4" w:rsidP="00D1748D">
            <w:pPr>
              <w:rPr>
                <w:color w:val="1F4E79" w:themeColor="accent5" w:themeShade="80"/>
              </w:rPr>
            </w:pPr>
            <w:r>
              <w:rPr>
                <w:color w:val="1F4E79" w:themeColor="accent5" w:themeShade="80"/>
              </w:rPr>
              <w:t>In fact, many of the IRPs that ICANN lost dealt with the ways in which ICANN denied applications when those denials were not supported by criteria in the Applicant Guidebook or explained in light of why such rejection was necessary to protect the public interest.</w:t>
            </w:r>
          </w:p>
          <w:p w14:paraId="0EAB71FD" w14:textId="77777777" w:rsidR="00D1748D" w:rsidRDefault="00D1748D" w:rsidP="00D1748D">
            <w:pPr>
              <w:rPr>
                <w:color w:val="1F4E79" w:themeColor="accent5" w:themeShade="80"/>
              </w:rPr>
            </w:pPr>
          </w:p>
          <w:p w14:paraId="45B904AE" w14:textId="7FF95A9D" w:rsidR="0081180A" w:rsidRPr="00C264E4" w:rsidRDefault="00D1748D" w:rsidP="0018724A">
            <w:pPr>
              <w:rPr>
                <w:color w:val="1F4E79" w:themeColor="accent5" w:themeShade="80"/>
              </w:rPr>
            </w:pPr>
            <w:r>
              <w:rPr>
                <w:color w:val="1F4E79" w:themeColor="accent5" w:themeShade="80"/>
              </w:rPr>
              <w:t>There is a reason the community spent many years working on revising this program.  To have a provision in the Ts and Cs blankly give ICANN the ability to ignore all of the rules and reject whatever it sees fit, whenever it sees fit, and not have to refund any fees is not only unfair, but truly unnecessary.  Not to mention that such a contract is illusory.</w:t>
            </w:r>
          </w:p>
        </w:tc>
      </w:tr>
      <w:tr w:rsidR="0081180A" w14:paraId="47E8DB2F" w14:textId="77777777" w:rsidTr="0018724A">
        <w:trPr>
          <w:tblHeader/>
        </w:trPr>
        <w:tc>
          <w:tcPr>
            <w:tcW w:w="4316" w:type="dxa"/>
          </w:tcPr>
          <w:p w14:paraId="15963777" w14:textId="77777777" w:rsidR="00224887" w:rsidRDefault="00224887" w:rsidP="00224887">
            <w:pPr>
              <w:pStyle w:val="TableParagraph"/>
              <w:spacing w:before="145"/>
              <w:ind w:right="109"/>
            </w:pPr>
            <w:r>
              <w:rPr>
                <w:b/>
              </w:rPr>
              <w:t>Recommendation 18.3</w:t>
            </w:r>
            <w:r>
              <w:t>: In subsequent rounds, the Terms of Use must only contain</w:t>
            </w:r>
            <w:r>
              <w:rPr>
                <w:spacing w:val="-6"/>
              </w:rPr>
              <w:t xml:space="preserve"> </w:t>
            </w:r>
            <w:r>
              <w:t>a</w:t>
            </w:r>
            <w:r>
              <w:rPr>
                <w:spacing w:val="-6"/>
              </w:rPr>
              <w:t xml:space="preserve"> </w:t>
            </w:r>
            <w:r>
              <w:t>covenant</w:t>
            </w:r>
            <w:r>
              <w:rPr>
                <w:spacing w:val="-6"/>
              </w:rPr>
              <w:t xml:space="preserve"> </w:t>
            </w:r>
            <w:r>
              <w:t>not</w:t>
            </w:r>
            <w:r>
              <w:rPr>
                <w:spacing w:val="-6"/>
              </w:rPr>
              <w:t xml:space="preserve"> </w:t>
            </w:r>
            <w:r>
              <w:t>to</w:t>
            </w:r>
            <w:r>
              <w:rPr>
                <w:spacing w:val="-6"/>
              </w:rPr>
              <w:t xml:space="preserve"> </w:t>
            </w:r>
            <w:r>
              <w:t>sue</w:t>
            </w:r>
            <w:r>
              <w:rPr>
                <w:spacing w:val="-6"/>
              </w:rPr>
              <w:t xml:space="preserve"> </w:t>
            </w:r>
            <w:r>
              <w:t>if,</w:t>
            </w:r>
            <w:r>
              <w:rPr>
                <w:spacing w:val="-6"/>
              </w:rPr>
              <w:t xml:space="preserve"> </w:t>
            </w:r>
            <w:r>
              <w:t>and</w:t>
            </w:r>
            <w:r>
              <w:rPr>
                <w:spacing w:val="-6"/>
              </w:rPr>
              <w:t xml:space="preserve"> </w:t>
            </w:r>
            <w:r>
              <w:t xml:space="preserve">only if, the appeals/challenge mechanisms set forth under Topic 32 of this report are introduced into the program (in addition to the accountability mechanisms set forth in </w:t>
            </w:r>
            <w:r>
              <w:lastRenderedPageBreak/>
              <w:t>the current ICANN Bylaws).</w:t>
            </w:r>
          </w:p>
          <w:p w14:paraId="19AAB727" w14:textId="3EDA9A69" w:rsidR="0081180A" w:rsidRDefault="00224887" w:rsidP="00224887">
            <w:r>
              <w:t>This</w:t>
            </w:r>
            <w:r>
              <w:rPr>
                <w:spacing w:val="-8"/>
              </w:rPr>
              <w:t xml:space="preserve"> </w:t>
            </w:r>
            <w:r>
              <w:t>recommendation</w:t>
            </w:r>
            <w:r>
              <w:rPr>
                <w:spacing w:val="-8"/>
              </w:rPr>
              <w:t xml:space="preserve"> </w:t>
            </w:r>
            <w:r>
              <w:t>is</w:t>
            </w:r>
            <w:r>
              <w:rPr>
                <w:spacing w:val="-8"/>
              </w:rPr>
              <w:t xml:space="preserve"> </w:t>
            </w:r>
            <w:r>
              <w:t>in</w:t>
            </w:r>
            <w:r>
              <w:rPr>
                <w:spacing w:val="-8"/>
              </w:rPr>
              <w:t xml:space="preserve"> </w:t>
            </w:r>
            <w:r>
              <w:t>reference</w:t>
            </w:r>
            <w:r>
              <w:rPr>
                <w:spacing w:val="-8"/>
              </w:rPr>
              <w:t xml:space="preserve"> </w:t>
            </w:r>
            <w:r>
              <w:t>to Section 6 of the</w:t>
            </w:r>
            <w:r>
              <w:rPr>
                <w:spacing w:val="-2"/>
              </w:rPr>
              <w:t xml:space="preserve"> </w:t>
            </w:r>
            <w:r>
              <w:t>Terms and Conditions from the 2012 round.</w:t>
            </w:r>
          </w:p>
        </w:tc>
        <w:tc>
          <w:tcPr>
            <w:tcW w:w="4317" w:type="dxa"/>
          </w:tcPr>
          <w:p w14:paraId="2679C025" w14:textId="77777777" w:rsidR="0081180A" w:rsidRDefault="0081180A" w:rsidP="0018724A"/>
          <w:p w14:paraId="454118A0" w14:textId="27CD146C" w:rsidR="004D5B26" w:rsidRPr="004D5B26" w:rsidRDefault="004D5B26" w:rsidP="004D5B26">
            <w:r>
              <w:t>The</w:t>
            </w:r>
            <w:r>
              <w:rPr>
                <w:spacing w:val="-6"/>
              </w:rPr>
              <w:t xml:space="preserve"> </w:t>
            </w:r>
            <w:r>
              <w:t>Board</w:t>
            </w:r>
            <w:r>
              <w:rPr>
                <w:spacing w:val="-6"/>
              </w:rPr>
              <w:t xml:space="preserve"> </w:t>
            </w:r>
            <w:r>
              <w:t>remains</w:t>
            </w:r>
            <w:r>
              <w:rPr>
                <w:spacing w:val="-6"/>
              </w:rPr>
              <w:t xml:space="preserve"> </w:t>
            </w:r>
            <w:r>
              <w:t>concerned,</w:t>
            </w:r>
            <w:r>
              <w:rPr>
                <w:spacing w:val="-6"/>
              </w:rPr>
              <w:t xml:space="preserve"> </w:t>
            </w:r>
            <w:r>
              <w:t>as</w:t>
            </w:r>
            <w:r>
              <w:rPr>
                <w:spacing w:val="-6"/>
              </w:rPr>
              <w:t xml:space="preserve"> </w:t>
            </w:r>
            <w:r>
              <w:t>previously</w:t>
            </w:r>
            <w:r>
              <w:rPr>
                <w:spacing w:val="-6"/>
              </w:rPr>
              <w:t xml:space="preserve"> </w:t>
            </w:r>
            <w:r>
              <w:t>voiced</w:t>
            </w:r>
            <w:r>
              <w:rPr>
                <w:spacing w:val="-6"/>
              </w:rPr>
              <w:t xml:space="preserve"> </w:t>
            </w:r>
            <w:r>
              <w:t xml:space="preserve">as part of its </w:t>
            </w:r>
            <w:hyperlink r:id="rId14">
              <w:r>
                <w:rPr>
                  <w:color w:val="1154CC"/>
                  <w:u w:val="thick" w:color="1154CC"/>
                </w:rPr>
                <w:t>comment on the Draft Final Report</w:t>
              </w:r>
            </w:hyperlink>
            <w:r>
              <w:rPr>
                <w:color w:val="1154CC"/>
              </w:rPr>
              <w:t xml:space="preserve">, </w:t>
            </w:r>
            <w:r>
              <w:t>over undue legal exposure.</w:t>
            </w:r>
          </w:p>
        </w:tc>
        <w:tc>
          <w:tcPr>
            <w:tcW w:w="4317" w:type="dxa"/>
          </w:tcPr>
          <w:p w14:paraId="4A5202F8" w14:textId="77777777" w:rsidR="0081180A" w:rsidRDefault="00D16A55" w:rsidP="0018724A">
            <w:r>
              <w:t xml:space="preserve">This PDP Working Group did not believe that this was an issue.  Perhaps the recommendation was not worded as clear as it should have been, but the point was essentially that if ICANN adopts an appeals decision where applicants/third parties can have their challenges actually heard, then it </w:t>
            </w:r>
            <w:r>
              <w:lastRenderedPageBreak/>
              <w:t>may be ok to not have the right to sue in court over that issue.</w:t>
            </w:r>
          </w:p>
          <w:p w14:paraId="4F3AAE02" w14:textId="77777777" w:rsidR="00D16A55" w:rsidRDefault="00D16A55" w:rsidP="0018724A"/>
          <w:p w14:paraId="66A5D17E" w14:textId="77777777" w:rsidR="00D16A55" w:rsidRDefault="00D16A55" w:rsidP="0018724A">
            <w:r>
              <w:t xml:space="preserve">However, absent any appeals mechanism, a covenant not to sue, is unfair and leaves applicants without any true form of redress.  The Accountability Mechanisms are NOT a substitute for an appeals mechanism or Court.  The Accountability Mechanisms only look at whether ICANN staff or org violated the Bylaws with respect to its ultimate decision.  It doesn’t matter whether or not Org or Staff were substantively wrong (as ICANN makes very clear in all of its IRP filings) so long as the action was taken in “Good Faith.”  </w:t>
            </w:r>
          </w:p>
          <w:p w14:paraId="1FA60CCB" w14:textId="77777777" w:rsidR="00D16A55" w:rsidRDefault="00D16A55" w:rsidP="0018724A"/>
          <w:p w14:paraId="7C42F4EA" w14:textId="77777777" w:rsidR="00D16A55" w:rsidRDefault="00D16A55" w:rsidP="0018724A">
            <w:r>
              <w:t>Thus, if ICANN was substantively wrong, but acted in good faith, then not only would an applicant not be able to seek redress in an Accountability Mechanism, but absent an appeals mechanism and with this covenant not to sue, there is NO ability for an Applicant to see any redress.</w:t>
            </w:r>
          </w:p>
          <w:p w14:paraId="2A843665" w14:textId="77777777" w:rsidR="00D16A55" w:rsidRDefault="00D16A55" w:rsidP="0018724A"/>
          <w:p w14:paraId="6D5A9A93" w14:textId="38462B70" w:rsidR="0081180A" w:rsidRDefault="00D16A55" w:rsidP="0018724A">
            <w:r>
              <w:t>Simply put, if there is an appeals mechanism where applicants/third parties can be heard on the substance, then there is no objection to the covenant not to sue.</w:t>
            </w:r>
          </w:p>
        </w:tc>
      </w:tr>
      <w:tr w:rsidR="0081180A" w14:paraId="5E46A1E8" w14:textId="77777777" w:rsidTr="0018724A">
        <w:trPr>
          <w:tblHeader/>
        </w:trPr>
        <w:tc>
          <w:tcPr>
            <w:tcW w:w="4316" w:type="dxa"/>
          </w:tcPr>
          <w:p w14:paraId="14BE390A" w14:textId="4F91BF4C" w:rsidR="0081180A" w:rsidRDefault="00DE398B" w:rsidP="0018724A">
            <w:r>
              <w:rPr>
                <w:b/>
              </w:rPr>
              <w:lastRenderedPageBreak/>
              <w:t>Recommendation 18.4</w:t>
            </w:r>
            <w:r>
              <w:t>: Applicants must be allowed some type of refund if they decide to withdraw an application because</w:t>
            </w:r>
            <w:r>
              <w:rPr>
                <w:spacing w:val="-8"/>
              </w:rPr>
              <w:t xml:space="preserve"> </w:t>
            </w:r>
            <w:r>
              <w:t>substantive</w:t>
            </w:r>
            <w:r>
              <w:rPr>
                <w:spacing w:val="-8"/>
              </w:rPr>
              <w:t xml:space="preserve"> </w:t>
            </w:r>
            <w:r>
              <w:t>changes</w:t>
            </w:r>
            <w:r>
              <w:rPr>
                <w:spacing w:val="-8"/>
              </w:rPr>
              <w:t xml:space="preserve"> </w:t>
            </w:r>
            <w:r>
              <w:t>are</w:t>
            </w:r>
            <w:r>
              <w:rPr>
                <w:spacing w:val="-8"/>
              </w:rPr>
              <w:t xml:space="preserve"> </w:t>
            </w:r>
            <w:r>
              <w:t>made</w:t>
            </w:r>
            <w:r>
              <w:rPr>
                <w:spacing w:val="-8"/>
              </w:rPr>
              <w:t xml:space="preserve"> </w:t>
            </w:r>
            <w:r>
              <w:t xml:space="preserve">to the Applicant Guidebook or program processes and such </w:t>
            </w:r>
            <w:r>
              <w:lastRenderedPageBreak/>
              <w:t>changes have, or are reasonably likely to have, a material impact on applicants.</w:t>
            </w:r>
            <w:r>
              <w:rPr>
                <w:vertAlign w:val="superscript"/>
              </w:rPr>
              <w:t>11</w:t>
            </w:r>
          </w:p>
        </w:tc>
        <w:tc>
          <w:tcPr>
            <w:tcW w:w="4317" w:type="dxa"/>
          </w:tcPr>
          <w:p w14:paraId="609EEA21" w14:textId="77DE8F12" w:rsidR="0081180A" w:rsidRDefault="00FD36BC" w:rsidP="0018724A">
            <w:r>
              <w:lastRenderedPageBreak/>
              <w:t>The Board is concerned that the way the recommendation</w:t>
            </w:r>
            <w:r>
              <w:rPr>
                <w:spacing w:val="-7"/>
              </w:rPr>
              <w:t xml:space="preserve"> </w:t>
            </w:r>
            <w:r>
              <w:t>is</w:t>
            </w:r>
            <w:r>
              <w:rPr>
                <w:spacing w:val="-7"/>
              </w:rPr>
              <w:t xml:space="preserve"> </w:t>
            </w:r>
            <w:r>
              <w:t>worded</w:t>
            </w:r>
            <w:r>
              <w:rPr>
                <w:spacing w:val="-7"/>
              </w:rPr>
              <w:t xml:space="preserve"> </w:t>
            </w:r>
            <w:r>
              <w:t>could</w:t>
            </w:r>
            <w:r>
              <w:rPr>
                <w:spacing w:val="-7"/>
              </w:rPr>
              <w:t xml:space="preserve"> </w:t>
            </w:r>
            <w:r>
              <w:t>lead</w:t>
            </w:r>
            <w:r>
              <w:rPr>
                <w:spacing w:val="-7"/>
              </w:rPr>
              <w:t xml:space="preserve"> </w:t>
            </w:r>
            <w:r>
              <w:t>to</w:t>
            </w:r>
            <w:r>
              <w:rPr>
                <w:spacing w:val="-7"/>
              </w:rPr>
              <w:t xml:space="preserve"> </w:t>
            </w:r>
            <w:r>
              <w:t>gaming because of the subjective nature of the terms ‘substantive’ and ‘material’.</w:t>
            </w:r>
          </w:p>
        </w:tc>
        <w:tc>
          <w:tcPr>
            <w:tcW w:w="4317" w:type="dxa"/>
          </w:tcPr>
          <w:p w14:paraId="04CC5E3A" w14:textId="77777777" w:rsidR="0081180A" w:rsidRDefault="00437EED" w:rsidP="0018724A">
            <w:pPr>
              <w:rPr>
                <w:color w:val="2F5496" w:themeColor="accent1" w:themeShade="BF"/>
              </w:rPr>
            </w:pPr>
            <w:r>
              <w:rPr>
                <w:color w:val="2F5496" w:themeColor="accent1" w:themeShade="BF"/>
              </w:rPr>
              <w:t xml:space="preserve">The Board’s concern while understandable needs to be balanced with fairness to applicants that have applied for a TLD based on one set of assumptions (as contained within the Applicant Guidebook) only to have </w:t>
            </w:r>
            <w:r>
              <w:rPr>
                <w:color w:val="2F5496" w:themeColor="accent1" w:themeShade="BF"/>
              </w:rPr>
              <w:lastRenderedPageBreak/>
              <w:t xml:space="preserve">those assumptions fall apart due to a material substantive change introduced through no fault of their own.  At </w:t>
            </w:r>
            <w:r w:rsidR="004202A9">
              <w:rPr>
                <w:color w:val="2F5496" w:themeColor="accent1" w:themeShade="BF"/>
              </w:rPr>
              <w:t>the price for a TLD Application, this balance seems like an easy compromise.</w:t>
            </w:r>
          </w:p>
          <w:p w14:paraId="665BB160" w14:textId="77777777" w:rsidR="004202A9" w:rsidRDefault="004202A9" w:rsidP="0018724A">
            <w:pPr>
              <w:rPr>
                <w:color w:val="2F5496" w:themeColor="accent1" w:themeShade="BF"/>
              </w:rPr>
            </w:pPr>
          </w:p>
          <w:p w14:paraId="4B88E85A" w14:textId="45820F2B" w:rsidR="0081180A" w:rsidRPr="00437EED" w:rsidRDefault="004202A9" w:rsidP="0018724A">
            <w:pPr>
              <w:rPr>
                <w:color w:val="2F5496" w:themeColor="accent1" w:themeShade="BF"/>
              </w:rPr>
            </w:pPr>
            <w:r>
              <w:rPr>
                <w:color w:val="2F5496" w:themeColor="accent1" w:themeShade="BF"/>
              </w:rPr>
              <w:t>As an example, I spend $150,000 to apply for a TLD that I want to use in a certain way and that way is clearly allowed in the then-current Applicant Guidebook.  Now lets say there is GAC Advice after applications are submitted that says a TLD cannot be used in that specific way and the ICANN Board agrees.  If the Applicant’s entire business model to recoup its investment is now no longer allowed through no fault of its own, it is only fair to provide a refund.</w:t>
            </w:r>
          </w:p>
        </w:tc>
      </w:tr>
      <w:tr w:rsidR="00FD36BC" w14:paraId="3AD87014" w14:textId="77777777" w:rsidTr="00F57A58">
        <w:trPr>
          <w:trHeight w:val="620"/>
          <w:tblHeader/>
        </w:trPr>
        <w:tc>
          <w:tcPr>
            <w:tcW w:w="12950" w:type="dxa"/>
            <w:gridSpan w:val="3"/>
            <w:shd w:val="clear" w:color="auto" w:fill="0D0D0D" w:themeFill="text1" w:themeFillTint="F2"/>
            <w:vAlign w:val="center"/>
          </w:tcPr>
          <w:p w14:paraId="5565BB8A" w14:textId="3DAE2A5E" w:rsidR="00FD36BC" w:rsidRPr="00F57A58" w:rsidRDefault="00F57A58" w:rsidP="0018724A">
            <w:pPr>
              <w:rPr>
                <w:b/>
                <w:bCs/>
              </w:rPr>
            </w:pPr>
            <w:r w:rsidRPr="00F57A58">
              <w:rPr>
                <w:b/>
                <w:bCs/>
              </w:rPr>
              <w:lastRenderedPageBreak/>
              <w:t>Topic 19:  Application Queuing</w:t>
            </w:r>
          </w:p>
        </w:tc>
      </w:tr>
      <w:tr w:rsidR="00CF2E41" w14:paraId="65E73805" w14:textId="77777777" w:rsidTr="0018724A">
        <w:trPr>
          <w:tblHeader/>
        </w:trPr>
        <w:tc>
          <w:tcPr>
            <w:tcW w:w="4316" w:type="dxa"/>
          </w:tcPr>
          <w:p w14:paraId="683BE39D" w14:textId="77777777" w:rsidR="00CF2E41" w:rsidRDefault="00CF2E41" w:rsidP="00CF2E41">
            <w:pPr>
              <w:pStyle w:val="TableParagraph"/>
              <w:spacing w:before="143"/>
              <w:ind w:right="142"/>
            </w:pPr>
            <w:r>
              <w:rPr>
                <w:b/>
              </w:rPr>
              <w:t>Recommendation</w:t>
            </w:r>
            <w:r>
              <w:rPr>
                <w:b/>
                <w:spacing w:val="-14"/>
              </w:rPr>
              <w:t xml:space="preserve"> </w:t>
            </w:r>
            <w:r>
              <w:rPr>
                <w:b/>
              </w:rPr>
              <w:t>19.3</w:t>
            </w:r>
            <w:r>
              <w:t>:</w:t>
            </w:r>
            <w:r>
              <w:rPr>
                <w:spacing w:val="-14"/>
              </w:rPr>
              <w:t xml:space="preserve"> </w:t>
            </w:r>
            <w:r>
              <w:t>All</w:t>
            </w:r>
            <w:r>
              <w:rPr>
                <w:spacing w:val="-14"/>
              </w:rPr>
              <w:t xml:space="preserve"> </w:t>
            </w:r>
            <w:r>
              <w:t>applications must be processed on a rolling basis, based on assigned priority numbers.</w:t>
            </w:r>
          </w:p>
          <w:p w14:paraId="5C97FF6F" w14:textId="77777777" w:rsidR="00CF2E41" w:rsidRDefault="00CF2E41" w:rsidP="00CF2E41">
            <w:pPr>
              <w:pStyle w:val="TableParagraph"/>
              <w:ind w:right="165"/>
            </w:pPr>
            <w:r>
              <w:t>While</w:t>
            </w:r>
            <w:r>
              <w:rPr>
                <w:spacing w:val="-14"/>
              </w:rPr>
              <w:t xml:space="preserve"> </w:t>
            </w:r>
            <w:r>
              <w:t>the</w:t>
            </w:r>
            <w:r>
              <w:rPr>
                <w:spacing w:val="-8"/>
              </w:rPr>
              <w:t xml:space="preserve"> </w:t>
            </w:r>
            <w:r>
              <w:t>2012</w:t>
            </w:r>
            <w:r>
              <w:rPr>
                <w:spacing w:val="-14"/>
              </w:rPr>
              <w:t xml:space="preserve"> </w:t>
            </w:r>
            <w:r>
              <w:t>AGB</w:t>
            </w:r>
            <w:r>
              <w:rPr>
                <w:spacing w:val="-9"/>
              </w:rPr>
              <w:t xml:space="preserve"> </w:t>
            </w:r>
            <w:r>
              <w:t>prescribed</w:t>
            </w:r>
            <w:r>
              <w:rPr>
                <w:spacing w:val="-9"/>
              </w:rPr>
              <w:t xml:space="preserve"> </w:t>
            </w:r>
            <w:r>
              <w:t>batches of</w:t>
            </w:r>
            <w:r>
              <w:rPr>
                <w:spacing w:val="-7"/>
              </w:rPr>
              <w:t xml:space="preserve"> </w:t>
            </w:r>
            <w:r>
              <w:t>500</w:t>
            </w:r>
            <w:r>
              <w:rPr>
                <w:spacing w:val="-7"/>
              </w:rPr>
              <w:t xml:space="preserve"> </w:t>
            </w:r>
            <w:r>
              <w:t>applications,</w:t>
            </w:r>
            <w:r>
              <w:rPr>
                <w:spacing w:val="-7"/>
              </w:rPr>
              <w:t xml:space="preserve"> </w:t>
            </w:r>
            <w:r>
              <w:t>ICANN</w:t>
            </w:r>
            <w:r>
              <w:rPr>
                <w:spacing w:val="-7"/>
              </w:rPr>
              <w:t xml:space="preserve"> </w:t>
            </w:r>
            <w:r>
              <w:t>org</w:t>
            </w:r>
            <w:r>
              <w:rPr>
                <w:spacing w:val="-7"/>
              </w:rPr>
              <w:t xml:space="preserve"> </w:t>
            </w:r>
            <w:r>
              <w:t>noticed during that round that moving through the priority list without splitting the applications into batches was more efficient. The Working Group affirms that approach by not recommending batches. However, if the volume of Internationalized</w:t>
            </w:r>
            <w:r>
              <w:rPr>
                <w:spacing w:val="-1"/>
              </w:rPr>
              <w:t xml:space="preserve"> </w:t>
            </w:r>
            <w:r>
              <w:t>Domain</w:t>
            </w:r>
            <w:r>
              <w:rPr>
                <w:spacing w:val="-1"/>
              </w:rPr>
              <w:t xml:space="preserve"> </w:t>
            </w:r>
            <w:r>
              <w:t>Names</w:t>
            </w:r>
            <w:r>
              <w:rPr>
                <w:spacing w:val="-1"/>
              </w:rPr>
              <w:t xml:space="preserve"> </w:t>
            </w:r>
            <w:r>
              <w:t xml:space="preserve">(IDN) applications received equals or exceeds 125, applications will be assigned priority numbers consistent with the formula </w:t>
            </w:r>
            <w:r>
              <w:lastRenderedPageBreak/>
              <w:t>below.</w:t>
            </w:r>
          </w:p>
          <w:p w14:paraId="4E2F39C3" w14:textId="77777777" w:rsidR="00CF2E41" w:rsidRDefault="00CF2E41" w:rsidP="00CF2E41">
            <w:pPr>
              <w:pStyle w:val="TableParagraph"/>
              <w:ind w:left="0"/>
            </w:pPr>
          </w:p>
          <w:p w14:paraId="04C7D206" w14:textId="77777777" w:rsidR="00CF2E41" w:rsidRDefault="00CF2E41" w:rsidP="00CF2E41">
            <w:pPr>
              <w:pStyle w:val="TableParagraph"/>
              <w:ind w:right="142"/>
            </w:pPr>
            <w:r>
              <w:t>The Working Group recommends that the</w:t>
            </w:r>
            <w:r>
              <w:rPr>
                <w:spacing w:val="-7"/>
              </w:rPr>
              <w:t xml:space="preserve"> </w:t>
            </w:r>
            <w:r>
              <w:t>following</w:t>
            </w:r>
            <w:r>
              <w:rPr>
                <w:spacing w:val="-7"/>
              </w:rPr>
              <w:t xml:space="preserve"> </w:t>
            </w:r>
            <w:r>
              <w:t>formula</w:t>
            </w:r>
            <w:r>
              <w:rPr>
                <w:spacing w:val="-7"/>
              </w:rPr>
              <w:t xml:space="preserve"> </w:t>
            </w:r>
            <w:r>
              <w:t>must</w:t>
            </w:r>
            <w:r>
              <w:rPr>
                <w:spacing w:val="-7"/>
              </w:rPr>
              <w:t xml:space="preserve"> </w:t>
            </w:r>
            <w:r>
              <w:t>be</w:t>
            </w:r>
            <w:r>
              <w:rPr>
                <w:spacing w:val="-7"/>
              </w:rPr>
              <w:t xml:space="preserve"> </w:t>
            </w:r>
            <w:r>
              <w:t>used</w:t>
            </w:r>
            <w:r>
              <w:rPr>
                <w:spacing w:val="-7"/>
              </w:rPr>
              <w:t xml:space="preserve"> </w:t>
            </w:r>
            <w:r>
              <w:t xml:space="preserve">with respect to giving priority to IDN </w:t>
            </w:r>
            <w:r>
              <w:rPr>
                <w:spacing w:val="-2"/>
              </w:rPr>
              <w:t>applications:</w:t>
            </w:r>
          </w:p>
          <w:p w14:paraId="00D0DE0A" w14:textId="77777777" w:rsidR="00CF2E41" w:rsidRDefault="00CF2E41" w:rsidP="00CF2E41">
            <w:pPr>
              <w:pStyle w:val="TableParagraph"/>
              <w:ind w:left="0"/>
            </w:pPr>
          </w:p>
          <w:p w14:paraId="67E2DF67" w14:textId="77777777" w:rsidR="00CF2E41" w:rsidRDefault="00CF2E41" w:rsidP="00CF2E41">
            <w:pPr>
              <w:pStyle w:val="TableParagraph"/>
              <w:numPr>
                <w:ilvl w:val="0"/>
                <w:numId w:val="3"/>
              </w:numPr>
              <w:tabs>
                <w:tab w:val="left" w:pos="857"/>
                <w:tab w:val="left" w:pos="858"/>
              </w:tabs>
            </w:pPr>
            <w:r>
              <w:rPr>
                <w:u w:val="thick"/>
              </w:rPr>
              <w:t>First</w:t>
            </w:r>
            <w:r>
              <w:rPr>
                <w:spacing w:val="-4"/>
                <w:u w:val="thick"/>
              </w:rPr>
              <w:t xml:space="preserve"> </w:t>
            </w:r>
            <w:r>
              <w:rPr>
                <w:u w:val="thick"/>
              </w:rPr>
              <w:t>500</w:t>
            </w:r>
            <w:r>
              <w:rPr>
                <w:spacing w:val="-4"/>
                <w:u w:val="thick"/>
              </w:rPr>
              <w:t xml:space="preserve"> </w:t>
            </w:r>
            <w:r>
              <w:rPr>
                <w:spacing w:val="-2"/>
                <w:u w:val="thick"/>
              </w:rPr>
              <w:t>applications</w:t>
            </w:r>
          </w:p>
          <w:p w14:paraId="13B18EC2" w14:textId="513E7C1F" w:rsidR="00CF2E41" w:rsidRDefault="00CF2E41" w:rsidP="00CF2E41">
            <w:pPr>
              <w:pStyle w:val="TableParagraph"/>
              <w:spacing w:before="140"/>
              <w:ind w:left="1577" w:right="120"/>
            </w:pPr>
            <w:r>
              <w:t>If there are 125 applications or more for IDN strings that elect to participate in the prioritization draw, the first</w:t>
            </w:r>
            <w:r>
              <w:rPr>
                <w:spacing w:val="-14"/>
              </w:rPr>
              <w:t xml:space="preserve"> </w:t>
            </w:r>
            <w:r>
              <w:t>25%</w:t>
            </w:r>
            <w:r>
              <w:rPr>
                <w:spacing w:val="-13"/>
              </w:rPr>
              <w:t xml:space="preserve"> </w:t>
            </w:r>
            <w:r>
              <w:t>of</w:t>
            </w:r>
            <w:r>
              <w:rPr>
                <w:spacing w:val="-14"/>
              </w:rPr>
              <w:t xml:space="preserve"> </w:t>
            </w:r>
            <w:r>
              <w:t>applications assigned priority numbers in the first group shall be those applications for IDN strings that elect to participate in the prioritization draw. The remaining 75% of applications</w:t>
            </w:r>
            <w:r>
              <w:rPr>
                <w:spacing w:val="-13"/>
              </w:rPr>
              <w:t xml:space="preserve"> </w:t>
            </w:r>
            <w:r>
              <w:t>in</w:t>
            </w:r>
            <w:r>
              <w:rPr>
                <w:spacing w:val="-13"/>
              </w:rPr>
              <w:t xml:space="preserve"> </w:t>
            </w:r>
            <w:r>
              <w:t>the</w:t>
            </w:r>
            <w:r>
              <w:rPr>
                <w:spacing w:val="-13"/>
              </w:rPr>
              <w:t xml:space="preserve"> </w:t>
            </w:r>
            <w:r>
              <w:t>group shall consist of both</w:t>
            </w:r>
            <w:r>
              <w:rPr>
                <w:spacing w:val="40"/>
              </w:rPr>
              <w:t xml:space="preserve"> </w:t>
            </w:r>
            <w:r>
              <w:t>IDN and non-IDN applications</w:t>
            </w:r>
            <w:r>
              <w:rPr>
                <w:spacing w:val="-1"/>
              </w:rPr>
              <w:t xml:space="preserve"> </w:t>
            </w:r>
            <w:r>
              <w:t>that</w:t>
            </w:r>
            <w:r>
              <w:rPr>
                <w:spacing w:val="-1"/>
              </w:rPr>
              <w:t xml:space="preserve"> </w:t>
            </w:r>
            <w:r>
              <w:t>elect</w:t>
            </w:r>
            <w:r>
              <w:rPr>
                <w:spacing w:val="-1"/>
              </w:rPr>
              <w:t xml:space="preserve"> </w:t>
            </w:r>
            <w:r>
              <w:t>to participate in the prioritization draw.</w:t>
            </w:r>
          </w:p>
          <w:p w14:paraId="1DBE5895" w14:textId="77777777" w:rsidR="00CF2E41" w:rsidRDefault="00CF2E41" w:rsidP="00CF2E41">
            <w:pPr>
              <w:pStyle w:val="TableParagraph"/>
              <w:numPr>
                <w:ilvl w:val="0"/>
                <w:numId w:val="3"/>
              </w:numPr>
              <w:tabs>
                <w:tab w:val="left" w:pos="1577"/>
                <w:tab w:val="left" w:pos="1578"/>
              </w:tabs>
              <w:ind w:right="115"/>
            </w:pPr>
            <w:r>
              <w:t>If</w:t>
            </w:r>
            <w:r>
              <w:rPr>
                <w:spacing w:val="-6"/>
              </w:rPr>
              <w:t xml:space="preserve"> </w:t>
            </w:r>
            <w:r>
              <w:t>there</w:t>
            </w:r>
            <w:r>
              <w:rPr>
                <w:spacing w:val="-6"/>
              </w:rPr>
              <w:t xml:space="preserve"> </w:t>
            </w:r>
            <w:r>
              <w:t>are</w:t>
            </w:r>
            <w:r>
              <w:rPr>
                <w:spacing w:val="-6"/>
              </w:rPr>
              <w:t xml:space="preserve"> </w:t>
            </w:r>
            <w:r>
              <w:t>less</w:t>
            </w:r>
            <w:r>
              <w:rPr>
                <w:spacing w:val="-6"/>
              </w:rPr>
              <w:t xml:space="preserve"> </w:t>
            </w:r>
            <w:r>
              <w:t>than</w:t>
            </w:r>
            <w:r>
              <w:rPr>
                <w:spacing w:val="-6"/>
              </w:rPr>
              <w:t xml:space="preserve"> </w:t>
            </w:r>
            <w:r>
              <w:t>125 applications for IDN strings that elect to participate in the prioritization draw, then all such applications shall be assigned</w:t>
            </w:r>
            <w:r>
              <w:rPr>
                <w:spacing w:val="40"/>
              </w:rPr>
              <w:t xml:space="preserve"> </w:t>
            </w:r>
            <w:r>
              <w:t>priority</w:t>
            </w:r>
            <w:r>
              <w:rPr>
                <w:spacing w:val="-13"/>
              </w:rPr>
              <w:t xml:space="preserve"> </w:t>
            </w:r>
            <w:r>
              <w:t>numbers</w:t>
            </w:r>
            <w:r>
              <w:rPr>
                <w:spacing w:val="-13"/>
              </w:rPr>
              <w:t xml:space="preserve"> </w:t>
            </w:r>
            <w:r>
              <w:t>prior</w:t>
            </w:r>
            <w:r>
              <w:rPr>
                <w:spacing w:val="-13"/>
              </w:rPr>
              <w:t xml:space="preserve"> </w:t>
            </w:r>
            <w:r>
              <w:t xml:space="preserve">to any non-IDN </w:t>
            </w:r>
            <w:r>
              <w:rPr>
                <w:spacing w:val="-2"/>
              </w:rPr>
              <w:t>application.</w:t>
            </w:r>
          </w:p>
          <w:p w14:paraId="228D0998" w14:textId="77777777" w:rsidR="00CF2E41" w:rsidRDefault="00CF2E41" w:rsidP="00CF2E41">
            <w:pPr>
              <w:pStyle w:val="TableParagraph"/>
              <w:numPr>
                <w:ilvl w:val="0"/>
                <w:numId w:val="5"/>
              </w:numPr>
              <w:tabs>
                <w:tab w:val="left" w:pos="960"/>
              </w:tabs>
              <w:ind w:left="870" w:right="219" w:hanging="180"/>
            </w:pPr>
            <w:r>
              <w:rPr>
                <w:u w:val="thick"/>
              </w:rPr>
              <w:t>Each</w:t>
            </w:r>
            <w:r>
              <w:rPr>
                <w:spacing w:val="-10"/>
                <w:u w:val="thick"/>
              </w:rPr>
              <w:t xml:space="preserve"> </w:t>
            </w:r>
            <w:r>
              <w:rPr>
                <w:u w:val="thick"/>
              </w:rPr>
              <w:t>subsequent</w:t>
            </w:r>
            <w:r>
              <w:rPr>
                <w:spacing w:val="-10"/>
                <w:u w:val="thick"/>
              </w:rPr>
              <w:t xml:space="preserve"> </w:t>
            </w:r>
            <w:r>
              <w:rPr>
                <w:u w:val="thick"/>
              </w:rPr>
              <w:t>group</w:t>
            </w:r>
            <w:r>
              <w:rPr>
                <w:spacing w:val="-10"/>
                <w:u w:val="thick"/>
              </w:rPr>
              <w:t xml:space="preserve"> </w:t>
            </w:r>
            <w:r>
              <w:rPr>
                <w:u w:val="thick"/>
              </w:rPr>
              <w:t>of</w:t>
            </w:r>
            <w:r>
              <w:rPr>
                <w:spacing w:val="-10"/>
                <w:u w:val="thick"/>
              </w:rPr>
              <w:t xml:space="preserve"> </w:t>
            </w:r>
            <w:r>
              <w:rPr>
                <w:u w:val="thick"/>
              </w:rPr>
              <w:t>those</w:t>
            </w:r>
            <w:r>
              <w:t xml:space="preserve"> </w:t>
            </w:r>
            <w:r>
              <w:rPr>
                <w:u w:val="thick"/>
              </w:rPr>
              <w:lastRenderedPageBreak/>
              <w:t>electing to participate in the</w:t>
            </w:r>
            <w:r>
              <w:t xml:space="preserve"> </w:t>
            </w:r>
            <w:r>
              <w:rPr>
                <w:u w:val="thick"/>
              </w:rPr>
              <w:t>prioritization draw</w:t>
            </w:r>
          </w:p>
          <w:p w14:paraId="618FD7DC" w14:textId="526E23C5" w:rsidR="00CF2E41" w:rsidRDefault="00CF2E41" w:rsidP="00CF2E41">
            <w:r>
              <w:t>For each subsequent group,</w:t>
            </w:r>
            <w:r>
              <w:rPr>
                <w:spacing w:val="-6"/>
              </w:rPr>
              <w:t xml:space="preserve"> </w:t>
            </w:r>
            <w:r>
              <w:t>the</w:t>
            </w:r>
            <w:r>
              <w:rPr>
                <w:spacing w:val="-6"/>
              </w:rPr>
              <w:t xml:space="preserve"> </w:t>
            </w:r>
            <w:r>
              <w:t>first</w:t>
            </w:r>
            <w:r>
              <w:rPr>
                <w:spacing w:val="-6"/>
              </w:rPr>
              <w:t xml:space="preserve"> </w:t>
            </w:r>
            <w:r>
              <w:t>10%</w:t>
            </w:r>
            <w:r>
              <w:rPr>
                <w:spacing w:val="-6"/>
              </w:rPr>
              <w:t xml:space="preserve"> </w:t>
            </w:r>
            <w:r>
              <w:t>of each group of applications must consist of IDN applications</w:t>
            </w:r>
            <w:r>
              <w:rPr>
                <w:spacing w:val="-14"/>
              </w:rPr>
              <w:t xml:space="preserve"> </w:t>
            </w:r>
            <w:r>
              <w:t>until</w:t>
            </w:r>
            <w:r>
              <w:rPr>
                <w:spacing w:val="-14"/>
              </w:rPr>
              <w:t xml:space="preserve"> </w:t>
            </w:r>
            <w:r>
              <w:t>there</w:t>
            </w:r>
          </w:p>
        </w:tc>
        <w:tc>
          <w:tcPr>
            <w:tcW w:w="4317" w:type="dxa"/>
          </w:tcPr>
          <w:p w14:paraId="66590616" w14:textId="04CABD21" w:rsidR="00CF2E41" w:rsidRDefault="00CF2E41" w:rsidP="00CF2E41">
            <w:r>
              <w:lastRenderedPageBreak/>
              <w:t>The Board is concerned that the precise number of batching</w:t>
            </w:r>
            <w:r>
              <w:rPr>
                <w:spacing w:val="-6"/>
              </w:rPr>
              <w:t xml:space="preserve"> </w:t>
            </w:r>
            <w:r>
              <w:t>could</w:t>
            </w:r>
            <w:r>
              <w:rPr>
                <w:spacing w:val="-6"/>
              </w:rPr>
              <w:t xml:space="preserve"> </w:t>
            </w:r>
            <w:r>
              <w:t>be/is</w:t>
            </w:r>
            <w:r>
              <w:rPr>
                <w:spacing w:val="-6"/>
              </w:rPr>
              <w:t xml:space="preserve"> </w:t>
            </w:r>
            <w:r>
              <w:t>too</w:t>
            </w:r>
            <w:r>
              <w:rPr>
                <w:spacing w:val="-6"/>
              </w:rPr>
              <w:t xml:space="preserve"> </w:t>
            </w:r>
            <w:r>
              <w:t>limiting</w:t>
            </w:r>
            <w:r>
              <w:rPr>
                <w:spacing w:val="-6"/>
              </w:rPr>
              <w:t xml:space="preserve"> </w:t>
            </w:r>
            <w:r>
              <w:t>for</w:t>
            </w:r>
            <w:r>
              <w:rPr>
                <w:spacing w:val="-6"/>
              </w:rPr>
              <w:t xml:space="preserve"> </w:t>
            </w:r>
            <w:r>
              <w:t>future</w:t>
            </w:r>
            <w:r>
              <w:rPr>
                <w:spacing w:val="-6"/>
              </w:rPr>
              <w:t xml:space="preserve"> </w:t>
            </w:r>
            <w:r>
              <w:t>rounds</w:t>
            </w:r>
            <w:r>
              <w:rPr>
                <w:spacing w:val="-6"/>
              </w:rPr>
              <w:t xml:space="preserve"> </w:t>
            </w:r>
            <w:r>
              <w:t>as the recommendation prescribes a batch size that might not align with future system capabilities.</w:t>
            </w:r>
          </w:p>
        </w:tc>
        <w:tc>
          <w:tcPr>
            <w:tcW w:w="4317" w:type="dxa"/>
          </w:tcPr>
          <w:p w14:paraId="216B8D4C" w14:textId="77777777" w:rsidR="00CF2E41" w:rsidRDefault="00310413" w:rsidP="00CF2E41">
            <w:pPr>
              <w:rPr>
                <w:color w:val="2F5496" w:themeColor="accent1" w:themeShade="BF"/>
              </w:rPr>
            </w:pPr>
            <w:r>
              <w:rPr>
                <w:color w:val="2F5496" w:themeColor="accent1" w:themeShade="BF"/>
              </w:rPr>
              <w:t>The most important aspect of this recommendation is the formula for processing applications.  The number 500 is used because that was what was used in the 2012 Applicant Guidebook.  We do not know where the ODA got 450 or any other number, but given that 500 was agreed to for the 2012 round it seemed like the best number to use.</w:t>
            </w:r>
          </w:p>
          <w:p w14:paraId="60998D12" w14:textId="77777777" w:rsidR="00310413" w:rsidRDefault="00310413" w:rsidP="00CF2E41">
            <w:pPr>
              <w:rPr>
                <w:color w:val="2F5496" w:themeColor="accent1" w:themeShade="BF"/>
              </w:rPr>
            </w:pPr>
          </w:p>
          <w:p w14:paraId="008B98BA" w14:textId="77777777" w:rsidR="00310413" w:rsidRDefault="00310413" w:rsidP="00CF2E41">
            <w:pPr>
              <w:rPr>
                <w:color w:val="2F5496" w:themeColor="accent1" w:themeShade="BF"/>
              </w:rPr>
            </w:pPr>
            <w:r>
              <w:rPr>
                <w:color w:val="2F5496" w:themeColor="accent1" w:themeShade="BF"/>
              </w:rPr>
              <w:t xml:space="preserve">However, the main point here as well is to prioritize IDN applications but not completely.  In other words if there are thousands of IDN applications, which would be great, then </w:t>
            </w:r>
            <w:r w:rsidR="00366212">
              <w:rPr>
                <w:color w:val="2F5496" w:themeColor="accent1" w:themeShade="BF"/>
              </w:rPr>
              <w:t xml:space="preserve">the formula does allow for ASCII TLD applicants to be in the queue after </w:t>
            </w:r>
            <w:r w:rsidR="00366212">
              <w:rPr>
                <w:color w:val="2F5496" w:themeColor="accent1" w:themeShade="BF"/>
              </w:rPr>
              <w:lastRenderedPageBreak/>
              <w:t>the first 125 applications.  Any future formula should keep that in consideration.</w:t>
            </w:r>
          </w:p>
          <w:p w14:paraId="6181F346" w14:textId="77777777" w:rsidR="009C33DD" w:rsidRDefault="009C33DD" w:rsidP="00CF2E41">
            <w:pPr>
              <w:rPr>
                <w:color w:val="2F5496" w:themeColor="accent1" w:themeShade="BF"/>
              </w:rPr>
            </w:pPr>
          </w:p>
          <w:p w14:paraId="004B5ACE" w14:textId="038CA8C0" w:rsidR="00CF2E41" w:rsidRPr="00310413" w:rsidRDefault="009C33DD" w:rsidP="00CF2E41">
            <w:pPr>
              <w:rPr>
                <w:color w:val="2F5496" w:themeColor="accent1" w:themeShade="BF"/>
              </w:rPr>
            </w:pPr>
            <w:r w:rsidRPr="00EC3625">
              <w:t>With respect to the Board’s recent statements on looking at a First-Come, First-Served model, we strongly encourage ICANN to review materials from all of the SubPro work (including Preliminary Report for Work tracks 1-4) to understand why that model was specifically rejected.</w:t>
            </w:r>
          </w:p>
        </w:tc>
      </w:tr>
      <w:tr w:rsidR="00CF2E41" w14:paraId="3DBE1E75" w14:textId="77777777" w:rsidTr="00CF2E41">
        <w:trPr>
          <w:trHeight w:val="602"/>
          <w:tblHeader/>
        </w:trPr>
        <w:tc>
          <w:tcPr>
            <w:tcW w:w="12950" w:type="dxa"/>
            <w:gridSpan w:val="3"/>
            <w:shd w:val="clear" w:color="auto" w:fill="0D0D0D" w:themeFill="text1" w:themeFillTint="F2"/>
            <w:vAlign w:val="center"/>
          </w:tcPr>
          <w:p w14:paraId="0151E4AB" w14:textId="445020FA" w:rsidR="00CF2E41" w:rsidRPr="00CF2E41" w:rsidRDefault="00CF2E41" w:rsidP="00CF2E41">
            <w:pPr>
              <w:rPr>
                <w:b/>
                <w:bCs/>
              </w:rPr>
            </w:pPr>
            <w:r>
              <w:rPr>
                <w:b/>
                <w:bCs/>
              </w:rPr>
              <w:lastRenderedPageBreak/>
              <w:t>Topic 22:  Registrant Protections</w:t>
            </w:r>
          </w:p>
        </w:tc>
      </w:tr>
      <w:tr w:rsidR="00CF2E41" w14:paraId="4DE74D2D" w14:textId="77777777" w:rsidTr="0018724A">
        <w:trPr>
          <w:tblHeader/>
        </w:trPr>
        <w:tc>
          <w:tcPr>
            <w:tcW w:w="4316" w:type="dxa"/>
          </w:tcPr>
          <w:p w14:paraId="57561DAB" w14:textId="2D413425" w:rsidR="00CF2E41" w:rsidRDefault="00162274" w:rsidP="00CF2E41">
            <w:r>
              <w:rPr>
                <w:b/>
              </w:rPr>
              <w:t>Recommendation 22.7</w:t>
            </w:r>
            <w:r>
              <w:t>:</w:t>
            </w:r>
            <w:r>
              <w:rPr>
                <w:spacing w:val="-1"/>
              </w:rPr>
              <w:t xml:space="preserve"> </w:t>
            </w:r>
            <w:r>
              <w:t>TLDs that have exemptions from the Code of Conduct (Specification</w:t>
            </w:r>
            <w:r>
              <w:rPr>
                <w:spacing w:val="-10"/>
              </w:rPr>
              <w:t xml:space="preserve"> </w:t>
            </w:r>
            <w:r>
              <w:t>9),</w:t>
            </w:r>
            <w:r>
              <w:rPr>
                <w:spacing w:val="-10"/>
              </w:rPr>
              <w:t xml:space="preserve"> </w:t>
            </w:r>
            <w:r>
              <w:t>including</w:t>
            </w:r>
            <w:r>
              <w:rPr>
                <w:spacing w:val="-10"/>
              </w:rPr>
              <w:t xml:space="preserve"> </w:t>
            </w:r>
            <w:r>
              <w:t>.Brand</w:t>
            </w:r>
            <w:r>
              <w:rPr>
                <w:spacing w:val="-14"/>
              </w:rPr>
              <w:t xml:space="preserve"> </w:t>
            </w:r>
            <w:r>
              <w:t>TLDs qualified for Specification 13, must also receive an exemption from Continued Operations Instrument (COI) requirements or requirements for the successor to the COI.</w:t>
            </w:r>
          </w:p>
        </w:tc>
        <w:tc>
          <w:tcPr>
            <w:tcW w:w="4317" w:type="dxa"/>
          </w:tcPr>
          <w:p w14:paraId="6824DB6A" w14:textId="77777777" w:rsidR="00F15BB9" w:rsidRDefault="00F15BB9" w:rsidP="00F15BB9">
            <w:pPr>
              <w:pStyle w:val="TableParagraph"/>
              <w:spacing w:before="145"/>
              <w:ind w:left="147" w:right="139"/>
            </w:pPr>
            <w:r>
              <w:t>The</w:t>
            </w:r>
            <w:r>
              <w:rPr>
                <w:spacing w:val="-5"/>
              </w:rPr>
              <w:t xml:space="preserve"> </w:t>
            </w:r>
            <w:r>
              <w:t>Board</w:t>
            </w:r>
            <w:r>
              <w:rPr>
                <w:spacing w:val="-5"/>
              </w:rPr>
              <w:t xml:space="preserve"> </w:t>
            </w:r>
            <w:r>
              <w:t>is</w:t>
            </w:r>
            <w:r>
              <w:rPr>
                <w:spacing w:val="-5"/>
              </w:rPr>
              <w:t xml:space="preserve"> </w:t>
            </w:r>
            <w:r>
              <w:t>concerned</w:t>
            </w:r>
            <w:r>
              <w:rPr>
                <w:spacing w:val="-5"/>
              </w:rPr>
              <w:t xml:space="preserve"> </w:t>
            </w:r>
            <w:r>
              <w:t>that</w:t>
            </w:r>
            <w:r>
              <w:rPr>
                <w:spacing w:val="-5"/>
              </w:rPr>
              <w:t xml:space="preserve"> </w:t>
            </w:r>
            <w:r>
              <w:t>an</w:t>
            </w:r>
            <w:r>
              <w:rPr>
                <w:spacing w:val="-5"/>
              </w:rPr>
              <w:t xml:space="preserve"> </w:t>
            </w:r>
            <w:r>
              <w:t>exemption</w:t>
            </w:r>
            <w:r>
              <w:rPr>
                <w:spacing w:val="-5"/>
              </w:rPr>
              <w:t xml:space="preserve"> </w:t>
            </w:r>
            <w:r>
              <w:t>from</w:t>
            </w:r>
            <w:r>
              <w:rPr>
                <w:spacing w:val="-5"/>
              </w:rPr>
              <w:t xml:space="preserve"> </w:t>
            </w:r>
            <w:r>
              <w:t>an COI for Spec 9 applications would have financial impact</w:t>
            </w:r>
            <w:r>
              <w:rPr>
                <w:spacing w:val="-3"/>
              </w:rPr>
              <w:t xml:space="preserve"> </w:t>
            </w:r>
            <w:r>
              <w:t>on</w:t>
            </w:r>
            <w:r>
              <w:rPr>
                <w:spacing w:val="-3"/>
              </w:rPr>
              <w:t xml:space="preserve"> </w:t>
            </w:r>
            <w:r>
              <w:t>ICANN</w:t>
            </w:r>
            <w:r>
              <w:rPr>
                <w:spacing w:val="-3"/>
              </w:rPr>
              <w:t xml:space="preserve"> </w:t>
            </w:r>
            <w:r>
              <w:t>since</w:t>
            </w:r>
            <w:r>
              <w:rPr>
                <w:spacing w:val="-3"/>
              </w:rPr>
              <w:t xml:space="preserve"> </w:t>
            </w:r>
            <w:r>
              <w:t>there</w:t>
            </w:r>
            <w:r>
              <w:rPr>
                <w:spacing w:val="-3"/>
              </w:rPr>
              <w:t xml:space="preserve"> </w:t>
            </w:r>
            <w:r>
              <w:t>would</w:t>
            </w:r>
            <w:r>
              <w:rPr>
                <w:spacing w:val="-3"/>
              </w:rPr>
              <w:t xml:space="preserve"> </w:t>
            </w:r>
            <w:r>
              <w:t>be</w:t>
            </w:r>
            <w:r>
              <w:rPr>
                <w:spacing w:val="-3"/>
              </w:rPr>
              <w:t xml:space="preserve"> </w:t>
            </w:r>
            <w:r>
              <w:t>no</w:t>
            </w:r>
            <w:r>
              <w:rPr>
                <w:spacing w:val="-3"/>
              </w:rPr>
              <w:t xml:space="preserve"> </w:t>
            </w:r>
            <w:r>
              <w:t>fund</w:t>
            </w:r>
            <w:r>
              <w:rPr>
                <w:spacing w:val="-3"/>
              </w:rPr>
              <w:t xml:space="preserve"> </w:t>
            </w:r>
            <w:r>
              <w:t>to draw from if such a registry went into EBERO.</w:t>
            </w:r>
          </w:p>
          <w:p w14:paraId="69027202" w14:textId="77777777" w:rsidR="00F15BB9" w:rsidRDefault="00F15BB9" w:rsidP="00F15BB9">
            <w:pPr>
              <w:pStyle w:val="TableParagraph"/>
              <w:ind w:left="0"/>
            </w:pPr>
          </w:p>
          <w:p w14:paraId="1DDCA446" w14:textId="77777777" w:rsidR="00F15BB9" w:rsidRDefault="00F15BB9" w:rsidP="00F15BB9">
            <w:pPr>
              <w:pStyle w:val="TableParagraph"/>
              <w:ind w:left="147" w:right="139"/>
            </w:pPr>
            <w:r>
              <w:t>Further,</w:t>
            </w:r>
            <w:r>
              <w:rPr>
                <w:spacing w:val="-7"/>
              </w:rPr>
              <w:t xml:space="preserve"> </w:t>
            </w:r>
            <w:r>
              <w:t>not</w:t>
            </w:r>
            <w:r>
              <w:rPr>
                <w:spacing w:val="-7"/>
              </w:rPr>
              <w:t xml:space="preserve"> </w:t>
            </w:r>
            <w:r>
              <w:t>moving</w:t>
            </w:r>
            <w:r>
              <w:rPr>
                <w:spacing w:val="-7"/>
              </w:rPr>
              <w:t xml:space="preserve"> </w:t>
            </w:r>
            <w:r>
              <w:t>a</w:t>
            </w:r>
            <w:r>
              <w:rPr>
                <w:spacing w:val="-7"/>
              </w:rPr>
              <w:t xml:space="preserve"> </w:t>
            </w:r>
            <w:r>
              <w:t>Brand</w:t>
            </w:r>
            <w:r>
              <w:rPr>
                <w:spacing w:val="-10"/>
              </w:rPr>
              <w:t xml:space="preserve"> </w:t>
            </w:r>
            <w:r>
              <w:t>TLD</w:t>
            </w:r>
            <w:r>
              <w:rPr>
                <w:spacing w:val="-7"/>
              </w:rPr>
              <w:t xml:space="preserve"> </w:t>
            </w:r>
            <w:r>
              <w:t>into</w:t>
            </w:r>
            <w:r>
              <w:rPr>
                <w:spacing w:val="-7"/>
              </w:rPr>
              <w:t xml:space="preserve"> </w:t>
            </w:r>
            <w:r>
              <w:t>EBERO</w:t>
            </w:r>
            <w:r>
              <w:rPr>
                <w:spacing w:val="-7"/>
              </w:rPr>
              <w:t xml:space="preserve"> </w:t>
            </w:r>
            <w:r>
              <w:t>might have a security and stability impact, especially if Brands allocate second level TLDs to customers</w:t>
            </w:r>
          </w:p>
          <w:p w14:paraId="1DBCFB52" w14:textId="3496DA56" w:rsidR="00CF2E41" w:rsidRDefault="00F15BB9" w:rsidP="00F15BB9">
            <w:r>
              <w:t>-such</w:t>
            </w:r>
            <w:r>
              <w:rPr>
                <w:spacing w:val="-6"/>
              </w:rPr>
              <w:t xml:space="preserve"> </w:t>
            </w:r>
            <w:r>
              <w:t>as</w:t>
            </w:r>
            <w:r>
              <w:rPr>
                <w:spacing w:val="-6"/>
              </w:rPr>
              <w:t xml:space="preserve"> </w:t>
            </w:r>
            <w:r>
              <w:t>a</w:t>
            </w:r>
            <w:r>
              <w:rPr>
                <w:spacing w:val="-6"/>
              </w:rPr>
              <w:t xml:space="preserve"> </w:t>
            </w:r>
            <w:r>
              <w:t>car</w:t>
            </w:r>
            <w:r>
              <w:rPr>
                <w:spacing w:val="-6"/>
              </w:rPr>
              <w:t xml:space="preserve"> </w:t>
            </w:r>
            <w:r>
              <w:t>manufacturer</w:t>
            </w:r>
            <w:r>
              <w:rPr>
                <w:spacing w:val="-6"/>
              </w:rPr>
              <w:t xml:space="preserve"> </w:t>
            </w:r>
            <w:r>
              <w:t>providing</w:t>
            </w:r>
            <w:r>
              <w:rPr>
                <w:spacing w:val="-6"/>
              </w:rPr>
              <w:t xml:space="preserve"> </w:t>
            </w:r>
            <w:r>
              <w:t>a</w:t>
            </w:r>
            <w:r>
              <w:rPr>
                <w:spacing w:val="-6"/>
              </w:rPr>
              <w:t xml:space="preserve"> </w:t>
            </w:r>
            <w:r>
              <w:t>second</w:t>
            </w:r>
            <w:r>
              <w:rPr>
                <w:spacing w:val="-6"/>
              </w:rPr>
              <w:t xml:space="preserve"> </w:t>
            </w:r>
            <w:r>
              <w:t>level registration for their cars.</w:t>
            </w:r>
          </w:p>
        </w:tc>
        <w:tc>
          <w:tcPr>
            <w:tcW w:w="4317" w:type="dxa"/>
          </w:tcPr>
          <w:p w14:paraId="11194987" w14:textId="77777777" w:rsidR="00CF2E41" w:rsidRDefault="00CF2E41" w:rsidP="00CF2E41"/>
          <w:p w14:paraId="5125F9D0" w14:textId="77777777" w:rsidR="00DF6D16" w:rsidRDefault="005E0B9A" w:rsidP="00CF2E41">
            <w:r>
              <w:t xml:space="preserve">The SubPro PDP Discussed this very </w:t>
            </w:r>
            <w:r w:rsidR="00B5744B">
              <w:t>topic and</w:t>
            </w:r>
            <w:r w:rsidR="00110169">
              <w:t xml:space="preserve"> came to the following conclusions:  </w:t>
            </w:r>
          </w:p>
          <w:p w14:paraId="2839E10E" w14:textId="77777777" w:rsidR="00371716" w:rsidRDefault="00DF6D16" w:rsidP="00DF6D16">
            <w:pPr>
              <w:pStyle w:val="ListParagraph"/>
              <w:numPr>
                <w:ilvl w:val="0"/>
                <w:numId w:val="20"/>
              </w:numPr>
            </w:pPr>
            <w:r>
              <w:t>Of the critical services</w:t>
            </w:r>
            <w:r w:rsidR="00117CD4">
              <w:t xml:space="preserve"> failing, the only one that could even necessitate the use of an EBERO would be </w:t>
            </w:r>
            <w:r w:rsidR="00DC1A4C">
              <w:t>DNS.  Failure of WHOIS, ESCROW</w:t>
            </w:r>
            <w:r w:rsidR="005E0B9A">
              <w:t xml:space="preserve"> </w:t>
            </w:r>
            <w:r w:rsidR="00E22F58">
              <w:t xml:space="preserve">or the SRS are really not relevant </w:t>
            </w:r>
            <w:r w:rsidR="00A746A2">
              <w:t>when there is one registrant owning all registrations.</w:t>
            </w:r>
          </w:p>
          <w:p w14:paraId="4CC2662F" w14:textId="77777777" w:rsidR="00A746A2" w:rsidRDefault="00A746A2" w:rsidP="00DF6D16">
            <w:pPr>
              <w:pStyle w:val="ListParagraph"/>
              <w:numPr>
                <w:ilvl w:val="0"/>
                <w:numId w:val="20"/>
              </w:numPr>
            </w:pPr>
            <w:r>
              <w:t xml:space="preserve">The likelihood of total DNS Failure at the registry level for smaller single registrant TLDs is </w:t>
            </w:r>
            <w:r w:rsidR="00A74E1C">
              <w:t>incredibly miniscule since again, there are generally a lot less registrations and only 1 registrant</w:t>
            </w:r>
          </w:p>
          <w:p w14:paraId="53A0FEB3" w14:textId="77777777" w:rsidR="0067656F" w:rsidRDefault="0067656F" w:rsidP="00DF6D16">
            <w:pPr>
              <w:pStyle w:val="ListParagraph"/>
              <w:numPr>
                <w:ilvl w:val="0"/>
                <w:numId w:val="20"/>
              </w:numPr>
            </w:pPr>
            <w:r>
              <w:t>There has never been a failure of a Single Registrant TLD</w:t>
            </w:r>
          </w:p>
          <w:p w14:paraId="06E4E996" w14:textId="1F0C5AC3" w:rsidR="00E17912" w:rsidRDefault="003D0F6A" w:rsidP="00DF6D16">
            <w:pPr>
              <w:pStyle w:val="ListParagraph"/>
              <w:numPr>
                <w:ilvl w:val="0"/>
                <w:numId w:val="20"/>
              </w:numPr>
            </w:pPr>
            <w:r>
              <w:t xml:space="preserve">Its not ICANN’s job to look out for the customers of </w:t>
            </w:r>
            <w:r w:rsidR="00B440A8">
              <w:t>any TLD</w:t>
            </w:r>
            <w:r w:rsidR="008A2505">
              <w:t>, much less a brands or Single Registrant TLD, all the users of which know the registry (which again owns and is responsible for all registrations).</w:t>
            </w:r>
          </w:p>
          <w:p w14:paraId="7602363A" w14:textId="6CE67733" w:rsidR="00CF2E41" w:rsidRDefault="00C058A1" w:rsidP="00DF6D16">
            <w:pPr>
              <w:pStyle w:val="ListParagraph"/>
              <w:numPr>
                <w:ilvl w:val="0"/>
                <w:numId w:val="20"/>
              </w:numPr>
            </w:pPr>
            <w:r>
              <w:t>If the Single Registrant TLD elects to have an EBERO save it, it can then pay for that service.</w:t>
            </w:r>
          </w:p>
        </w:tc>
      </w:tr>
      <w:tr w:rsidR="00F15BB9" w14:paraId="1EB0F41B" w14:textId="77777777" w:rsidTr="00F15BB9">
        <w:trPr>
          <w:trHeight w:val="557"/>
          <w:tblHeader/>
        </w:trPr>
        <w:tc>
          <w:tcPr>
            <w:tcW w:w="12950" w:type="dxa"/>
            <w:gridSpan w:val="3"/>
            <w:shd w:val="clear" w:color="auto" w:fill="0D0D0D" w:themeFill="text1" w:themeFillTint="F2"/>
            <w:vAlign w:val="center"/>
          </w:tcPr>
          <w:p w14:paraId="37C51485" w14:textId="569AB26D" w:rsidR="00F15BB9" w:rsidRPr="00F15BB9" w:rsidRDefault="00F15BB9" w:rsidP="00CF2E41">
            <w:pPr>
              <w:rPr>
                <w:b/>
                <w:bCs/>
              </w:rPr>
            </w:pPr>
            <w:r>
              <w:rPr>
                <w:b/>
                <w:bCs/>
              </w:rPr>
              <w:lastRenderedPageBreak/>
              <w:t>Topic 24:  String Similarity Evaluations</w:t>
            </w:r>
          </w:p>
        </w:tc>
      </w:tr>
      <w:tr w:rsidR="00CF2E41" w14:paraId="09BE26C7" w14:textId="77777777" w:rsidTr="0018724A">
        <w:trPr>
          <w:tblHeader/>
        </w:trPr>
        <w:tc>
          <w:tcPr>
            <w:tcW w:w="4316" w:type="dxa"/>
          </w:tcPr>
          <w:p w14:paraId="6B8A6659" w14:textId="77777777" w:rsidR="009964AB" w:rsidRDefault="009964AB" w:rsidP="009964AB">
            <w:pPr>
              <w:pStyle w:val="TableParagraph"/>
              <w:spacing w:before="148"/>
              <w:ind w:right="137"/>
            </w:pPr>
            <w:r>
              <w:rPr>
                <w:b/>
              </w:rPr>
              <w:t>Recommendation 24.3</w:t>
            </w:r>
            <w:r>
              <w:t>: The Working Group recommends updating the standards of both (a) confusing</w:t>
            </w:r>
            <w:r>
              <w:rPr>
                <w:spacing w:val="40"/>
              </w:rPr>
              <w:t xml:space="preserve"> </w:t>
            </w:r>
            <w:r>
              <w:t>similarity to an existing top-level</w:t>
            </w:r>
            <w:r>
              <w:rPr>
                <w:spacing w:val="40"/>
              </w:rPr>
              <w:t xml:space="preserve"> </w:t>
            </w:r>
            <w:r>
              <w:t>domain or a Reserved Name, and (b) similarity for purposes of determining string</w:t>
            </w:r>
            <w:r>
              <w:rPr>
                <w:spacing w:val="-8"/>
              </w:rPr>
              <w:t xml:space="preserve"> </w:t>
            </w:r>
            <w:r>
              <w:t>contention,</w:t>
            </w:r>
            <w:r>
              <w:rPr>
                <w:spacing w:val="-8"/>
              </w:rPr>
              <w:t xml:space="preserve"> </w:t>
            </w:r>
            <w:r>
              <w:t>to</w:t>
            </w:r>
            <w:r>
              <w:rPr>
                <w:spacing w:val="-8"/>
              </w:rPr>
              <w:t xml:space="preserve"> </w:t>
            </w:r>
            <w:r>
              <w:t>address</w:t>
            </w:r>
            <w:r>
              <w:rPr>
                <w:spacing w:val="-8"/>
              </w:rPr>
              <w:t xml:space="preserve"> </w:t>
            </w:r>
            <w:r>
              <w:t>singular</w:t>
            </w:r>
            <w:r>
              <w:rPr>
                <w:spacing w:val="-8"/>
              </w:rPr>
              <w:t xml:space="preserve"> </w:t>
            </w:r>
            <w:r>
              <w:t>and plural versions of the same word, noting that this was an area where there was insufficient clarity in the 2012 round.</w:t>
            </w:r>
          </w:p>
          <w:p w14:paraId="75C54D80" w14:textId="77777777" w:rsidR="000E05C1" w:rsidRDefault="009964AB" w:rsidP="000E05C1">
            <w:pPr>
              <w:pStyle w:val="TableParagraph"/>
              <w:spacing w:before="140"/>
              <w:ind w:right="165"/>
            </w:pPr>
            <w:r>
              <w:rPr>
                <w:spacing w:val="-2"/>
              </w:rPr>
              <w:t>Specifically,</w:t>
            </w:r>
            <w:r>
              <w:rPr>
                <w:spacing w:val="-3"/>
              </w:rPr>
              <w:t xml:space="preserve"> </w:t>
            </w:r>
            <w:r>
              <w:rPr>
                <w:spacing w:val="-2"/>
              </w:rPr>
              <w:t>the</w:t>
            </w:r>
            <w:r>
              <w:rPr>
                <w:spacing w:val="-7"/>
              </w:rPr>
              <w:t xml:space="preserve"> </w:t>
            </w:r>
            <w:r>
              <w:rPr>
                <w:spacing w:val="-2"/>
              </w:rPr>
              <w:t>Working Group</w:t>
            </w:r>
            <w:r w:rsidR="000E05C1">
              <w:rPr>
                <w:spacing w:val="-2"/>
              </w:rPr>
              <w:t xml:space="preserve"> </w:t>
            </w:r>
            <w:r w:rsidR="000E05C1">
              <w:t>recommends prohibiting plurals and singulars of the same word within the same</w:t>
            </w:r>
            <w:r w:rsidR="000E05C1">
              <w:rPr>
                <w:spacing w:val="-8"/>
              </w:rPr>
              <w:t xml:space="preserve"> </w:t>
            </w:r>
            <w:r w:rsidR="000E05C1">
              <w:t>language/script</w:t>
            </w:r>
            <w:r w:rsidR="000E05C1">
              <w:rPr>
                <w:spacing w:val="-8"/>
              </w:rPr>
              <w:t xml:space="preserve"> </w:t>
            </w:r>
            <w:r w:rsidR="000E05C1">
              <w:t>in</w:t>
            </w:r>
            <w:r w:rsidR="000E05C1">
              <w:rPr>
                <w:spacing w:val="-8"/>
              </w:rPr>
              <w:t xml:space="preserve"> </w:t>
            </w:r>
            <w:r w:rsidR="000E05C1">
              <w:t>order</w:t>
            </w:r>
            <w:r w:rsidR="000E05C1">
              <w:rPr>
                <w:spacing w:val="-8"/>
              </w:rPr>
              <w:t xml:space="preserve"> </w:t>
            </w:r>
            <w:r w:rsidR="000E05C1">
              <w:t>to</w:t>
            </w:r>
            <w:r w:rsidR="000E05C1">
              <w:rPr>
                <w:spacing w:val="-8"/>
              </w:rPr>
              <w:t xml:space="preserve"> </w:t>
            </w:r>
            <w:r w:rsidR="000E05C1">
              <w:t>reduce the risk of consumer confusion. For example, the TLDs .EXAMPLE</w:t>
            </w:r>
            <w:r w:rsidR="000E05C1">
              <w:rPr>
                <w:vertAlign w:val="superscript"/>
              </w:rPr>
              <w:t>12</w:t>
            </w:r>
            <w:r w:rsidR="000E05C1">
              <w:t xml:space="preserve"> and</w:t>
            </w:r>
          </w:p>
          <w:p w14:paraId="2D3B180B" w14:textId="77777777" w:rsidR="000E05C1" w:rsidRDefault="000E05C1" w:rsidP="000E05C1">
            <w:pPr>
              <w:pStyle w:val="TableParagraph"/>
            </w:pPr>
            <w:r>
              <w:t>.EXAMPLES</w:t>
            </w:r>
            <w:r>
              <w:rPr>
                <w:spacing w:val="-8"/>
              </w:rPr>
              <w:t xml:space="preserve"> </w:t>
            </w:r>
            <w:r>
              <w:t>may</w:t>
            </w:r>
            <w:r>
              <w:rPr>
                <w:spacing w:val="-8"/>
              </w:rPr>
              <w:t xml:space="preserve"> </w:t>
            </w:r>
            <w:r>
              <w:t>not</w:t>
            </w:r>
            <w:r>
              <w:rPr>
                <w:spacing w:val="-8"/>
              </w:rPr>
              <w:t xml:space="preserve"> </w:t>
            </w:r>
            <w:r>
              <w:t>both</w:t>
            </w:r>
            <w:r>
              <w:rPr>
                <w:spacing w:val="-8"/>
              </w:rPr>
              <w:t xml:space="preserve"> </w:t>
            </w:r>
            <w:r>
              <w:t>be</w:t>
            </w:r>
            <w:r>
              <w:rPr>
                <w:spacing w:val="-8"/>
              </w:rPr>
              <w:t xml:space="preserve"> </w:t>
            </w:r>
            <w:r>
              <w:t>delegated because</w:t>
            </w:r>
            <w:r>
              <w:rPr>
                <w:spacing w:val="-1"/>
              </w:rPr>
              <w:t xml:space="preserve"> </w:t>
            </w:r>
            <w:r>
              <w:t>they</w:t>
            </w:r>
            <w:r>
              <w:rPr>
                <w:spacing w:val="-1"/>
              </w:rPr>
              <w:t xml:space="preserve"> </w:t>
            </w:r>
            <w:r>
              <w:t>are</w:t>
            </w:r>
            <w:r>
              <w:rPr>
                <w:spacing w:val="-1"/>
              </w:rPr>
              <w:t xml:space="preserve"> </w:t>
            </w:r>
            <w:r>
              <w:t>considered</w:t>
            </w:r>
            <w:r>
              <w:rPr>
                <w:spacing w:val="-1"/>
              </w:rPr>
              <w:t xml:space="preserve"> </w:t>
            </w:r>
            <w:r>
              <w:t>confusingly similar. This expands the scope of the String Similarity Review to encompass singulars/plurals of TLDs on a</w:t>
            </w:r>
          </w:p>
          <w:p w14:paraId="4F16313E" w14:textId="77777777" w:rsidR="000E05C1" w:rsidRDefault="000E05C1" w:rsidP="000E05C1">
            <w:pPr>
              <w:pStyle w:val="TableParagraph"/>
            </w:pPr>
            <w:r>
              <w:rPr>
                <w:spacing w:val="-2"/>
              </w:rPr>
              <w:t>per-language/script</w:t>
            </w:r>
            <w:r>
              <w:rPr>
                <w:spacing w:val="15"/>
              </w:rPr>
              <w:t xml:space="preserve"> </w:t>
            </w:r>
            <w:r>
              <w:rPr>
                <w:spacing w:val="-2"/>
              </w:rPr>
              <w:t>basis.</w:t>
            </w:r>
          </w:p>
          <w:p w14:paraId="216BE9CC" w14:textId="77777777" w:rsidR="000E05C1" w:rsidRDefault="000E05C1" w:rsidP="000E05C1">
            <w:pPr>
              <w:pStyle w:val="TableParagraph"/>
              <w:ind w:left="0"/>
            </w:pPr>
          </w:p>
          <w:p w14:paraId="43F4FB85" w14:textId="77777777" w:rsidR="000E05C1" w:rsidRDefault="000E05C1" w:rsidP="000E05C1">
            <w:pPr>
              <w:pStyle w:val="TableParagraph"/>
              <w:numPr>
                <w:ilvl w:val="0"/>
                <w:numId w:val="6"/>
              </w:numPr>
              <w:tabs>
                <w:tab w:val="left" w:pos="857"/>
                <w:tab w:val="left" w:pos="858"/>
              </w:tabs>
              <w:ind w:right="133"/>
            </w:pPr>
            <w:r>
              <w:t>An application for a</w:t>
            </w:r>
            <w:r>
              <w:rPr>
                <w:spacing w:val="40"/>
              </w:rPr>
              <w:t xml:space="preserve"> </w:t>
            </w:r>
            <w:r>
              <w:t>single/plural variation of an existing</w:t>
            </w:r>
            <w:r>
              <w:rPr>
                <w:spacing w:val="-10"/>
              </w:rPr>
              <w:t xml:space="preserve"> </w:t>
            </w:r>
            <w:r>
              <w:t>TLD</w:t>
            </w:r>
            <w:r>
              <w:rPr>
                <w:spacing w:val="-6"/>
              </w:rPr>
              <w:t xml:space="preserve"> </w:t>
            </w:r>
            <w:r>
              <w:t>or</w:t>
            </w:r>
            <w:r>
              <w:rPr>
                <w:spacing w:val="-6"/>
              </w:rPr>
              <w:t xml:space="preserve"> </w:t>
            </w:r>
            <w:r>
              <w:t>Reserved</w:t>
            </w:r>
            <w:r>
              <w:rPr>
                <w:spacing w:val="-6"/>
              </w:rPr>
              <w:t xml:space="preserve"> </w:t>
            </w:r>
            <w:r>
              <w:t>Name will not be permitted if the intended use of the applied-for string</w:t>
            </w:r>
            <w:r>
              <w:rPr>
                <w:spacing w:val="-10"/>
              </w:rPr>
              <w:t xml:space="preserve"> </w:t>
            </w:r>
            <w:r>
              <w:t>is</w:t>
            </w:r>
            <w:r>
              <w:rPr>
                <w:spacing w:val="-10"/>
              </w:rPr>
              <w:t xml:space="preserve"> </w:t>
            </w:r>
            <w:r>
              <w:t>the</w:t>
            </w:r>
            <w:r>
              <w:rPr>
                <w:spacing w:val="-10"/>
              </w:rPr>
              <w:t xml:space="preserve"> </w:t>
            </w:r>
            <w:r>
              <w:t>single/plural</w:t>
            </w:r>
            <w:r>
              <w:rPr>
                <w:spacing w:val="-10"/>
              </w:rPr>
              <w:t xml:space="preserve"> </w:t>
            </w:r>
            <w:r>
              <w:t>version of</w:t>
            </w:r>
            <w:r>
              <w:rPr>
                <w:spacing w:val="-1"/>
              </w:rPr>
              <w:t xml:space="preserve"> </w:t>
            </w:r>
            <w:r>
              <w:t>the</w:t>
            </w:r>
            <w:r>
              <w:rPr>
                <w:spacing w:val="-1"/>
              </w:rPr>
              <w:t xml:space="preserve"> </w:t>
            </w:r>
            <w:r>
              <w:t>existing</w:t>
            </w:r>
            <w:r>
              <w:rPr>
                <w:spacing w:val="-5"/>
              </w:rPr>
              <w:t xml:space="preserve"> </w:t>
            </w:r>
            <w:r>
              <w:t>TLD</w:t>
            </w:r>
            <w:r>
              <w:rPr>
                <w:spacing w:val="-1"/>
              </w:rPr>
              <w:t xml:space="preserve"> </w:t>
            </w:r>
            <w:r>
              <w:t>or</w:t>
            </w:r>
            <w:r>
              <w:rPr>
                <w:spacing w:val="-1"/>
              </w:rPr>
              <w:t xml:space="preserve"> </w:t>
            </w:r>
            <w:r>
              <w:t>Reserved Name. For example, if there is an existing</w:t>
            </w:r>
            <w:r>
              <w:rPr>
                <w:spacing w:val="-3"/>
              </w:rPr>
              <w:t xml:space="preserve"> </w:t>
            </w:r>
            <w:r>
              <w:t>TLD .SPRINGS that is used in connection with</w:t>
            </w:r>
            <w:r>
              <w:rPr>
                <w:spacing w:val="40"/>
              </w:rPr>
              <w:t xml:space="preserve"> </w:t>
            </w:r>
            <w:r>
              <w:t xml:space="preserve">elastic objects </w:t>
            </w:r>
            <w:r>
              <w:lastRenderedPageBreak/>
              <w:t>and a new application for .SPRING that is also intended to be used in connection with elastic objects,</w:t>
            </w:r>
          </w:p>
          <w:p w14:paraId="6DBB2132" w14:textId="77777777" w:rsidR="0009307C" w:rsidRDefault="000E05C1" w:rsidP="0009307C">
            <w:pPr>
              <w:pStyle w:val="TableParagraph"/>
              <w:ind w:left="857"/>
              <w:rPr>
                <w:spacing w:val="-2"/>
              </w:rPr>
            </w:pPr>
            <w:r>
              <w:t>.SPRING</w:t>
            </w:r>
            <w:r>
              <w:rPr>
                <w:spacing w:val="-4"/>
              </w:rPr>
              <w:t xml:space="preserve"> </w:t>
            </w:r>
            <w:r>
              <w:t>will</w:t>
            </w:r>
            <w:r>
              <w:rPr>
                <w:spacing w:val="-4"/>
              </w:rPr>
              <w:t xml:space="preserve"> </w:t>
            </w:r>
            <w:r>
              <w:t>not</w:t>
            </w:r>
            <w:r>
              <w:rPr>
                <w:spacing w:val="-4"/>
              </w:rPr>
              <w:t xml:space="preserve"> </w:t>
            </w:r>
            <w:r>
              <w:t>be</w:t>
            </w:r>
            <w:r>
              <w:rPr>
                <w:spacing w:val="-4"/>
              </w:rPr>
              <w:t xml:space="preserve"> </w:t>
            </w:r>
            <w:r>
              <w:rPr>
                <w:spacing w:val="-2"/>
              </w:rPr>
              <w:t>permitted.</w:t>
            </w:r>
          </w:p>
          <w:p w14:paraId="5C45F4CC" w14:textId="560C27A5" w:rsidR="00883FEE" w:rsidRDefault="000E05C1" w:rsidP="00883FEE">
            <w:pPr>
              <w:pStyle w:val="TableParagraph"/>
              <w:spacing w:before="140"/>
              <w:ind w:left="857"/>
            </w:pPr>
            <w:r>
              <w:t>If</w:t>
            </w:r>
            <w:r>
              <w:rPr>
                <w:spacing w:val="-7"/>
              </w:rPr>
              <w:t xml:space="preserve"> </w:t>
            </w:r>
            <w:r>
              <w:t>there</w:t>
            </w:r>
            <w:r>
              <w:rPr>
                <w:spacing w:val="-7"/>
              </w:rPr>
              <w:t xml:space="preserve"> </w:t>
            </w:r>
            <w:r>
              <w:t>is</w:t>
            </w:r>
            <w:r>
              <w:rPr>
                <w:spacing w:val="-7"/>
              </w:rPr>
              <w:t xml:space="preserve"> </w:t>
            </w:r>
            <w:r>
              <w:t>an</w:t>
            </w:r>
            <w:r>
              <w:rPr>
                <w:spacing w:val="-7"/>
              </w:rPr>
              <w:t xml:space="preserve"> </w:t>
            </w:r>
            <w:r>
              <w:t>application</w:t>
            </w:r>
            <w:r>
              <w:rPr>
                <w:spacing w:val="-7"/>
              </w:rPr>
              <w:t xml:space="preserve"> </w:t>
            </w:r>
            <w:r>
              <w:t>for</w:t>
            </w:r>
            <w:r>
              <w:rPr>
                <w:spacing w:val="-7"/>
              </w:rPr>
              <w:t xml:space="preserve"> </w:t>
            </w:r>
            <w:r>
              <w:t>the singular version of a word and an application for a plural</w:t>
            </w:r>
            <w:r w:rsidR="00883FEE">
              <w:t xml:space="preserve"> version</w:t>
            </w:r>
            <w:r w:rsidR="00883FEE">
              <w:rPr>
                <w:spacing w:val="-2"/>
              </w:rPr>
              <w:t xml:space="preserve"> </w:t>
            </w:r>
            <w:r w:rsidR="00883FEE">
              <w:t>of</w:t>
            </w:r>
            <w:r w:rsidR="00883FEE">
              <w:rPr>
                <w:spacing w:val="-2"/>
              </w:rPr>
              <w:t xml:space="preserve"> </w:t>
            </w:r>
            <w:r w:rsidR="00883FEE">
              <w:t>the</w:t>
            </w:r>
            <w:r w:rsidR="00883FEE">
              <w:rPr>
                <w:spacing w:val="-2"/>
              </w:rPr>
              <w:t xml:space="preserve"> </w:t>
            </w:r>
            <w:r w:rsidR="00883FEE">
              <w:t>same</w:t>
            </w:r>
            <w:r w:rsidR="00883FEE">
              <w:rPr>
                <w:spacing w:val="-2"/>
              </w:rPr>
              <w:t xml:space="preserve"> </w:t>
            </w:r>
            <w:r w:rsidR="00883FEE">
              <w:t>word</w:t>
            </w:r>
            <w:r w:rsidR="00883FEE">
              <w:rPr>
                <w:spacing w:val="-2"/>
              </w:rPr>
              <w:t xml:space="preserve"> </w:t>
            </w:r>
            <w:r w:rsidR="00883FEE">
              <w:t>in</w:t>
            </w:r>
            <w:r w:rsidR="00883FEE">
              <w:rPr>
                <w:spacing w:val="-2"/>
              </w:rPr>
              <w:t xml:space="preserve"> </w:t>
            </w:r>
            <w:r w:rsidR="00883FEE">
              <w:t>the same</w:t>
            </w:r>
            <w:r w:rsidR="00883FEE">
              <w:rPr>
                <w:spacing w:val="-14"/>
              </w:rPr>
              <w:t xml:space="preserve"> </w:t>
            </w:r>
            <w:r w:rsidR="00883FEE">
              <w:t>language/script</w:t>
            </w:r>
            <w:r w:rsidR="00883FEE">
              <w:rPr>
                <w:spacing w:val="-13"/>
              </w:rPr>
              <w:t xml:space="preserve"> </w:t>
            </w:r>
            <w:r w:rsidR="00883FEE">
              <w:t>during</w:t>
            </w:r>
            <w:r w:rsidR="00883FEE">
              <w:rPr>
                <w:spacing w:val="-14"/>
              </w:rPr>
              <w:t xml:space="preserve"> </w:t>
            </w:r>
            <w:r w:rsidR="00883FEE">
              <w:t>the same</w:t>
            </w:r>
            <w:r w:rsidR="00883FEE">
              <w:rPr>
                <w:spacing w:val="-14"/>
              </w:rPr>
              <w:t xml:space="preserve"> </w:t>
            </w:r>
            <w:r w:rsidR="00883FEE">
              <w:t>application</w:t>
            </w:r>
            <w:r w:rsidR="00883FEE">
              <w:rPr>
                <w:spacing w:val="-14"/>
              </w:rPr>
              <w:t xml:space="preserve"> </w:t>
            </w:r>
            <w:r w:rsidR="00883FEE">
              <w:t>window,</w:t>
            </w:r>
            <w:r w:rsidR="00883FEE">
              <w:rPr>
                <w:spacing w:val="-14"/>
              </w:rPr>
              <w:t xml:space="preserve"> </w:t>
            </w:r>
            <w:r w:rsidR="00883FEE">
              <w:t>these applications will be placed in a contention</w:t>
            </w:r>
            <w:r w:rsidR="00883FEE">
              <w:rPr>
                <w:spacing w:val="-7"/>
              </w:rPr>
              <w:t xml:space="preserve"> </w:t>
            </w:r>
            <w:r w:rsidR="00883FEE">
              <w:t>set,</w:t>
            </w:r>
            <w:r w:rsidR="00883FEE">
              <w:rPr>
                <w:spacing w:val="-7"/>
              </w:rPr>
              <w:t xml:space="preserve"> </w:t>
            </w:r>
            <w:r w:rsidR="00883FEE">
              <w:t>because</w:t>
            </w:r>
            <w:r w:rsidR="00883FEE">
              <w:rPr>
                <w:spacing w:val="-7"/>
              </w:rPr>
              <w:t xml:space="preserve"> </w:t>
            </w:r>
            <w:r w:rsidR="00883FEE">
              <w:t>they</w:t>
            </w:r>
            <w:r w:rsidR="00883FEE">
              <w:rPr>
                <w:spacing w:val="-7"/>
              </w:rPr>
              <w:t xml:space="preserve"> </w:t>
            </w:r>
            <w:r w:rsidR="00883FEE">
              <w:t>are confusingly similar.</w:t>
            </w:r>
          </w:p>
          <w:p w14:paraId="02CD2648" w14:textId="77777777" w:rsidR="00883FEE" w:rsidRDefault="00883FEE" w:rsidP="00883FEE">
            <w:pPr>
              <w:pStyle w:val="TableParagraph"/>
              <w:numPr>
                <w:ilvl w:val="0"/>
                <w:numId w:val="8"/>
              </w:numPr>
              <w:tabs>
                <w:tab w:val="left" w:pos="857"/>
                <w:tab w:val="left" w:pos="858"/>
              </w:tabs>
              <w:ind w:right="156"/>
            </w:pPr>
            <w:r>
              <w:t>Applications will not automatically be placed in the same contention set because they appear visually to be a single and plural of one another but</w:t>
            </w:r>
            <w:r>
              <w:rPr>
                <w:spacing w:val="-11"/>
              </w:rPr>
              <w:t xml:space="preserve"> </w:t>
            </w:r>
            <w:r>
              <w:t>have</w:t>
            </w:r>
            <w:r>
              <w:rPr>
                <w:spacing w:val="-11"/>
              </w:rPr>
              <w:t xml:space="preserve"> </w:t>
            </w:r>
            <w:r>
              <w:t>different</w:t>
            </w:r>
            <w:r>
              <w:rPr>
                <w:spacing w:val="-11"/>
              </w:rPr>
              <w:t xml:space="preserve"> </w:t>
            </w:r>
            <w:r>
              <w:t>intended</w:t>
            </w:r>
            <w:r>
              <w:rPr>
                <w:spacing w:val="-11"/>
              </w:rPr>
              <w:t xml:space="preserve"> </w:t>
            </w:r>
            <w:r>
              <w:t>uses. For example, .SPRING and</w:t>
            </w:r>
          </w:p>
          <w:p w14:paraId="1342486A" w14:textId="77777777" w:rsidR="00883FEE" w:rsidRDefault="00883FEE" w:rsidP="00883FEE">
            <w:pPr>
              <w:pStyle w:val="TableParagraph"/>
              <w:ind w:left="857" w:right="165"/>
            </w:pPr>
            <w:r>
              <w:t>.SPRINGS could both be allowed if one refers to the season and the other refers to elastic</w:t>
            </w:r>
            <w:r>
              <w:rPr>
                <w:spacing w:val="-10"/>
              </w:rPr>
              <w:t xml:space="preserve"> </w:t>
            </w:r>
            <w:r>
              <w:t>objects,</w:t>
            </w:r>
            <w:r>
              <w:rPr>
                <w:spacing w:val="-10"/>
              </w:rPr>
              <w:t xml:space="preserve"> </w:t>
            </w:r>
            <w:r>
              <w:t>because</w:t>
            </w:r>
            <w:r>
              <w:rPr>
                <w:spacing w:val="-10"/>
              </w:rPr>
              <w:t xml:space="preserve"> </w:t>
            </w:r>
            <w:r>
              <w:t>they</w:t>
            </w:r>
            <w:r>
              <w:rPr>
                <w:spacing w:val="-10"/>
              </w:rPr>
              <w:t xml:space="preserve"> </w:t>
            </w:r>
            <w:r>
              <w:t>are not</w:t>
            </w:r>
            <w:r>
              <w:rPr>
                <w:spacing w:val="-3"/>
              </w:rPr>
              <w:t xml:space="preserve"> </w:t>
            </w:r>
            <w:r>
              <w:t>singular</w:t>
            </w:r>
            <w:r>
              <w:rPr>
                <w:spacing w:val="-3"/>
              </w:rPr>
              <w:t xml:space="preserve"> </w:t>
            </w:r>
            <w:r>
              <w:t>and</w:t>
            </w:r>
            <w:r>
              <w:rPr>
                <w:spacing w:val="-3"/>
              </w:rPr>
              <w:t xml:space="preserve"> </w:t>
            </w:r>
            <w:r>
              <w:t>plural</w:t>
            </w:r>
            <w:r>
              <w:rPr>
                <w:spacing w:val="-3"/>
              </w:rPr>
              <w:t xml:space="preserve"> </w:t>
            </w:r>
            <w:r>
              <w:t>versions of the same word. However, if both are intended to be used in connection with the elastic object, then they will be placed into the same contention set.</w:t>
            </w:r>
          </w:p>
          <w:p w14:paraId="70E0BD16" w14:textId="77777777" w:rsidR="00883FEE" w:rsidRDefault="00883FEE" w:rsidP="00883FEE">
            <w:pPr>
              <w:pStyle w:val="TableParagraph"/>
              <w:ind w:left="857"/>
            </w:pPr>
            <w:r>
              <w:t>Similarly,</w:t>
            </w:r>
            <w:r>
              <w:rPr>
                <w:spacing w:val="-10"/>
              </w:rPr>
              <w:t xml:space="preserve"> </w:t>
            </w:r>
            <w:r>
              <w:t>if</w:t>
            </w:r>
            <w:r>
              <w:rPr>
                <w:spacing w:val="-9"/>
              </w:rPr>
              <w:t xml:space="preserve"> </w:t>
            </w:r>
            <w:r>
              <w:t>an</w:t>
            </w:r>
            <w:r>
              <w:rPr>
                <w:spacing w:val="-9"/>
              </w:rPr>
              <w:t xml:space="preserve"> </w:t>
            </w:r>
            <w:r>
              <w:t>existing</w:t>
            </w:r>
            <w:r>
              <w:rPr>
                <w:spacing w:val="-12"/>
              </w:rPr>
              <w:t xml:space="preserve"> </w:t>
            </w:r>
            <w:r>
              <w:rPr>
                <w:spacing w:val="-5"/>
              </w:rPr>
              <w:t>TLD</w:t>
            </w:r>
          </w:p>
          <w:p w14:paraId="4B1D227A" w14:textId="77777777" w:rsidR="00CF2E41" w:rsidRDefault="00883FEE" w:rsidP="00883FEE">
            <w:pPr>
              <w:pStyle w:val="TableParagraph"/>
              <w:numPr>
                <w:ilvl w:val="0"/>
                <w:numId w:val="5"/>
              </w:numPr>
              <w:ind w:left="870"/>
            </w:pPr>
            <w:r>
              <w:t>.SPRING</w:t>
            </w:r>
            <w:r>
              <w:rPr>
                <w:spacing w:val="-6"/>
              </w:rPr>
              <w:t xml:space="preserve"> </w:t>
            </w:r>
            <w:r>
              <w:t>is</w:t>
            </w:r>
            <w:r>
              <w:rPr>
                <w:spacing w:val="-6"/>
              </w:rPr>
              <w:t xml:space="preserve"> </w:t>
            </w:r>
            <w:r>
              <w:t>used</w:t>
            </w:r>
            <w:r>
              <w:rPr>
                <w:spacing w:val="-6"/>
              </w:rPr>
              <w:t xml:space="preserve"> </w:t>
            </w:r>
            <w:r>
              <w:t>in</w:t>
            </w:r>
            <w:r>
              <w:rPr>
                <w:spacing w:val="-6"/>
              </w:rPr>
              <w:t xml:space="preserve"> </w:t>
            </w:r>
            <w:r>
              <w:t>connection with the season and a new application for .SPRINGS is intended to be used in connection</w:t>
            </w:r>
            <w:r>
              <w:rPr>
                <w:spacing w:val="-14"/>
              </w:rPr>
              <w:t xml:space="preserve"> </w:t>
            </w:r>
            <w:r>
              <w:t>with</w:t>
            </w:r>
            <w:r>
              <w:rPr>
                <w:spacing w:val="-13"/>
              </w:rPr>
              <w:t xml:space="preserve"> </w:t>
            </w:r>
            <w:r>
              <w:t>elastic</w:t>
            </w:r>
            <w:r>
              <w:rPr>
                <w:spacing w:val="-14"/>
              </w:rPr>
              <w:t xml:space="preserve"> </w:t>
            </w:r>
            <w:r>
              <w:t xml:space="preserve">objects, the </w:t>
            </w:r>
            <w:r>
              <w:lastRenderedPageBreak/>
              <w:t>new application will not be automatically disqualified.</w:t>
            </w:r>
          </w:p>
          <w:p w14:paraId="6D20514F" w14:textId="77777777" w:rsidR="00426D3F" w:rsidRDefault="00426D3F" w:rsidP="00426D3F">
            <w:pPr>
              <w:pStyle w:val="TableParagraph"/>
            </w:pPr>
          </w:p>
          <w:p w14:paraId="3674DF42" w14:textId="0BDC2688" w:rsidR="00426D3F" w:rsidRDefault="00426D3F" w:rsidP="00426D3F">
            <w:pPr>
              <w:pStyle w:val="TableParagraph"/>
            </w:pPr>
            <w:r>
              <w:t>The Working Group recommends using</w:t>
            </w:r>
            <w:r>
              <w:rPr>
                <w:spacing w:val="40"/>
              </w:rPr>
              <w:t xml:space="preserve"> </w:t>
            </w:r>
            <w:r>
              <w:t>a dictionary to determine the singular and plural version of the string for the specific language. The Working Group recognizes that singulars and plurals</w:t>
            </w:r>
            <w:r>
              <w:rPr>
                <w:spacing w:val="40"/>
              </w:rPr>
              <w:t xml:space="preserve"> </w:t>
            </w:r>
            <w:r>
              <w:t>may not visually resemble each other in multiple languages and scripts globally. Nonetheless, if by using a dictionary, two strings are determined to be the singular</w:t>
            </w:r>
            <w:r>
              <w:rPr>
                <w:spacing w:val="-4"/>
              </w:rPr>
              <w:t xml:space="preserve"> </w:t>
            </w:r>
            <w:r>
              <w:t>or</w:t>
            </w:r>
            <w:r>
              <w:rPr>
                <w:spacing w:val="-4"/>
              </w:rPr>
              <w:t xml:space="preserve"> </w:t>
            </w:r>
            <w:r>
              <w:t>plural</w:t>
            </w:r>
            <w:r>
              <w:rPr>
                <w:spacing w:val="-4"/>
              </w:rPr>
              <w:t xml:space="preserve"> </w:t>
            </w:r>
            <w:r>
              <w:t>of</w:t>
            </w:r>
            <w:r>
              <w:rPr>
                <w:spacing w:val="-4"/>
              </w:rPr>
              <w:t xml:space="preserve"> </w:t>
            </w:r>
            <w:r>
              <w:t>each</w:t>
            </w:r>
            <w:r>
              <w:rPr>
                <w:spacing w:val="-4"/>
              </w:rPr>
              <w:t xml:space="preserve"> </w:t>
            </w:r>
            <w:r>
              <w:t>other,</w:t>
            </w:r>
            <w:r>
              <w:rPr>
                <w:spacing w:val="-4"/>
              </w:rPr>
              <w:t xml:space="preserve"> </w:t>
            </w:r>
            <w:r>
              <w:t>and</w:t>
            </w:r>
            <w:r>
              <w:rPr>
                <w:spacing w:val="-4"/>
              </w:rPr>
              <w:t xml:space="preserve"> </w:t>
            </w:r>
            <w:r>
              <w:t>their intended</w:t>
            </w:r>
            <w:r>
              <w:rPr>
                <w:spacing w:val="-10"/>
              </w:rPr>
              <w:t xml:space="preserve"> </w:t>
            </w:r>
            <w:r>
              <w:t>use</w:t>
            </w:r>
            <w:r>
              <w:rPr>
                <w:spacing w:val="-10"/>
              </w:rPr>
              <w:t xml:space="preserve"> </w:t>
            </w:r>
            <w:r>
              <w:t>is</w:t>
            </w:r>
            <w:r>
              <w:rPr>
                <w:spacing w:val="-10"/>
              </w:rPr>
              <w:t xml:space="preserve"> </w:t>
            </w:r>
            <w:r>
              <w:t>substantially</w:t>
            </w:r>
            <w:r>
              <w:rPr>
                <w:spacing w:val="-10"/>
              </w:rPr>
              <w:t xml:space="preserve"> </w:t>
            </w:r>
            <w:r>
              <w:t>similar,</w:t>
            </w:r>
            <w:r>
              <w:rPr>
                <w:spacing w:val="-10"/>
              </w:rPr>
              <w:t xml:space="preserve"> </w:t>
            </w:r>
            <w:r>
              <w:t xml:space="preserve">then both should not be eligible for </w:t>
            </w:r>
            <w:r>
              <w:rPr>
                <w:spacing w:val="-2"/>
              </w:rPr>
              <w:t>delegation.</w:t>
            </w:r>
          </w:p>
        </w:tc>
        <w:tc>
          <w:tcPr>
            <w:tcW w:w="4317" w:type="dxa"/>
          </w:tcPr>
          <w:p w14:paraId="61A9B6ED" w14:textId="77777777" w:rsidR="009A4DAA" w:rsidRDefault="009A4DAA" w:rsidP="00CF2E41"/>
          <w:p w14:paraId="3CA5AA56" w14:textId="0FF5BEE9" w:rsidR="00CF2E41" w:rsidRDefault="009A4DAA" w:rsidP="00CF2E41">
            <w:r>
              <w:t>The</w:t>
            </w:r>
            <w:r>
              <w:rPr>
                <w:spacing w:val="-6"/>
              </w:rPr>
              <w:t xml:space="preserve"> </w:t>
            </w:r>
            <w:r>
              <w:t>Board</w:t>
            </w:r>
            <w:r>
              <w:rPr>
                <w:spacing w:val="-6"/>
              </w:rPr>
              <w:t xml:space="preserve"> </w:t>
            </w:r>
            <w:r>
              <w:t>remains</w:t>
            </w:r>
            <w:r>
              <w:rPr>
                <w:spacing w:val="-6"/>
              </w:rPr>
              <w:t xml:space="preserve"> </w:t>
            </w:r>
            <w:r>
              <w:t>concerned,</w:t>
            </w:r>
            <w:r>
              <w:rPr>
                <w:spacing w:val="-6"/>
              </w:rPr>
              <w:t xml:space="preserve"> </w:t>
            </w:r>
            <w:r>
              <w:t>as</w:t>
            </w:r>
            <w:r>
              <w:rPr>
                <w:spacing w:val="-6"/>
              </w:rPr>
              <w:t xml:space="preserve"> </w:t>
            </w:r>
            <w:r>
              <w:t>previously</w:t>
            </w:r>
            <w:r>
              <w:rPr>
                <w:spacing w:val="-6"/>
              </w:rPr>
              <w:t xml:space="preserve"> </w:t>
            </w:r>
            <w:r>
              <w:t>voiced</w:t>
            </w:r>
            <w:r>
              <w:rPr>
                <w:spacing w:val="-6"/>
              </w:rPr>
              <w:t xml:space="preserve"> </w:t>
            </w:r>
            <w:r>
              <w:t xml:space="preserve">as part of its </w:t>
            </w:r>
            <w:hyperlink r:id="rId15">
              <w:r>
                <w:rPr>
                  <w:color w:val="1154CC"/>
                  <w:u w:val="thick" w:color="1154CC"/>
                </w:rPr>
                <w:t>comment on the Draft Final Report</w:t>
              </w:r>
            </w:hyperlink>
            <w:r>
              <w:t>, over</w:t>
            </w:r>
            <w:r>
              <w:rPr>
                <w:spacing w:val="40"/>
              </w:rPr>
              <w:t xml:space="preserve"> </w:t>
            </w:r>
            <w:r>
              <w:t>the wording in section (a) and (c) of this Recommendation as they stipulate ‘intended use’</w:t>
            </w:r>
            <w:r>
              <w:rPr>
                <w:spacing w:val="-11"/>
              </w:rPr>
              <w:t xml:space="preserve"> </w:t>
            </w:r>
            <w:r>
              <w:t>of a gTLD, which implies that ICANN will have to</w:t>
            </w:r>
            <w:r>
              <w:rPr>
                <w:spacing w:val="40"/>
              </w:rPr>
              <w:t xml:space="preserve"> </w:t>
            </w:r>
            <w:r>
              <w:t>enforce the ‘intended use’</w:t>
            </w:r>
            <w:r>
              <w:rPr>
                <w:spacing w:val="-2"/>
              </w:rPr>
              <w:t xml:space="preserve"> </w:t>
            </w:r>
            <w:r>
              <w:t>post delegation, which could be challenged as acting outside its mission. See also Topic 9 above.</w:t>
            </w:r>
          </w:p>
        </w:tc>
        <w:tc>
          <w:tcPr>
            <w:tcW w:w="4317" w:type="dxa"/>
          </w:tcPr>
          <w:p w14:paraId="615A6761" w14:textId="77777777" w:rsidR="00CF2E41" w:rsidRDefault="00CF2E41" w:rsidP="00CF2E41"/>
          <w:p w14:paraId="43B63E99" w14:textId="77777777" w:rsidR="001633BD" w:rsidRDefault="00053C8F" w:rsidP="00053C8F">
            <w:pPr>
              <w:pStyle w:val="ListParagraph"/>
              <w:numPr>
                <w:ilvl w:val="0"/>
                <w:numId w:val="21"/>
              </w:numPr>
            </w:pPr>
            <w:r>
              <w:t xml:space="preserve"> There is only an (a) and (b) of this recommendation, so not sure what is meant by section (c) of this recommendation when none exists.</w:t>
            </w:r>
          </w:p>
          <w:p w14:paraId="1E680BDF" w14:textId="69C81085" w:rsidR="00CE2713" w:rsidRDefault="00CE2713" w:rsidP="00053C8F">
            <w:pPr>
              <w:pStyle w:val="ListParagraph"/>
              <w:numPr>
                <w:ilvl w:val="0"/>
                <w:numId w:val="21"/>
              </w:numPr>
            </w:pPr>
            <w:r>
              <w:t>The use of the term “confusingly similar” with respect to string similarity reviews comes from the 2012 Applicant Guidebook which states:</w:t>
            </w:r>
          </w:p>
          <w:p w14:paraId="38B98F5C" w14:textId="77777777" w:rsidR="00CE2713" w:rsidRDefault="00CE2713" w:rsidP="00CF2E41"/>
          <w:p w14:paraId="53D2B18B" w14:textId="77777777" w:rsidR="00CE2713" w:rsidRPr="003D443A" w:rsidRDefault="00CE2713" w:rsidP="00CF2E41">
            <w:pPr>
              <w:rPr>
                <w:i/>
                <w:iCs/>
              </w:rPr>
            </w:pPr>
            <w:r w:rsidRPr="003D443A">
              <w:rPr>
                <w:i/>
                <w:iCs/>
              </w:rPr>
              <w:t>This review involves a preliminary comparison of each applied-for gTLD string against existing TLDs, Reserved Names (see subsection 2.2.1.2), and other applied-for strings. The objective of this review is to prevent user confusion and loss of confidence in the DNS resulting from delegation of many similar strings.</w:t>
            </w:r>
          </w:p>
          <w:p w14:paraId="6B237F94" w14:textId="77777777" w:rsidR="003D443A" w:rsidRPr="009C1CA9" w:rsidRDefault="003D443A" w:rsidP="00CF2E41">
            <w:r w:rsidRPr="003D443A">
              <w:rPr>
                <w:i/>
                <w:iCs/>
              </w:rPr>
              <w:t>Note: In this Applicant Guidebook, “similar” means strings so similar that they create a probability of user confusion if more than one of the strings is delegated into the root zone.</w:t>
            </w:r>
            <w:r>
              <w:rPr>
                <w:i/>
                <w:iCs/>
              </w:rPr>
              <w:t xml:space="preserve"> (Section 2.2.1.1).</w:t>
            </w:r>
          </w:p>
          <w:p w14:paraId="42F5DB1A" w14:textId="77777777" w:rsidR="001839D4" w:rsidRDefault="001839D4" w:rsidP="00CF2E41"/>
          <w:p w14:paraId="11DADC9F" w14:textId="77777777" w:rsidR="001839D4" w:rsidRDefault="00667E7E" w:rsidP="00CF2E41">
            <w:r>
              <w:t xml:space="preserve">Therefore, the SubPro WG is NOT recommending any changes </w:t>
            </w:r>
            <w:r w:rsidR="001568AB">
              <w:t>in section (a) to what was done in 2012.</w:t>
            </w:r>
          </w:p>
          <w:p w14:paraId="21515534" w14:textId="77777777" w:rsidR="001568AB" w:rsidRDefault="001568AB" w:rsidP="00CF2E41"/>
          <w:p w14:paraId="6B9EC7E6" w14:textId="77777777" w:rsidR="001568AB" w:rsidRDefault="001568AB" w:rsidP="00CF2E41">
            <w:r>
              <w:t>Subsection (b) is where the SubPro PDP recommended including singulars and plurals in with visual similarity.</w:t>
            </w:r>
            <w:r w:rsidR="00F55814">
              <w:t xml:space="preserve">  </w:t>
            </w:r>
            <w:r w:rsidR="00F55814" w:rsidRPr="0047675D">
              <w:rPr>
                <w:color w:val="0070C0"/>
              </w:rPr>
              <w:t xml:space="preserve">The decision in the </w:t>
            </w:r>
            <w:r w:rsidR="00F55814" w:rsidRPr="0047675D">
              <w:rPr>
                <w:color w:val="0070C0"/>
              </w:rPr>
              <w:lastRenderedPageBreak/>
              <w:t>2012 round to not include Singulars/Plurals was made by ICANN Org without</w:t>
            </w:r>
            <w:r w:rsidR="00FD4B4F" w:rsidRPr="0047675D">
              <w:rPr>
                <w:color w:val="0070C0"/>
              </w:rPr>
              <w:t xml:space="preserve"> the benefit of policy development and frankly came as a surprise to most of the ICANN community.</w:t>
            </w:r>
          </w:p>
          <w:p w14:paraId="347CEE21" w14:textId="77777777" w:rsidR="00AB16B6" w:rsidRDefault="00AB16B6" w:rsidP="00CF2E41"/>
          <w:p w14:paraId="3A848A65" w14:textId="30253823" w:rsidR="00CF2E41" w:rsidRDefault="00AE4F63" w:rsidP="00CF2E41">
            <w:r>
              <w:t>Enforcing the “use” of the TLDs where Singulars and Plurals are allowed to exist would be done in the form of a PIC / RVC and therefore follows the same response as set forth above in Section 9.1.</w:t>
            </w:r>
          </w:p>
        </w:tc>
      </w:tr>
      <w:tr w:rsidR="00CF2E41" w14:paraId="0CEBABA3" w14:textId="77777777" w:rsidTr="0018724A">
        <w:trPr>
          <w:tblHeader/>
        </w:trPr>
        <w:tc>
          <w:tcPr>
            <w:tcW w:w="4316" w:type="dxa"/>
          </w:tcPr>
          <w:p w14:paraId="47207C05" w14:textId="0B88083D" w:rsidR="00CF2E41" w:rsidRDefault="00CD1584" w:rsidP="00CF2E41">
            <w:r>
              <w:rPr>
                <w:b/>
              </w:rPr>
              <w:lastRenderedPageBreak/>
              <w:t>Recommendation 24.5</w:t>
            </w:r>
            <w:r>
              <w:t>: If two applications are submitted during the same</w:t>
            </w:r>
            <w:r>
              <w:rPr>
                <w:spacing w:val="-8"/>
              </w:rPr>
              <w:t xml:space="preserve"> </w:t>
            </w:r>
            <w:r>
              <w:t>application</w:t>
            </w:r>
            <w:r>
              <w:rPr>
                <w:spacing w:val="-8"/>
              </w:rPr>
              <w:t xml:space="preserve"> </w:t>
            </w:r>
            <w:r>
              <w:t>window</w:t>
            </w:r>
            <w:r>
              <w:rPr>
                <w:spacing w:val="-8"/>
              </w:rPr>
              <w:t xml:space="preserve"> </w:t>
            </w:r>
            <w:r>
              <w:t>for</w:t>
            </w:r>
            <w:r>
              <w:rPr>
                <w:spacing w:val="-8"/>
              </w:rPr>
              <w:t xml:space="preserve"> </w:t>
            </w:r>
            <w:r>
              <w:t>strings</w:t>
            </w:r>
            <w:r>
              <w:rPr>
                <w:spacing w:val="-8"/>
              </w:rPr>
              <w:t xml:space="preserve"> </w:t>
            </w:r>
            <w:r>
              <w:t>that create</w:t>
            </w:r>
            <w:r>
              <w:rPr>
                <w:spacing w:val="-4"/>
              </w:rPr>
              <w:t xml:space="preserve"> </w:t>
            </w:r>
            <w:r>
              <w:t>the</w:t>
            </w:r>
            <w:r>
              <w:rPr>
                <w:spacing w:val="-4"/>
              </w:rPr>
              <w:t xml:space="preserve"> </w:t>
            </w:r>
            <w:r>
              <w:t>probability</w:t>
            </w:r>
            <w:r>
              <w:rPr>
                <w:spacing w:val="-4"/>
              </w:rPr>
              <w:t xml:space="preserve"> </w:t>
            </w:r>
            <w:r>
              <w:t>of</w:t>
            </w:r>
            <w:r>
              <w:rPr>
                <w:spacing w:val="-4"/>
              </w:rPr>
              <w:t xml:space="preserve"> </w:t>
            </w:r>
            <w:r>
              <w:t>a</w:t>
            </w:r>
            <w:r>
              <w:rPr>
                <w:spacing w:val="-4"/>
              </w:rPr>
              <w:t xml:space="preserve"> </w:t>
            </w:r>
            <w:r>
              <w:t>user</w:t>
            </w:r>
            <w:r>
              <w:rPr>
                <w:spacing w:val="-4"/>
              </w:rPr>
              <w:t xml:space="preserve"> </w:t>
            </w:r>
            <w:r>
              <w:t>assuming that they are single and plural versions of the same word, but the applicants intend to use the strings in connection with two different meanings,</w:t>
            </w:r>
            <w:r>
              <w:rPr>
                <w:vertAlign w:val="superscript"/>
              </w:rPr>
              <w:t>13</w:t>
            </w:r>
            <w:r>
              <w:t xml:space="preserve"> the applications</w:t>
            </w:r>
            <w:r>
              <w:rPr>
                <w:spacing w:val="-4"/>
              </w:rPr>
              <w:t xml:space="preserve"> </w:t>
            </w:r>
            <w:r>
              <w:t>will</w:t>
            </w:r>
            <w:r>
              <w:rPr>
                <w:spacing w:val="-4"/>
              </w:rPr>
              <w:t xml:space="preserve"> </w:t>
            </w:r>
            <w:r>
              <w:t>only</w:t>
            </w:r>
            <w:r>
              <w:rPr>
                <w:spacing w:val="-4"/>
              </w:rPr>
              <w:t xml:space="preserve"> </w:t>
            </w:r>
            <w:r>
              <w:t>be</w:t>
            </w:r>
            <w:r>
              <w:rPr>
                <w:spacing w:val="-4"/>
              </w:rPr>
              <w:t xml:space="preserve"> </w:t>
            </w:r>
            <w:r>
              <w:t>able</w:t>
            </w:r>
            <w:r>
              <w:rPr>
                <w:spacing w:val="-4"/>
              </w:rPr>
              <w:t xml:space="preserve"> </w:t>
            </w:r>
            <w:r>
              <w:t>to</w:t>
            </w:r>
            <w:r>
              <w:rPr>
                <w:spacing w:val="-4"/>
              </w:rPr>
              <w:t xml:space="preserve"> </w:t>
            </w:r>
            <w:r>
              <w:t>proceed if each of the applicants agrees to the inclusion of a mandatory Public Interest Commitment (PIC) in its Registry Agreement. The mandatory PIC must include a commitment by the registry to use the TLD in line with the intended use presented in the application, and</w:t>
            </w:r>
            <w:r w:rsidR="00DC7402">
              <w:t xml:space="preserve"> must also include a commitment by the registry</w:t>
            </w:r>
            <w:r w:rsidR="00DC7402">
              <w:rPr>
                <w:spacing w:val="-7"/>
              </w:rPr>
              <w:t xml:space="preserve"> </w:t>
            </w:r>
            <w:r w:rsidR="00DC7402">
              <w:t>that</w:t>
            </w:r>
            <w:r w:rsidR="00DC7402">
              <w:rPr>
                <w:spacing w:val="-7"/>
              </w:rPr>
              <w:t xml:space="preserve"> </w:t>
            </w:r>
            <w:r w:rsidR="00DC7402">
              <w:t>it</w:t>
            </w:r>
            <w:r w:rsidR="00DC7402">
              <w:rPr>
                <w:spacing w:val="-7"/>
              </w:rPr>
              <w:t xml:space="preserve"> </w:t>
            </w:r>
            <w:r w:rsidR="00DC7402">
              <w:t>will</w:t>
            </w:r>
            <w:r w:rsidR="00DC7402">
              <w:rPr>
                <w:spacing w:val="-7"/>
              </w:rPr>
              <w:t xml:space="preserve"> </w:t>
            </w:r>
            <w:r w:rsidR="00DC7402">
              <w:t>require</w:t>
            </w:r>
            <w:r w:rsidR="00DC7402">
              <w:rPr>
                <w:spacing w:val="-7"/>
              </w:rPr>
              <w:t xml:space="preserve"> </w:t>
            </w:r>
            <w:r w:rsidR="00DC7402">
              <w:t>registrants</w:t>
            </w:r>
            <w:r w:rsidR="00DC7402">
              <w:rPr>
                <w:spacing w:val="-7"/>
              </w:rPr>
              <w:t xml:space="preserve"> </w:t>
            </w:r>
            <w:r w:rsidR="00DC7402">
              <w:t>to use</w:t>
            </w:r>
            <w:r w:rsidR="00DC7402">
              <w:rPr>
                <w:spacing w:val="-6"/>
              </w:rPr>
              <w:t xml:space="preserve"> </w:t>
            </w:r>
            <w:r w:rsidR="00DC7402">
              <w:t>domains</w:t>
            </w:r>
            <w:r w:rsidR="00DC7402">
              <w:rPr>
                <w:spacing w:val="-6"/>
              </w:rPr>
              <w:t xml:space="preserve"> </w:t>
            </w:r>
            <w:r w:rsidR="00DC7402">
              <w:t>under</w:t>
            </w:r>
            <w:r w:rsidR="00DC7402">
              <w:rPr>
                <w:spacing w:val="-6"/>
              </w:rPr>
              <w:t xml:space="preserve"> </w:t>
            </w:r>
            <w:r w:rsidR="00DC7402">
              <w:t>the</w:t>
            </w:r>
            <w:r w:rsidR="00DC7402">
              <w:rPr>
                <w:spacing w:val="-10"/>
              </w:rPr>
              <w:t xml:space="preserve"> </w:t>
            </w:r>
            <w:r w:rsidR="00DC7402">
              <w:t>TLD</w:t>
            </w:r>
            <w:r w:rsidR="00DC7402">
              <w:rPr>
                <w:spacing w:val="-6"/>
              </w:rPr>
              <w:t xml:space="preserve"> </w:t>
            </w:r>
            <w:r w:rsidR="00DC7402">
              <w:t>in</w:t>
            </w:r>
            <w:r w:rsidR="00DC7402">
              <w:rPr>
                <w:spacing w:val="-6"/>
              </w:rPr>
              <w:t xml:space="preserve"> </w:t>
            </w:r>
            <w:r w:rsidR="00DC7402">
              <w:t>line</w:t>
            </w:r>
            <w:r w:rsidR="00DC7402">
              <w:rPr>
                <w:spacing w:val="-6"/>
              </w:rPr>
              <w:t xml:space="preserve"> </w:t>
            </w:r>
            <w:r w:rsidR="00DC7402">
              <w:t xml:space="preserve">with the intended use stated in the </w:t>
            </w:r>
            <w:r w:rsidR="00DC7402">
              <w:rPr>
                <w:spacing w:val="-2"/>
              </w:rPr>
              <w:t>application.</w:t>
            </w:r>
          </w:p>
        </w:tc>
        <w:tc>
          <w:tcPr>
            <w:tcW w:w="4317" w:type="dxa"/>
          </w:tcPr>
          <w:p w14:paraId="44429ACA" w14:textId="28DBD9BB" w:rsidR="00CF2E41" w:rsidRDefault="00E07F62" w:rsidP="00CF2E41">
            <w:r>
              <w:t>See</w:t>
            </w:r>
            <w:r>
              <w:rPr>
                <w:spacing w:val="-4"/>
              </w:rPr>
              <w:t xml:space="preserve"> </w:t>
            </w:r>
            <w:r>
              <w:t>24.3</w:t>
            </w:r>
            <w:r>
              <w:rPr>
                <w:spacing w:val="-3"/>
              </w:rPr>
              <w:t xml:space="preserve"> </w:t>
            </w:r>
            <w:r>
              <w:rPr>
                <w:spacing w:val="-2"/>
              </w:rPr>
              <w:t>above</w:t>
            </w:r>
          </w:p>
        </w:tc>
        <w:tc>
          <w:tcPr>
            <w:tcW w:w="4317" w:type="dxa"/>
          </w:tcPr>
          <w:p w14:paraId="4A392274" w14:textId="3A1F1726" w:rsidR="00CF2E41" w:rsidRDefault="006D6677" w:rsidP="00CF2E41">
            <w:r>
              <w:t>See 24.3 above.</w:t>
            </w:r>
          </w:p>
        </w:tc>
      </w:tr>
      <w:tr w:rsidR="00E07F62" w14:paraId="5575E109" w14:textId="77777777" w:rsidTr="00E07F62">
        <w:trPr>
          <w:trHeight w:val="530"/>
          <w:tblHeader/>
        </w:trPr>
        <w:tc>
          <w:tcPr>
            <w:tcW w:w="12950" w:type="dxa"/>
            <w:gridSpan w:val="3"/>
            <w:shd w:val="clear" w:color="auto" w:fill="0D0D0D" w:themeFill="text1" w:themeFillTint="F2"/>
            <w:vAlign w:val="center"/>
          </w:tcPr>
          <w:p w14:paraId="582318A9" w14:textId="713C0A7A" w:rsidR="00E07F62" w:rsidRPr="00E07F62" w:rsidRDefault="00E07F62" w:rsidP="00CF2E41">
            <w:pPr>
              <w:rPr>
                <w:b/>
                <w:bCs/>
              </w:rPr>
            </w:pPr>
            <w:r>
              <w:rPr>
                <w:b/>
                <w:bCs/>
              </w:rPr>
              <w:t>Topic 26:  Security and Stability</w:t>
            </w:r>
          </w:p>
        </w:tc>
      </w:tr>
      <w:tr w:rsidR="00CF2E41" w14:paraId="2E400B15" w14:textId="77777777" w:rsidTr="0018724A">
        <w:trPr>
          <w:tblHeader/>
        </w:trPr>
        <w:tc>
          <w:tcPr>
            <w:tcW w:w="4316" w:type="dxa"/>
          </w:tcPr>
          <w:p w14:paraId="5770B273" w14:textId="4A30B169" w:rsidR="00CF2E41" w:rsidRDefault="00BD5F48" w:rsidP="00CF2E41">
            <w:r>
              <w:rPr>
                <w:b/>
              </w:rPr>
              <w:lastRenderedPageBreak/>
              <w:t>Recommendation 26.9</w:t>
            </w:r>
            <w:r>
              <w:t>: In connection</w:t>
            </w:r>
            <w:r>
              <w:rPr>
                <w:spacing w:val="40"/>
              </w:rPr>
              <w:t xml:space="preserve"> </w:t>
            </w:r>
            <w:r>
              <w:t>to the affirmation of Recommendation 4 from the 2007 policy, Emoji in domain names,</w:t>
            </w:r>
            <w:r>
              <w:rPr>
                <w:spacing w:val="-6"/>
              </w:rPr>
              <w:t xml:space="preserve"> </w:t>
            </w:r>
            <w:r>
              <w:t>at</w:t>
            </w:r>
            <w:r>
              <w:rPr>
                <w:spacing w:val="-6"/>
              </w:rPr>
              <w:t xml:space="preserve"> </w:t>
            </w:r>
            <w:r>
              <w:t>any</w:t>
            </w:r>
            <w:r>
              <w:rPr>
                <w:spacing w:val="-6"/>
              </w:rPr>
              <w:t xml:space="preserve"> </w:t>
            </w:r>
            <w:r>
              <w:t>level,</w:t>
            </w:r>
            <w:r>
              <w:rPr>
                <w:spacing w:val="-6"/>
              </w:rPr>
              <w:t xml:space="preserve"> </w:t>
            </w:r>
            <w:r>
              <w:t>must</w:t>
            </w:r>
            <w:r>
              <w:rPr>
                <w:spacing w:val="-6"/>
              </w:rPr>
              <w:t xml:space="preserve"> </w:t>
            </w:r>
            <w:r>
              <w:t>not</w:t>
            </w:r>
            <w:r>
              <w:rPr>
                <w:spacing w:val="-6"/>
              </w:rPr>
              <w:t xml:space="preserve"> </w:t>
            </w:r>
            <w:r>
              <w:t>be</w:t>
            </w:r>
            <w:r>
              <w:rPr>
                <w:spacing w:val="-6"/>
              </w:rPr>
              <w:t xml:space="preserve"> </w:t>
            </w:r>
            <w:r>
              <w:t>allowed.</w:t>
            </w:r>
          </w:p>
        </w:tc>
        <w:tc>
          <w:tcPr>
            <w:tcW w:w="4317" w:type="dxa"/>
          </w:tcPr>
          <w:p w14:paraId="197AD8DF" w14:textId="1E95F965" w:rsidR="00CF2E41" w:rsidRDefault="009F6CEB" w:rsidP="00CF2E41">
            <w:r>
              <w:t xml:space="preserve">The Board is concerned that this recommendation could be argued to fall outside ICANN’s mission which states, per the Bylaws (Section 1.1.(i)): “... </w:t>
            </w:r>
            <w:r>
              <w:rPr>
                <w:color w:val="333333"/>
              </w:rPr>
              <w:t>Coordinates</w:t>
            </w:r>
            <w:r>
              <w:rPr>
                <w:color w:val="333333"/>
                <w:spacing w:val="-7"/>
              </w:rPr>
              <w:t xml:space="preserve"> </w:t>
            </w:r>
            <w:r>
              <w:rPr>
                <w:color w:val="333333"/>
              </w:rPr>
              <w:t>the</w:t>
            </w:r>
            <w:r>
              <w:rPr>
                <w:color w:val="333333"/>
                <w:spacing w:val="-7"/>
              </w:rPr>
              <w:t xml:space="preserve"> </w:t>
            </w:r>
            <w:r>
              <w:rPr>
                <w:color w:val="333333"/>
              </w:rPr>
              <w:t>allocation</w:t>
            </w:r>
            <w:r>
              <w:rPr>
                <w:color w:val="333333"/>
                <w:spacing w:val="-7"/>
              </w:rPr>
              <w:t xml:space="preserve"> </w:t>
            </w:r>
            <w:r>
              <w:rPr>
                <w:color w:val="333333"/>
              </w:rPr>
              <w:t>and</w:t>
            </w:r>
            <w:r>
              <w:rPr>
                <w:color w:val="333333"/>
                <w:spacing w:val="-7"/>
              </w:rPr>
              <w:t xml:space="preserve"> </w:t>
            </w:r>
            <w:r>
              <w:rPr>
                <w:color w:val="333333"/>
              </w:rPr>
              <w:t>assignment</w:t>
            </w:r>
            <w:r>
              <w:rPr>
                <w:color w:val="333333"/>
                <w:spacing w:val="-7"/>
              </w:rPr>
              <w:t xml:space="preserve"> </w:t>
            </w:r>
            <w:r>
              <w:rPr>
                <w:color w:val="333333"/>
              </w:rPr>
              <w:t>of</w:t>
            </w:r>
            <w:r>
              <w:rPr>
                <w:color w:val="333333"/>
                <w:spacing w:val="-7"/>
              </w:rPr>
              <w:t xml:space="preserve"> </w:t>
            </w:r>
            <w:r>
              <w:rPr>
                <w:color w:val="333333"/>
              </w:rPr>
              <w:t xml:space="preserve">names in the root zone of the Domain Name System ("DNS") and coordinates the development and implementation of policies concerning the registration of </w:t>
            </w:r>
            <w:r>
              <w:rPr>
                <w:b/>
                <w:color w:val="333333"/>
              </w:rPr>
              <w:t xml:space="preserve">second-level </w:t>
            </w:r>
            <w:r>
              <w:rPr>
                <w:color w:val="333333"/>
              </w:rPr>
              <w:t>[emphasis added] domain names in generic top-level domains ("gTLDs"). In this role, ICANN's scope is to coordinate the development and implementation of policies… [.]”</w:t>
            </w:r>
          </w:p>
        </w:tc>
        <w:tc>
          <w:tcPr>
            <w:tcW w:w="4317" w:type="dxa"/>
          </w:tcPr>
          <w:p w14:paraId="460BA5B8" w14:textId="77777777" w:rsidR="00B04ADB" w:rsidRDefault="00B04ADB" w:rsidP="00CF2E41">
            <w:pPr>
              <w:rPr>
                <w:color w:val="0070C0"/>
              </w:rPr>
            </w:pPr>
            <w:r>
              <w:rPr>
                <w:color w:val="0070C0"/>
              </w:rPr>
              <w:t>The policy behind this is that ICANN prevent the use of Emojis at all levels within a TLD in which the Registry Operator offers registrations.</w:t>
            </w:r>
          </w:p>
          <w:p w14:paraId="2B35BB5C" w14:textId="77777777" w:rsidR="00B04ADB" w:rsidRDefault="00B04ADB" w:rsidP="00CF2E41">
            <w:pPr>
              <w:rPr>
                <w:color w:val="0070C0"/>
              </w:rPr>
            </w:pPr>
          </w:p>
          <w:p w14:paraId="766B1B34" w14:textId="402B1A11" w:rsidR="00CF2E41" w:rsidRDefault="005E3ABE" w:rsidP="00CF2E41">
            <w:pPr>
              <w:rPr>
                <w:color w:val="0070C0"/>
              </w:rPr>
            </w:pPr>
            <w:r>
              <w:rPr>
                <w:color w:val="0070C0"/>
              </w:rPr>
              <w:t>ICANN has a history within the Registry Agreement of going beyond the second level</w:t>
            </w:r>
            <w:r w:rsidR="0033006F">
              <w:rPr>
                <w:color w:val="0070C0"/>
              </w:rPr>
              <w:t xml:space="preserve"> and is not certain why this issue is any different</w:t>
            </w:r>
            <w:r w:rsidR="007C62F6">
              <w:rPr>
                <w:color w:val="0070C0"/>
              </w:rPr>
              <w:t>.</w:t>
            </w:r>
            <w:r w:rsidR="0033006F">
              <w:rPr>
                <w:color w:val="0070C0"/>
              </w:rPr>
              <w:t xml:space="preserve">  If it can collect fees for registrations beyond the second level, and it can prohibit wildcarding at any level, then why would it not be able to prohibit emojis at any level in which the Registry Operator offers registrations.</w:t>
            </w:r>
            <w:r w:rsidR="007C62F6">
              <w:rPr>
                <w:color w:val="0070C0"/>
              </w:rPr>
              <w:t xml:space="preserve"> See:</w:t>
            </w:r>
          </w:p>
          <w:p w14:paraId="37299AAD" w14:textId="77777777" w:rsidR="007C62F6" w:rsidRDefault="007C62F6" w:rsidP="00CF2E41">
            <w:pPr>
              <w:rPr>
                <w:color w:val="0070C0"/>
              </w:rPr>
            </w:pPr>
          </w:p>
          <w:p w14:paraId="184772C6" w14:textId="77777777" w:rsidR="007C62F6" w:rsidRDefault="007C62F6" w:rsidP="007C62F6">
            <w:pPr>
              <w:pStyle w:val="ListParagraph"/>
              <w:numPr>
                <w:ilvl w:val="0"/>
                <w:numId w:val="22"/>
              </w:numPr>
              <w:rPr>
                <w:color w:val="0070C0"/>
              </w:rPr>
            </w:pPr>
            <w:r w:rsidRPr="00AC4B86">
              <w:rPr>
                <w:color w:val="0070C0"/>
                <w:u w:val="single"/>
              </w:rPr>
              <w:t>Section 6.1</w:t>
            </w:r>
            <w:r>
              <w:rPr>
                <w:color w:val="0070C0"/>
              </w:rPr>
              <w:t xml:space="preserve"> where ICANN has the ability to charge the registry-level fee for annual initial or renewal domain name registrations “(at one or more levels)”.</w:t>
            </w:r>
          </w:p>
          <w:p w14:paraId="5CB38BCE" w14:textId="77777777" w:rsidR="00D3327E" w:rsidRDefault="000B040C" w:rsidP="0007224C">
            <w:pPr>
              <w:pStyle w:val="ListParagraph"/>
              <w:numPr>
                <w:ilvl w:val="0"/>
                <w:numId w:val="22"/>
              </w:numPr>
              <w:rPr>
                <w:color w:val="0070C0"/>
              </w:rPr>
            </w:pPr>
            <w:r w:rsidRPr="00AC4B86">
              <w:rPr>
                <w:color w:val="0070C0"/>
                <w:u w:val="single"/>
              </w:rPr>
              <w:t>Specification 5, Section 1</w:t>
            </w:r>
            <w:r>
              <w:rPr>
                <w:color w:val="0070C0"/>
              </w:rPr>
              <w:t>:  ICANN reserved the ASCII label “at the second level and at all other levels within the TLD</w:t>
            </w:r>
            <w:r w:rsidR="00B04ADB">
              <w:rPr>
                <w:color w:val="0070C0"/>
              </w:rPr>
              <w:t xml:space="preserve"> at which Registry Operator offers registrations</w:t>
            </w:r>
            <w:r w:rsidR="00AC4B86">
              <w:rPr>
                <w:color w:val="0070C0"/>
              </w:rPr>
              <w:t xml:space="preserve"> (such second level and all other levels are collectively referred to herein as, “All Levels”)</w:t>
            </w:r>
          </w:p>
          <w:p w14:paraId="361D5068" w14:textId="4AF64635" w:rsidR="0007224C" w:rsidRDefault="00FD691D" w:rsidP="0007224C">
            <w:pPr>
              <w:pStyle w:val="ListParagraph"/>
              <w:numPr>
                <w:ilvl w:val="0"/>
                <w:numId w:val="22"/>
              </w:numPr>
              <w:rPr>
                <w:rFonts w:cstheme="minorHAnsi"/>
                <w:color w:val="0070C0"/>
              </w:rPr>
            </w:pPr>
            <w:r w:rsidRPr="00D3327E">
              <w:rPr>
                <w:rFonts w:cstheme="minorHAnsi"/>
                <w:color w:val="0070C0"/>
                <w:u w:val="single"/>
              </w:rPr>
              <w:t xml:space="preserve">Specification 5, Section </w:t>
            </w:r>
            <w:r w:rsidR="0007224C" w:rsidRPr="00D3327E">
              <w:rPr>
                <w:rFonts w:cstheme="minorHAnsi"/>
                <w:color w:val="0070C0"/>
                <w:u w:val="single"/>
              </w:rPr>
              <w:t>3</w:t>
            </w:r>
            <w:r w:rsidR="00D3327E" w:rsidRPr="00D3327E">
              <w:rPr>
                <w:rFonts w:cstheme="minorHAnsi"/>
                <w:color w:val="0070C0"/>
              </w:rPr>
              <w:t>.1</w:t>
            </w:r>
            <w:r w:rsidR="0007224C" w:rsidRPr="00D3327E">
              <w:rPr>
                <w:rFonts w:cstheme="minorHAnsi"/>
                <w:color w:val="0070C0"/>
              </w:rPr>
              <w:t>: “</w:t>
            </w:r>
            <w:r w:rsidR="00D3327E" w:rsidRPr="00D3327E">
              <w:rPr>
                <w:rFonts w:cstheme="minorHAnsi"/>
                <w:color w:val="0070C0"/>
                <w:sz w:val="14"/>
                <w:szCs w:val="14"/>
              </w:rPr>
              <w:t xml:space="preserve"> </w:t>
            </w:r>
            <w:r w:rsidR="00D3327E" w:rsidRPr="00D3327E">
              <w:rPr>
                <w:rFonts w:cstheme="minorHAnsi"/>
                <w:color w:val="0070C0"/>
              </w:rPr>
              <w:t xml:space="preserve">The following ASCII labels must be withheld from registration or allocated to Registry Operator at All Levels for use in connection with the operation of the registry for the </w:t>
            </w:r>
            <w:r w:rsidR="00D3327E" w:rsidRPr="00D3327E">
              <w:rPr>
                <w:rFonts w:cstheme="minorHAnsi"/>
                <w:color w:val="0070C0"/>
              </w:rPr>
              <w:lastRenderedPageBreak/>
              <w:t>TLD:  WWW, RDDS and WHOIS.  The following ASCII label must be allocated to Registry Operator upon delegation into the root zone at All Levels for use in connection with the operation of the registry for the TLD:  NIC.</w:t>
            </w:r>
          </w:p>
          <w:p w14:paraId="64F03F9D" w14:textId="1695D243" w:rsidR="00D3327E" w:rsidRPr="0028634C" w:rsidRDefault="00D3327E" w:rsidP="0007224C">
            <w:pPr>
              <w:pStyle w:val="ListParagraph"/>
              <w:numPr>
                <w:ilvl w:val="0"/>
                <w:numId w:val="22"/>
              </w:numPr>
              <w:rPr>
                <w:rFonts w:cstheme="minorHAnsi"/>
                <w:color w:val="0070C0"/>
                <w:u w:val="single"/>
              </w:rPr>
            </w:pPr>
            <w:r w:rsidRPr="00D3327E">
              <w:rPr>
                <w:rFonts w:cstheme="minorHAnsi"/>
                <w:color w:val="0070C0"/>
                <w:u w:val="single"/>
              </w:rPr>
              <w:t>Specification 5, Section 3.2</w:t>
            </w:r>
            <w:r>
              <w:rPr>
                <w:rFonts w:cstheme="minorHAnsi"/>
                <w:color w:val="0070C0"/>
              </w:rPr>
              <w:t xml:space="preserve">:  </w:t>
            </w:r>
            <w:r w:rsidR="0028634C" w:rsidRPr="0028634C">
              <w:rPr>
                <w:rFonts w:cstheme="minorHAnsi"/>
                <w:color w:val="0070C0"/>
              </w:rPr>
              <w:t>“Registry Operator may activate in the DNS at All Levels up to one hundred (100) names (plus their IDN variants, where applicable) necessary for the operation or the promotion of the TLD.</w:t>
            </w:r>
            <w:r w:rsidR="0028634C">
              <w:rPr>
                <w:rFonts w:cstheme="minorHAnsi"/>
                <w:color w:val="0070C0"/>
              </w:rPr>
              <w:t>”</w:t>
            </w:r>
          </w:p>
          <w:p w14:paraId="0CB015E8" w14:textId="271AE9EA" w:rsidR="0028634C" w:rsidRPr="002637C1" w:rsidRDefault="0028634C" w:rsidP="0007224C">
            <w:pPr>
              <w:pStyle w:val="ListParagraph"/>
              <w:numPr>
                <w:ilvl w:val="0"/>
                <w:numId w:val="22"/>
              </w:numPr>
              <w:rPr>
                <w:rFonts w:cstheme="minorHAnsi"/>
                <w:color w:val="0070C0"/>
                <w:u w:val="single"/>
              </w:rPr>
            </w:pPr>
            <w:r w:rsidRPr="00D3327E">
              <w:rPr>
                <w:rFonts w:cstheme="minorHAnsi"/>
                <w:color w:val="0070C0"/>
                <w:u w:val="single"/>
              </w:rPr>
              <w:t>Specification 5, Section 3.</w:t>
            </w:r>
            <w:r w:rsidR="00094638">
              <w:rPr>
                <w:rFonts w:cstheme="minorHAnsi"/>
                <w:color w:val="0070C0"/>
                <w:u w:val="single"/>
              </w:rPr>
              <w:t>3</w:t>
            </w:r>
            <w:r w:rsidR="00094638" w:rsidRPr="00094638">
              <w:rPr>
                <w:rFonts w:cstheme="minorHAnsi"/>
                <w:color w:val="0070C0"/>
                <w:u w:val="single"/>
              </w:rPr>
              <w:t xml:space="preserve">: </w:t>
            </w:r>
            <w:r w:rsidR="00094638" w:rsidRPr="00094638">
              <w:rPr>
                <w:rFonts w:cstheme="minorHAnsi"/>
                <w:color w:val="0070C0"/>
              </w:rPr>
              <w:t xml:space="preserve"> </w:t>
            </w:r>
            <w:r w:rsidR="00094638">
              <w:rPr>
                <w:rFonts w:cstheme="minorHAnsi"/>
                <w:color w:val="0070C0"/>
              </w:rPr>
              <w:t>“</w:t>
            </w:r>
            <w:r w:rsidR="00094638" w:rsidRPr="00094638">
              <w:rPr>
                <w:rFonts w:cstheme="minorHAnsi"/>
                <w:color w:val="0070C0"/>
              </w:rPr>
              <w:t>Registry Operator may withhold from registration or allocate to Registry Operator names (including their IDN variants, where applicable) at All Levels in accordance with Section 2.6 of the Agreement.</w:t>
            </w:r>
            <w:r w:rsidR="00094638">
              <w:rPr>
                <w:rFonts w:cstheme="minorHAnsi"/>
                <w:color w:val="0070C0"/>
              </w:rPr>
              <w:t>”</w:t>
            </w:r>
          </w:p>
          <w:p w14:paraId="4E8C862E" w14:textId="47EFE2AF" w:rsidR="002637C1" w:rsidRPr="00C40AB4" w:rsidRDefault="002637C1" w:rsidP="0007224C">
            <w:pPr>
              <w:pStyle w:val="ListParagraph"/>
              <w:numPr>
                <w:ilvl w:val="0"/>
                <w:numId w:val="22"/>
              </w:numPr>
              <w:rPr>
                <w:rFonts w:cstheme="minorHAnsi"/>
                <w:color w:val="0070C0"/>
                <w:u w:val="single"/>
              </w:rPr>
            </w:pPr>
            <w:r>
              <w:rPr>
                <w:rFonts w:cstheme="minorHAnsi"/>
                <w:color w:val="0070C0"/>
                <w:u w:val="single"/>
              </w:rPr>
              <w:t>Specification 5, Section 4:</w:t>
            </w:r>
            <w:r>
              <w:rPr>
                <w:rFonts w:cstheme="minorHAnsi"/>
                <w:color w:val="0070C0"/>
              </w:rPr>
              <w:t xml:space="preserve">  </w:t>
            </w:r>
            <w:r w:rsidRPr="002637C1">
              <w:rPr>
                <w:rFonts w:cstheme="minorHAnsi"/>
                <w:color w:val="0070C0"/>
              </w:rPr>
              <w:t xml:space="preserve"> </w:t>
            </w:r>
            <w:r>
              <w:rPr>
                <w:rFonts w:cstheme="minorHAnsi"/>
                <w:color w:val="0070C0"/>
              </w:rPr>
              <w:t>“</w:t>
            </w:r>
            <w:r w:rsidRPr="002637C1">
              <w:rPr>
                <w:rFonts w:cstheme="minorHAnsi"/>
                <w:color w:val="0070C0"/>
              </w:rPr>
              <w:t>The country and territory names (including their IDN variants, where applicable) contained in the following internationally recognized lists shall be withheld from registration or allocated to Registry Operator at All Levels</w:t>
            </w:r>
            <w:r>
              <w:rPr>
                <w:rFonts w:cstheme="minorHAnsi"/>
                <w:color w:val="0070C0"/>
              </w:rPr>
              <w:t>.”</w:t>
            </w:r>
          </w:p>
          <w:p w14:paraId="58D833DB" w14:textId="457FE105" w:rsidR="00C40AB4" w:rsidRPr="00094638" w:rsidRDefault="00C40AB4" w:rsidP="0007224C">
            <w:pPr>
              <w:pStyle w:val="ListParagraph"/>
              <w:numPr>
                <w:ilvl w:val="0"/>
                <w:numId w:val="22"/>
              </w:numPr>
              <w:rPr>
                <w:rFonts w:cstheme="minorHAnsi"/>
                <w:color w:val="0070C0"/>
                <w:u w:val="single"/>
              </w:rPr>
            </w:pPr>
            <w:r>
              <w:rPr>
                <w:rFonts w:cstheme="minorHAnsi"/>
                <w:color w:val="0070C0"/>
                <w:u w:val="single"/>
              </w:rPr>
              <w:t>Specification 6, Section 2.2 (Wildcard Prohibition):</w:t>
            </w:r>
            <w:r>
              <w:rPr>
                <w:rFonts w:cstheme="minorHAnsi"/>
                <w:color w:val="0070C0"/>
              </w:rPr>
              <w:t xml:space="preserve">  “</w:t>
            </w:r>
            <w:r w:rsidRPr="00C40AB4">
              <w:rPr>
                <w:rFonts w:cstheme="minorHAnsi"/>
                <w:color w:val="0070C0"/>
              </w:rPr>
              <w:t xml:space="preserve">This provision applies for all DNS zone files at all levels in the DNS tree for which the Registry Operator (or an affiliate engaged in </w:t>
            </w:r>
            <w:r w:rsidRPr="00C40AB4">
              <w:rPr>
                <w:rFonts w:cstheme="minorHAnsi"/>
                <w:color w:val="0070C0"/>
              </w:rPr>
              <w:lastRenderedPageBreak/>
              <w:t>providing Registration Services) maintains data, arranges for such maintenance, or derives revenue from such maintenance.</w:t>
            </w:r>
          </w:p>
          <w:p w14:paraId="7E1DC765" w14:textId="77777777" w:rsidR="0007224C" w:rsidRDefault="0007224C" w:rsidP="0007224C">
            <w:pPr>
              <w:rPr>
                <w:color w:val="0070C0"/>
              </w:rPr>
            </w:pPr>
          </w:p>
          <w:p w14:paraId="1C7D7368" w14:textId="77777777" w:rsidR="0007224C" w:rsidRDefault="0007224C" w:rsidP="0007224C">
            <w:pPr>
              <w:rPr>
                <w:color w:val="0070C0"/>
              </w:rPr>
            </w:pPr>
          </w:p>
          <w:p w14:paraId="710F6058" w14:textId="77777777" w:rsidR="0007224C" w:rsidRDefault="0007224C" w:rsidP="0007224C">
            <w:pPr>
              <w:rPr>
                <w:color w:val="0070C0"/>
              </w:rPr>
            </w:pPr>
          </w:p>
          <w:p w14:paraId="18DE967D" w14:textId="13C11355" w:rsidR="00CF2E41" w:rsidRPr="0007224C" w:rsidRDefault="00CF2E41" w:rsidP="00CF2E41">
            <w:pPr>
              <w:rPr>
                <w:color w:val="0070C0"/>
              </w:rPr>
            </w:pPr>
          </w:p>
        </w:tc>
      </w:tr>
      <w:tr w:rsidR="009F6CEB" w14:paraId="6AF357A8" w14:textId="77777777" w:rsidTr="009F6CEB">
        <w:trPr>
          <w:trHeight w:val="530"/>
          <w:tblHeader/>
        </w:trPr>
        <w:tc>
          <w:tcPr>
            <w:tcW w:w="12950" w:type="dxa"/>
            <w:gridSpan w:val="3"/>
            <w:shd w:val="clear" w:color="auto" w:fill="0D0D0D" w:themeFill="text1" w:themeFillTint="F2"/>
            <w:vAlign w:val="center"/>
          </w:tcPr>
          <w:p w14:paraId="1DC6B3FB" w14:textId="1BB51874" w:rsidR="009F6CEB" w:rsidRPr="009F6CEB" w:rsidRDefault="009F6CEB" w:rsidP="00CF2E41">
            <w:pPr>
              <w:rPr>
                <w:b/>
                <w:bCs/>
              </w:rPr>
            </w:pPr>
            <w:r>
              <w:rPr>
                <w:b/>
                <w:bCs/>
              </w:rPr>
              <w:lastRenderedPageBreak/>
              <w:t>Topic 29:  Name Collisions</w:t>
            </w:r>
          </w:p>
        </w:tc>
      </w:tr>
      <w:tr w:rsidR="00CF2E41" w14:paraId="1CA9B8A0" w14:textId="77777777" w:rsidTr="0018724A">
        <w:trPr>
          <w:tblHeader/>
        </w:trPr>
        <w:tc>
          <w:tcPr>
            <w:tcW w:w="4316" w:type="dxa"/>
          </w:tcPr>
          <w:p w14:paraId="68C0CCB9" w14:textId="53660660" w:rsidR="00CF2E41" w:rsidRDefault="004F45C8" w:rsidP="004F45C8">
            <w:r>
              <w:rPr>
                <w:b/>
              </w:rPr>
              <w:t>Recommendation 29.1</w:t>
            </w:r>
            <w:r>
              <w:t>: ICANN must have ready prior to the opening of the application submission period a mechanism</w:t>
            </w:r>
            <w:r>
              <w:rPr>
                <w:spacing w:val="-7"/>
              </w:rPr>
              <w:t xml:space="preserve"> </w:t>
            </w:r>
            <w:r>
              <w:t>to</w:t>
            </w:r>
            <w:r>
              <w:rPr>
                <w:spacing w:val="-7"/>
              </w:rPr>
              <w:t xml:space="preserve"> </w:t>
            </w:r>
            <w:r>
              <w:t>evaluate</w:t>
            </w:r>
            <w:r>
              <w:rPr>
                <w:spacing w:val="-7"/>
              </w:rPr>
              <w:t xml:space="preserve"> </w:t>
            </w:r>
            <w:r>
              <w:t>the</w:t>
            </w:r>
            <w:r>
              <w:rPr>
                <w:spacing w:val="-7"/>
              </w:rPr>
              <w:t xml:space="preserve"> </w:t>
            </w:r>
            <w:r>
              <w:t>risk</w:t>
            </w:r>
            <w:r>
              <w:rPr>
                <w:spacing w:val="-7"/>
              </w:rPr>
              <w:t xml:space="preserve"> </w:t>
            </w:r>
            <w:r>
              <w:t>of</w:t>
            </w:r>
            <w:r>
              <w:rPr>
                <w:spacing w:val="-7"/>
              </w:rPr>
              <w:t xml:space="preserve"> </w:t>
            </w:r>
            <w:r>
              <w:t>name collisions in the New gTLD evaluation process as well as during the transition to delegation phase</w:t>
            </w:r>
          </w:p>
        </w:tc>
        <w:tc>
          <w:tcPr>
            <w:tcW w:w="4317" w:type="dxa"/>
          </w:tcPr>
          <w:p w14:paraId="477ACAEB" w14:textId="2D2EE45C" w:rsidR="00CF2E41" w:rsidRDefault="00C711E2" w:rsidP="00CF2E41">
            <w:r>
              <w:t>The</w:t>
            </w:r>
            <w:r>
              <w:rPr>
                <w:spacing w:val="-6"/>
              </w:rPr>
              <w:t xml:space="preserve"> </w:t>
            </w:r>
            <w:r>
              <w:t>Board</w:t>
            </w:r>
            <w:r>
              <w:rPr>
                <w:spacing w:val="-6"/>
              </w:rPr>
              <w:t xml:space="preserve"> </w:t>
            </w:r>
            <w:r>
              <w:t>has</w:t>
            </w:r>
            <w:r>
              <w:rPr>
                <w:spacing w:val="-6"/>
              </w:rPr>
              <w:t xml:space="preserve"> </w:t>
            </w:r>
            <w:r>
              <w:t>concerns</w:t>
            </w:r>
            <w:r>
              <w:rPr>
                <w:spacing w:val="-6"/>
              </w:rPr>
              <w:t xml:space="preserve"> </w:t>
            </w:r>
            <w:r>
              <w:t>around</w:t>
            </w:r>
            <w:r>
              <w:rPr>
                <w:spacing w:val="-6"/>
              </w:rPr>
              <w:t xml:space="preserve"> </w:t>
            </w:r>
            <w:r>
              <w:t>the</w:t>
            </w:r>
            <w:r>
              <w:rPr>
                <w:spacing w:val="-6"/>
              </w:rPr>
              <w:t xml:space="preserve"> </w:t>
            </w:r>
            <w:r>
              <w:t>potential</w:t>
            </w:r>
            <w:r>
              <w:rPr>
                <w:spacing w:val="-6"/>
              </w:rPr>
              <w:t xml:space="preserve"> </w:t>
            </w:r>
            <w:r>
              <w:t>impact of NCAP</w:t>
            </w:r>
            <w:r>
              <w:rPr>
                <w:spacing w:val="-6"/>
              </w:rPr>
              <w:t xml:space="preserve"> </w:t>
            </w:r>
            <w:r>
              <w:t>on this recommendation and believes it is prudent</w:t>
            </w:r>
            <w:r>
              <w:rPr>
                <w:spacing w:val="-1"/>
              </w:rPr>
              <w:t xml:space="preserve"> </w:t>
            </w:r>
            <w:r>
              <w:t>to</w:t>
            </w:r>
            <w:r>
              <w:rPr>
                <w:spacing w:val="-1"/>
              </w:rPr>
              <w:t xml:space="preserve"> </w:t>
            </w:r>
            <w:r>
              <w:t>wait</w:t>
            </w:r>
            <w:r>
              <w:rPr>
                <w:spacing w:val="-1"/>
              </w:rPr>
              <w:t xml:space="preserve"> </w:t>
            </w:r>
            <w:r>
              <w:t>until</w:t>
            </w:r>
            <w:r>
              <w:rPr>
                <w:spacing w:val="-1"/>
              </w:rPr>
              <w:t xml:space="preserve"> </w:t>
            </w:r>
            <w:r>
              <w:t>after</w:t>
            </w:r>
            <w:r>
              <w:rPr>
                <w:spacing w:val="-1"/>
              </w:rPr>
              <w:t xml:space="preserve"> </w:t>
            </w:r>
            <w:r>
              <w:t>the</w:t>
            </w:r>
            <w:r>
              <w:rPr>
                <w:spacing w:val="-1"/>
              </w:rPr>
              <w:t xml:space="preserve"> </w:t>
            </w:r>
            <w:r>
              <w:t>release</w:t>
            </w:r>
            <w:r>
              <w:rPr>
                <w:spacing w:val="-1"/>
              </w:rPr>
              <w:t xml:space="preserve"> </w:t>
            </w:r>
            <w:r>
              <w:t>of</w:t>
            </w:r>
            <w:r>
              <w:rPr>
                <w:spacing w:val="-1"/>
              </w:rPr>
              <w:t xml:space="preserve"> </w:t>
            </w:r>
            <w:r>
              <w:t>the</w:t>
            </w:r>
            <w:r>
              <w:rPr>
                <w:spacing w:val="-1"/>
              </w:rPr>
              <w:t xml:space="preserve"> </w:t>
            </w:r>
            <w:r>
              <w:t>NCAP2 study before resolving on this recommendation</w:t>
            </w:r>
          </w:p>
        </w:tc>
        <w:tc>
          <w:tcPr>
            <w:tcW w:w="4317" w:type="dxa"/>
          </w:tcPr>
          <w:p w14:paraId="4CC780EC" w14:textId="554E3D5B" w:rsidR="00CF2E41" w:rsidRPr="00A11589" w:rsidRDefault="00A11589" w:rsidP="00CF2E41">
            <w:pPr>
              <w:rPr>
                <w:color w:val="0070C0"/>
              </w:rPr>
            </w:pPr>
            <w:r>
              <w:rPr>
                <w:color w:val="0070C0"/>
              </w:rPr>
              <w:t>The understanding is that this study is due out imminently, but it should not hold up future rounds.</w:t>
            </w:r>
          </w:p>
        </w:tc>
      </w:tr>
      <w:tr w:rsidR="008D259C" w14:paraId="2C671F22" w14:textId="77777777" w:rsidTr="008D259C">
        <w:trPr>
          <w:trHeight w:val="530"/>
          <w:tblHeader/>
        </w:trPr>
        <w:tc>
          <w:tcPr>
            <w:tcW w:w="12950" w:type="dxa"/>
            <w:gridSpan w:val="3"/>
            <w:shd w:val="clear" w:color="auto" w:fill="0D0D0D" w:themeFill="text1" w:themeFillTint="F2"/>
            <w:vAlign w:val="center"/>
          </w:tcPr>
          <w:p w14:paraId="7845E4CA" w14:textId="71455757" w:rsidR="008D259C" w:rsidRPr="008D259C" w:rsidRDefault="008D259C" w:rsidP="00CF2E41">
            <w:pPr>
              <w:rPr>
                <w:b/>
                <w:bCs/>
              </w:rPr>
            </w:pPr>
            <w:r>
              <w:rPr>
                <w:b/>
                <w:bCs/>
              </w:rPr>
              <w:t>Topic 30:  GAC Consensus Advice and GAC Early Warning</w:t>
            </w:r>
          </w:p>
        </w:tc>
      </w:tr>
      <w:tr w:rsidR="008D259C" w14:paraId="5EB41F73" w14:textId="77777777" w:rsidTr="00853BE0">
        <w:trPr>
          <w:tblHeader/>
        </w:trPr>
        <w:tc>
          <w:tcPr>
            <w:tcW w:w="4316" w:type="dxa"/>
          </w:tcPr>
          <w:p w14:paraId="0E652EEF" w14:textId="09E20957" w:rsidR="008D259C" w:rsidRDefault="00DF2568" w:rsidP="00CF2E41">
            <w:r>
              <w:rPr>
                <w:b/>
              </w:rPr>
              <w:t>Recommendation 30.4</w:t>
            </w:r>
            <w:r>
              <w:t>: Section 3.1 of the 2012 Applicant Guidebook states that</w:t>
            </w:r>
            <w:r>
              <w:rPr>
                <w:spacing w:val="-14"/>
              </w:rPr>
              <w:t xml:space="preserve"> </w:t>
            </w:r>
            <w:r>
              <w:t>GAC</w:t>
            </w:r>
            <w:r>
              <w:rPr>
                <w:spacing w:val="-8"/>
              </w:rPr>
              <w:t xml:space="preserve"> </w:t>
            </w:r>
            <w:r>
              <w:t>Consensus</w:t>
            </w:r>
            <w:r>
              <w:rPr>
                <w:spacing w:val="-14"/>
              </w:rPr>
              <w:t xml:space="preserve"> </w:t>
            </w:r>
            <w:r>
              <w:t>Advice</w:t>
            </w:r>
            <w:r>
              <w:rPr>
                <w:spacing w:val="-9"/>
              </w:rPr>
              <w:t xml:space="preserve"> </w:t>
            </w:r>
            <w:r>
              <w:t>“will</w:t>
            </w:r>
            <w:r>
              <w:rPr>
                <w:spacing w:val="-9"/>
              </w:rPr>
              <w:t xml:space="preserve"> </w:t>
            </w:r>
            <w:r>
              <w:t>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Pr>
                <w:vertAlign w:val="superscript"/>
              </w:rPr>
              <w:t>14</w:t>
            </w:r>
            <w:r>
              <w:t xml:space="preserve"> The</w:t>
            </w:r>
            <w:r>
              <w:rPr>
                <w:spacing w:val="-3"/>
              </w:rPr>
              <w:t xml:space="preserve"> </w:t>
            </w:r>
            <w:r>
              <w:t>Working Group further</w:t>
            </w:r>
            <w:r>
              <w:rPr>
                <w:spacing w:val="-4"/>
              </w:rPr>
              <w:t xml:space="preserve"> </w:t>
            </w:r>
            <w:r>
              <w:t>notes</w:t>
            </w:r>
            <w:r>
              <w:rPr>
                <w:spacing w:val="-4"/>
              </w:rPr>
              <w:t xml:space="preserve"> </w:t>
            </w:r>
            <w:r>
              <w:t>that</w:t>
            </w:r>
            <w:r>
              <w:rPr>
                <w:spacing w:val="-4"/>
              </w:rPr>
              <w:t xml:space="preserve"> </w:t>
            </w:r>
            <w:r>
              <w:t>the</w:t>
            </w:r>
            <w:r>
              <w:rPr>
                <w:spacing w:val="-4"/>
              </w:rPr>
              <w:t xml:space="preserve"> </w:t>
            </w:r>
            <w:r>
              <w:t>language</w:t>
            </w:r>
            <w:r>
              <w:rPr>
                <w:spacing w:val="-4"/>
              </w:rPr>
              <w:t xml:space="preserve"> </w:t>
            </w:r>
            <w:r>
              <w:t>may</w:t>
            </w:r>
            <w:r>
              <w:rPr>
                <w:spacing w:val="-4"/>
              </w:rPr>
              <w:t xml:space="preserve"> </w:t>
            </w:r>
            <w:r>
              <w:t xml:space="preserve">have the unintended consequence of hampering the ability of the Board to facilitate a solution that mitigates concerns and is mutually acceptable to the </w:t>
            </w:r>
            <w:r>
              <w:lastRenderedPageBreak/>
              <w:t>applicant and the GAC as described in the relevant Bylaws language. Such a solution could allow an application to proceed. In place of the omitted language, the Working Group</w:t>
            </w:r>
            <w:r w:rsidR="00B05492">
              <w:t xml:space="preserve">  recommends</w:t>
            </w:r>
            <w:r w:rsidR="00B05492">
              <w:rPr>
                <w:spacing w:val="-14"/>
              </w:rPr>
              <w:t xml:space="preserve"> </w:t>
            </w:r>
            <w:r w:rsidR="00B05492">
              <w:t>including</w:t>
            </w:r>
            <w:r w:rsidR="00B05492">
              <w:rPr>
                <w:spacing w:val="-14"/>
              </w:rPr>
              <w:t xml:space="preserve"> </w:t>
            </w:r>
            <w:r w:rsidR="00B05492">
              <w:t>in</w:t>
            </w:r>
            <w:r w:rsidR="00B05492">
              <w:rPr>
                <w:spacing w:val="-10"/>
              </w:rPr>
              <w:t xml:space="preserve"> </w:t>
            </w:r>
            <w:r w:rsidR="00B05492">
              <w:t>the</w:t>
            </w:r>
            <w:r w:rsidR="00B05492">
              <w:rPr>
                <w:spacing w:val="-14"/>
              </w:rPr>
              <w:t xml:space="preserve"> </w:t>
            </w:r>
            <w:r w:rsidR="00B05492">
              <w:t>Applicant Guidebook a reference to applicable Bylaws provisions that describe the voting threshold for the ICANN Board to reject GAC Consensus Advice.</w:t>
            </w:r>
            <w:r w:rsidR="00B05492">
              <w:rPr>
                <w:vertAlign w:val="superscript"/>
              </w:rPr>
              <w:t>15</w:t>
            </w:r>
          </w:p>
        </w:tc>
        <w:tc>
          <w:tcPr>
            <w:tcW w:w="4317" w:type="dxa"/>
          </w:tcPr>
          <w:p w14:paraId="5AC65233" w14:textId="022E9D97" w:rsidR="008D259C" w:rsidRDefault="00BC0928" w:rsidP="00CF2E41">
            <w:r>
              <w:lastRenderedPageBreak/>
              <w:t>The</w:t>
            </w:r>
            <w:r>
              <w:rPr>
                <w:spacing w:val="-6"/>
              </w:rPr>
              <w:t xml:space="preserve"> </w:t>
            </w:r>
            <w:r>
              <w:t>GAC</w:t>
            </w:r>
            <w:r>
              <w:rPr>
                <w:spacing w:val="-6"/>
              </w:rPr>
              <w:t xml:space="preserve"> </w:t>
            </w:r>
            <w:r>
              <w:t>has</w:t>
            </w:r>
            <w:r>
              <w:rPr>
                <w:spacing w:val="-6"/>
              </w:rPr>
              <w:t xml:space="preserve"> </w:t>
            </w:r>
            <w:r>
              <w:t>previously</w:t>
            </w:r>
            <w:r>
              <w:rPr>
                <w:spacing w:val="-6"/>
              </w:rPr>
              <w:t xml:space="preserve"> </w:t>
            </w:r>
            <w:r>
              <w:t>raised</w:t>
            </w:r>
            <w:r>
              <w:rPr>
                <w:spacing w:val="-6"/>
              </w:rPr>
              <w:t xml:space="preserve"> </w:t>
            </w:r>
            <w:r>
              <w:t>concerns</w:t>
            </w:r>
            <w:r>
              <w:rPr>
                <w:spacing w:val="-6"/>
              </w:rPr>
              <w:t xml:space="preserve"> </w:t>
            </w:r>
            <w:r>
              <w:t>around</w:t>
            </w:r>
            <w:r>
              <w:rPr>
                <w:spacing w:val="-6"/>
              </w:rPr>
              <w:t xml:space="preserve"> </w:t>
            </w:r>
            <w:r>
              <w:t>the wording of this recommendation. The Board will consult with GNSO Council and GAC before resolving on this recommendation.</w:t>
            </w:r>
          </w:p>
        </w:tc>
        <w:tc>
          <w:tcPr>
            <w:tcW w:w="4317" w:type="dxa"/>
            <w:shd w:val="clear" w:color="auto" w:fill="FFFFFF" w:themeFill="background1"/>
          </w:tcPr>
          <w:p w14:paraId="7CFD4990" w14:textId="77777777" w:rsidR="008D259C" w:rsidRDefault="00A10053" w:rsidP="00CF2E41">
            <w:pPr>
              <w:rPr>
                <w:rFonts w:cstheme="minorHAnsi"/>
                <w:shd w:val="clear" w:color="auto" w:fill="FFFFFF"/>
              </w:rPr>
            </w:pPr>
            <w:r w:rsidRPr="00AF4BCC">
              <w:t>At the time the Applicant Guidebook was written, the ICANN Bylaws only stated</w:t>
            </w:r>
            <w:r w:rsidR="00AF4BCC">
              <w:t>, “</w:t>
            </w:r>
            <w:r w:rsidR="00853BE0" w:rsidRPr="00AF4BCC">
              <w:rPr>
                <w:rFonts w:cstheme="minorHAnsi"/>
                <w:shd w:val="clear" w:color="auto" w:fill="FFFFFF"/>
              </w:rPr>
              <w:t>The advice of the Governmental </w:t>
            </w:r>
            <w:r w:rsidR="00853BE0" w:rsidRPr="00AF4BCC">
              <w:rPr>
                <w:rFonts w:cstheme="minorHAnsi"/>
              </w:rPr>
              <w:t>Advisory Committee</w:t>
            </w:r>
            <w:r w:rsidR="00853BE0" w:rsidRPr="00AF4BCC">
              <w:rPr>
                <w:rFonts w:cstheme="minorHAnsi"/>
                <w:shd w:val="clear" w:color="auto" w:fill="FFFFFF"/>
              </w:rPr>
              <w:t> on public policy matters shall be duly taken into account, both in the formulation and adoption of policies. In the event that the </w:t>
            </w:r>
            <w:r w:rsidR="00853BE0" w:rsidRPr="00AF4BCC">
              <w:rPr>
                <w:rFonts w:cstheme="minorHAnsi"/>
              </w:rPr>
              <w:t>ICANN</w:t>
            </w:r>
            <w:r w:rsidR="00853BE0" w:rsidRPr="00AF4BCC">
              <w:rPr>
                <w:rFonts w:cstheme="minorHAnsi"/>
                <w:shd w:val="clear" w:color="auto" w:fill="FFFFFF"/>
              </w:rPr>
              <w:t> Board determines to take an action that is not consistent with the Governmental </w:t>
            </w:r>
            <w:r w:rsidR="00853BE0" w:rsidRPr="00AF4BCC">
              <w:rPr>
                <w:rFonts w:cstheme="minorHAnsi"/>
              </w:rPr>
              <w:t>Advisory Committee</w:t>
            </w:r>
            <w:r w:rsidR="00853BE0" w:rsidRPr="00AF4BCC">
              <w:rPr>
                <w:rFonts w:cstheme="minorHAnsi"/>
                <w:shd w:val="clear" w:color="auto" w:fill="FFFFFF"/>
              </w:rPr>
              <w:t> advice, it shall so inform the Committee and state the reasons why it decided not to follow that advice. The Governmental </w:t>
            </w:r>
            <w:r w:rsidR="00853BE0" w:rsidRPr="00AF4BCC">
              <w:rPr>
                <w:rFonts w:cstheme="minorHAnsi"/>
              </w:rPr>
              <w:t>Advisory Committee</w:t>
            </w:r>
            <w:r w:rsidR="00853BE0" w:rsidRPr="00AF4BCC">
              <w:rPr>
                <w:rFonts w:cstheme="minorHAnsi"/>
                <w:shd w:val="clear" w:color="auto" w:fill="FFFFFF"/>
              </w:rPr>
              <w:t> and the </w:t>
            </w:r>
            <w:r w:rsidR="00853BE0" w:rsidRPr="00AF4BCC">
              <w:rPr>
                <w:rFonts w:cstheme="minorHAnsi"/>
              </w:rPr>
              <w:t>ICANN</w:t>
            </w:r>
            <w:r w:rsidR="00853BE0" w:rsidRPr="00AF4BCC">
              <w:rPr>
                <w:rFonts w:cstheme="minorHAnsi"/>
                <w:shd w:val="clear" w:color="auto" w:fill="FFFFFF"/>
              </w:rPr>
              <w:t> Board will then try, in good faith and in a timely and efficient manner, to find a mutually acceptable solution.</w:t>
            </w:r>
            <w:r w:rsidR="00AF4BCC">
              <w:rPr>
                <w:rFonts w:cstheme="minorHAnsi"/>
                <w:shd w:val="clear" w:color="auto" w:fill="FFFFFF"/>
              </w:rPr>
              <w:t>”</w:t>
            </w:r>
          </w:p>
          <w:p w14:paraId="3112A9B7" w14:textId="77777777" w:rsidR="00AF4BCC" w:rsidRDefault="00AF4BCC" w:rsidP="00CF2E41">
            <w:pPr>
              <w:rPr>
                <w:color w:val="0070C0"/>
                <w:shd w:val="clear" w:color="auto" w:fill="FFFFFF"/>
              </w:rPr>
            </w:pPr>
          </w:p>
          <w:p w14:paraId="544E8B37" w14:textId="63E0131D" w:rsidR="00AF4BCC" w:rsidRDefault="00AF4BCC" w:rsidP="00CF2E41">
            <w:pPr>
              <w:rPr>
                <w:color w:val="0070C0"/>
                <w:shd w:val="clear" w:color="auto" w:fill="FFFFFF"/>
              </w:rPr>
            </w:pPr>
            <w:r>
              <w:rPr>
                <w:color w:val="0070C0"/>
                <w:shd w:val="clear" w:color="auto" w:fill="FFFFFF"/>
              </w:rPr>
              <w:t xml:space="preserve">The decision to add the Guidebook’s language about a presumption against delegation therefore </w:t>
            </w:r>
            <w:r w:rsidR="0086011F">
              <w:rPr>
                <w:color w:val="0070C0"/>
                <w:shd w:val="clear" w:color="auto" w:fill="FFFFFF"/>
              </w:rPr>
              <w:t xml:space="preserve">made more sense and </w:t>
            </w:r>
            <w:r>
              <w:rPr>
                <w:color w:val="0070C0"/>
                <w:shd w:val="clear" w:color="auto" w:fill="FFFFFF"/>
              </w:rPr>
              <w:t>gave the GAC some added comfort that its advice on New gTLDs would be taken into account.</w:t>
            </w:r>
          </w:p>
          <w:p w14:paraId="7C99DD93" w14:textId="35D65CE5" w:rsidR="00AF4BCC" w:rsidRDefault="00AF4BCC" w:rsidP="00CF2E41">
            <w:pPr>
              <w:rPr>
                <w:color w:val="0070C0"/>
                <w:shd w:val="clear" w:color="auto" w:fill="FFFFFF"/>
              </w:rPr>
            </w:pPr>
          </w:p>
          <w:p w14:paraId="7BB686D8" w14:textId="7DF53C18" w:rsidR="00AF4BCC" w:rsidRPr="0086011F" w:rsidRDefault="00AF4BCC" w:rsidP="00CF2E41">
            <w:pPr>
              <w:rPr>
                <w:rFonts w:cstheme="minorHAnsi"/>
                <w:color w:val="0070C0"/>
                <w:shd w:val="clear" w:color="auto" w:fill="FFFFFF"/>
              </w:rPr>
            </w:pPr>
            <w:r>
              <w:rPr>
                <w:color w:val="0070C0"/>
                <w:shd w:val="clear" w:color="auto" w:fill="FFFFFF"/>
              </w:rPr>
              <w:t xml:space="preserve">However, in 2016, the Bylaws changed to state: </w:t>
            </w:r>
            <w:r w:rsidRPr="0086011F">
              <w:rPr>
                <w:i/>
                <w:iCs/>
                <w:color w:val="0070C0"/>
                <w:shd w:val="clear" w:color="auto" w:fill="FFFFFF"/>
              </w:rPr>
              <w:t>“</w:t>
            </w:r>
            <w:r w:rsidR="0086011F" w:rsidRPr="0086011F">
              <w:rPr>
                <w:rFonts w:cstheme="minorHAnsi"/>
                <w:i/>
                <w:iCs/>
                <w:color w:val="0070C0"/>
                <w:shd w:val="clear" w:color="auto" w:fill="FFFFFF"/>
              </w:rPr>
              <w:t>Any Governmental </w:t>
            </w:r>
            <w:r w:rsidR="0086011F" w:rsidRPr="0086011F">
              <w:rPr>
                <w:rFonts w:cstheme="minorHAnsi"/>
                <w:i/>
                <w:iCs/>
                <w:color w:val="0070C0"/>
              </w:rPr>
              <w:t>Advisory Committee</w:t>
            </w:r>
            <w:r w:rsidR="0086011F" w:rsidRPr="0086011F">
              <w:rPr>
                <w:rFonts w:cstheme="minorHAnsi"/>
                <w:i/>
                <w:iCs/>
                <w:color w:val="0070C0"/>
                <w:shd w:val="clear" w:color="auto" w:fill="FFFFFF"/>
              </w:rPr>
              <w:t> advice approved by a full Governmental </w:t>
            </w:r>
            <w:r w:rsidR="0086011F" w:rsidRPr="0086011F">
              <w:rPr>
                <w:rFonts w:cstheme="minorHAnsi"/>
                <w:i/>
                <w:iCs/>
                <w:color w:val="0070C0"/>
              </w:rPr>
              <w:t>Advisory Committee</w:t>
            </w:r>
            <w:r w:rsidR="0086011F" w:rsidRPr="0086011F">
              <w:rPr>
                <w:rFonts w:cstheme="minorHAnsi"/>
                <w:i/>
                <w:iCs/>
                <w:color w:val="0070C0"/>
                <w:shd w:val="clear" w:color="auto" w:fill="FFFFFF"/>
              </w:rPr>
              <w:t> consensus, understood to mean the practice of adopting decisions by general agreement in the absence of any formal objection ("</w:t>
            </w:r>
            <w:r w:rsidR="0086011F" w:rsidRPr="0086011F">
              <w:rPr>
                <w:rStyle w:val="Strong"/>
                <w:rFonts w:cstheme="minorHAnsi"/>
                <w:i/>
                <w:iCs/>
                <w:color w:val="0070C0"/>
                <w:shd w:val="clear" w:color="auto" w:fill="FFFFFF"/>
              </w:rPr>
              <w:t>GAC Consensus Advice</w:t>
            </w:r>
            <w:r w:rsidR="0086011F" w:rsidRPr="0086011F">
              <w:rPr>
                <w:rFonts w:cstheme="minorHAnsi"/>
                <w:i/>
                <w:iCs/>
                <w:color w:val="0070C0"/>
                <w:shd w:val="clear" w:color="auto" w:fill="FFFFFF"/>
              </w:rPr>
              <w:t>"), may only be rejected by a vote of no less than 60% of the Board, and the Governmental </w:t>
            </w:r>
            <w:r w:rsidR="0086011F" w:rsidRPr="0086011F">
              <w:rPr>
                <w:rFonts w:cstheme="minorHAnsi"/>
                <w:i/>
                <w:iCs/>
                <w:color w:val="0070C0"/>
              </w:rPr>
              <w:t>Advisory Committee</w:t>
            </w:r>
            <w:r w:rsidR="0086011F" w:rsidRPr="0086011F">
              <w:rPr>
                <w:rFonts w:cstheme="minorHAnsi"/>
                <w:i/>
                <w:iCs/>
                <w:color w:val="0070C0"/>
                <w:shd w:val="clear" w:color="auto" w:fill="FFFFFF"/>
              </w:rPr>
              <w:t> and the Board will then try, in good faith and in a timely and efficient manner, to find a mutually acceptable solution.”</w:t>
            </w:r>
          </w:p>
          <w:p w14:paraId="795587C1" w14:textId="77777777" w:rsidR="00AF4BCC" w:rsidRDefault="00AF4BCC" w:rsidP="00CF2E41">
            <w:pPr>
              <w:rPr>
                <w:color w:val="0070C0"/>
                <w:shd w:val="clear" w:color="auto" w:fill="FFFFFF"/>
              </w:rPr>
            </w:pPr>
          </w:p>
          <w:p w14:paraId="558F4057" w14:textId="07844CC8" w:rsidR="00AF4BCC" w:rsidRDefault="0086011F" w:rsidP="00CF2E41">
            <w:pPr>
              <w:rPr>
                <w:color w:val="0070C0"/>
                <w:shd w:val="clear" w:color="auto" w:fill="FFFFFF"/>
              </w:rPr>
            </w:pPr>
            <w:r>
              <w:rPr>
                <w:color w:val="0070C0"/>
                <w:shd w:val="clear" w:color="auto" w:fill="FFFFFF"/>
              </w:rPr>
              <w:t>With this new wording in 2016 requiring that the Board must have a supermajority of 60% to override GAC Advice to not delegate a string inherently provides the added comfort that the Guidebook’s language formally gave them.</w:t>
            </w:r>
          </w:p>
          <w:p w14:paraId="79824DD3" w14:textId="16F08833" w:rsidR="0086011F" w:rsidRDefault="0086011F" w:rsidP="00CF2E41">
            <w:pPr>
              <w:rPr>
                <w:color w:val="0070C0"/>
                <w:shd w:val="clear" w:color="auto" w:fill="FFFFFF"/>
              </w:rPr>
            </w:pPr>
          </w:p>
          <w:p w14:paraId="24A5B969" w14:textId="2E84CBA0" w:rsidR="0086011F" w:rsidRDefault="0086011F" w:rsidP="00CF2E41">
            <w:pPr>
              <w:rPr>
                <w:color w:val="0070C0"/>
                <w:shd w:val="clear" w:color="auto" w:fill="FFFFFF"/>
              </w:rPr>
            </w:pPr>
            <w:r>
              <w:rPr>
                <w:color w:val="0070C0"/>
                <w:shd w:val="clear" w:color="auto" w:fill="FFFFFF"/>
              </w:rPr>
              <w:t xml:space="preserve">If you add the “Strong Presumption” on top of the already Super Majority: (i) what does that actually mean, (ii) it comes much closer to a VETO RIGHT, and (iii) ignores the number </w:t>
            </w:r>
            <w:r>
              <w:rPr>
                <w:color w:val="0070C0"/>
                <w:shd w:val="clear" w:color="auto" w:fill="FFFFFF"/>
              </w:rPr>
              <w:lastRenderedPageBreak/>
              <w:t>of Independent Review decisions that found that the strong presumption without public policy back-up violated ICANN’s Bylaws.</w:t>
            </w:r>
          </w:p>
          <w:p w14:paraId="378485DA" w14:textId="720FD608" w:rsidR="0086011F" w:rsidRDefault="0086011F" w:rsidP="00CF2E41">
            <w:pPr>
              <w:rPr>
                <w:color w:val="0070C0"/>
                <w:shd w:val="clear" w:color="auto" w:fill="FFFFFF"/>
              </w:rPr>
            </w:pPr>
          </w:p>
          <w:p w14:paraId="132656C4" w14:textId="77777777" w:rsidR="0051150C" w:rsidRDefault="0086300A" w:rsidP="00CF2E41">
            <w:pPr>
              <w:rPr>
                <w:shd w:val="clear" w:color="auto" w:fill="FFFFFF"/>
              </w:rPr>
            </w:pPr>
            <w:r>
              <w:rPr>
                <w:shd w:val="clear" w:color="auto" w:fill="FFFFFF"/>
              </w:rPr>
              <w:t xml:space="preserve">According to the most recent GAC comment on the </w:t>
            </w:r>
            <w:hyperlink r:id="rId16" w:history="1">
              <w:r w:rsidRPr="0086300A">
                <w:rPr>
                  <w:rStyle w:val="Hyperlink"/>
                  <w:shd w:val="clear" w:color="auto" w:fill="FFFFFF"/>
                </w:rPr>
                <w:t>recommendations</w:t>
              </w:r>
            </w:hyperlink>
            <w:r>
              <w:rPr>
                <w:shd w:val="clear" w:color="auto" w:fill="FFFFFF"/>
              </w:rPr>
              <w:t xml:space="preserve">, </w:t>
            </w:r>
            <w:r w:rsidR="003B61DA">
              <w:rPr>
                <w:shd w:val="clear" w:color="auto" w:fill="FFFFFF"/>
              </w:rPr>
              <w:t xml:space="preserve">there </w:t>
            </w:r>
            <w:r w:rsidR="0051150C">
              <w:rPr>
                <w:shd w:val="clear" w:color="auto" w:fill="FFFFFF"/>
              </w:rPr>
              <w:t>not only was no consensus to change this recommendation, but there were members of the GAC that SUPPORTED this recommendation.</w:t>
            </w:r>
          </w:p>
          <w:p w14:paraId="3C142DF5" w14:textId="77777777" w:rsidR="0051150C" w:rsidRDefault="0051150C" w:rsidP="00CF2E41">
            <w:pPr>
              <w:rPr>
                <w:shd w:val="clear" w:color="auto" w:fill="FFFFFF"/>
              </w:rPr>
            </w:pPr>
          </w:p>
          <w:p w14:paraId="6492E8F1" w14:textId="6D33DC94" w:rsidR="0086011F" w:rsidRPr="003B61DA" w:rsidRDefault="003B61DA" w:rsidP="00CF2E41">
            <w:pPr>
              <w:rPr>
                <w:color w:val="0070C0"/>
                <w:shd w:val="clear" w:color="auto" w:fill="FFFFFF"/>
              </w:rPr>
            </w:pPr>
            <w:r>
              <w:rPr>
                <w:shd w:val="clear" w:color="auto" w:fill="FFFFFF"/>
              </w:rPr>
              <w:t xml:space="preserve">More specifically is states: </w:t>
            </w:r>
            <w:r w:rsidR="0086300A">
              <w:rPr>
                <w:shd w:val="clear" w:color="auto" w:fill="FFFFFF"/>
              </w:rPr>
              <w:t>“</w:t>
            </w:r>
            <w:r>
              <w:t xml:space="preserve">Regarding Recommendation 30.4, there are diverse views within the GAC on the “strong presumption” language. Some GAC Members believe that Section 3.1 of the 2012 Applicant Guidebook, which states that GAC Consensus Advice “will create a strong presumption for the ICANN Board that the application should not be approved, “should be maintained, as they consider that this language was part of a delicate compromise during the 2012 round preparations and further consider that it is consistent with past and present Bylaws provisions. Further, said GAC Members consider that the possibility of maintaining a dialogue with the concerned applicant is not hampered by this language, considering that recommendation 30.7 of the PDP WG establishes ways and means to conduct such a dialogue even in the case of GAC Consensus Advice objecting to an application. </w:t>
            </w:r>
            <w:r w:rsidRPr="003B61DA">
              <w:rPr>
                <w:b/>
                <w:bCs/>
                <w:color w:val="0070C0"/>
              </w:rPr>
              <w:t xml:space="preserve">However, other GAC Members support the Working Group’s recommendation to remove this </w:t>
            </w:r>
            <w:r w:rsidRPr="003B61DA">
              <w:rPr>
                <w:b/>
                <w:bCs/>
                <w:color w:val="0070C0"/>
              </w:rPr>
              <w:lastRenderedPageBreak/>
              <w:t>language, and believe that the text of any future Applicant Guidebook must be consistent with the Bylaws regarding GAC advice</w:t>
            </w:r>
            <w:r w:rsidRPr="003B61DA">
              <w:rPr>
                <w:color w:val="0070C0"/>
              </w:rPr>
              <w:t>.</w:t>
            </w:r>
            <w:r>
              <w:rPr>
                <w:color w:val="0070C0"/>
              </w:rPr>
              <w:t>” (emphasis added).</w:t>
            </w:r>
          </w:p>
          <w:p w14:paraId="7BBCB4E7" w14:textId="77777777" w:rsidR="00AF4BCC" w:rsidRDefault="00AF4BCC" w:rsidP="00CF2E41">
            <w:pPr>
              <w:rPr>
                <w:color w:val="0070C0"/>
                <w:shd w:val="clear" w:color="auto" w:fill="FFFFFF"/>
              </w:rPr>
            </w:pPr>
          </w:p>
          <w:p w14:paraId="4D361B2B" w14:textId="77777777" w:rsidR="00AF4BCC" w:rsidRDefault="00AF4BCC" w:rsidP="00CF2E41">
            <w:pPr>
              <w:rPr>
                <w:color w:val="0070C0"/>
                <w:shd w:val="clear" w:color="auto" w:fill="FFFFFF"/>
              </w:rPr>
            </w:pPr>
          </w:p>
          <w:p w14:paraId="054C6465" w14:textId="1174E9B2" w:rsidR="008D259C" w:rsidRPr="00AF4BCC" w:rsidRDefault="008D259C" w:rsidP="00CF2E41">
            <w:pPr>
              <w:rPr>
                <w:color w:val="0070C0"/>
              </w:rPr>
            </w:pPr>
          </w:p>
        </w:tc>
      </w:tr>
      <w:tr w:rsidR="008D259C" w14:paraId="3F829405" w14:textId="77777777" w:rsidTr="0018724A">
        <w:trPr>
          <w:tblHeader/>
        </w:trPr>
        <w:tc>
          <w:tcPr>
            <w:tcW w:w="4316" w:type="dxa"/>
          </w:tcPr>
          <w:p w14:paraId="710129A0" w14:textId="34F30F36" w:rsidR="008D259C" w:rsidRDefault="00877A6E" w:rsidP="00CF2E41">
            <w:r>
              <w:rPr>
                <w:b/>
              </w:rPr>
              <w:lastRenderedPageBreak/>
              <w:t>Recommendation 30.5</w:t>
            </w:r>
            <w:r>
              <w:t>: The Working Group recommends that GAC Early Warnings</w:t>
            </w:r>
            <w:r>
              <w:rPr>
                <w:spacing w:val="-10"/>
              </w:rPr>
              <w:t xml:space="preserve"> </w:t>
            </w:r>
            <w:r>
              <w:t>are</w:t>
            </w:r>
            <w:r>
              <w:rPr>
                <w:spacing w:val="-10"/>
              </w:rPr>
              <w:t xml:space="preserve"> </w:t>
            </w:r>
            <w:r>
              <w:t>issued</w:t>
            </w:r>
            <w:r>
              <w:rPr>
                <w:spacing w:val="-10"/>
              </w:rPr>
              <w:t xml:space="preserve"> </w:t>
            </w:r>
            <w:r>
              <w:t>during</w:t>
            </w:r>
            <w:r>
              <w:rPr>
                <w:spacing w:val="-10"/>
              </w:rPr>
              <w:t xml:space="preserve"> </w:t>
            </w:r>
            <w:r>
              <w:t>a</w:t>
            </w:r>
            <w:r>
              <w:rPr>
                <w:spacing w:val="-10"/>
              </w:rPr>
              <w:t xml:space="preserve"> </w:t>
            </w:r>
            <w:r>
              <w:t>period</w:t>
            </w:r>
            <w:r>
              <w:rPr>
                <w:spacing w:val="-10"/>
              </w:rPr>
              <w:t xml:space="preserve"> </w:t>
            </w:r>
            <w:r>
              <w:t>that is concurrent with the Application Comment Period.</w:t>
            </w:r>
            <w:r w:rsidR="00FF2B24">
              <w:t xml:space="preserve"> </w:t>
            </w:r>
            <w:r>
              <w:t xml:space="preserve"> To the extent that there is a longer period given for the GAC to provide Early</w:t>
            </w:r>
            <w:r>
              <w:rPr>
                <w:spacing w:val="-4"/>
              </w:rPr>
              <w:t xml:space="preserve"> </w:t>
            </w:r>
            <w:r>
              <w:t>Warnings (above and beyond the Application Comment Period), the</w:t>
            </w:r>
            <w:r>
              <w:rPr>
                <w:spacing w:val="-1"/>
              </w:rPr>
              <w:t xml:space="preserve"> </w:t>
            </w:r>
            <w:r>
              <w:t xml:space="preserve">Applicant Guidebook must define a specific time period during which GAC Early Warnings can be </w:t>
            </w:r>
            <w:r>
              <w:rPr>
                <w:spacing w:val="-2"/>
              </w:rPr>
              <w:t>issued.</w:t>
            </w:r>
          </w:p>
        </w:tc>
        <w:tc>
          <w:tcPr>
            <w:tcW w:w="4317" w:type="dxa"/>
          </w:tcPr>
          <w:p w14:paraId="54A6DE31" w14:textId="76413592" w:rsidR="008D259C" w:rsidRDefault="00215173" w:rsidP="00CF2E41">
            <w:r>
              <w:t>The</w:t>
            </w:r>
            <w:r>
              <w:rPr>
                <w:spacing w:val="-6"/>
              </w:rPr>
              <w:t xml:space="preserve"> </w:t>
            </w:r>
            <w:r>
              <w:t>GAC</w:t>
            </w:r>
            <w:r>
              <w:rPr>
                <w:spacing w:val="-6"/>
              </w:rPr>
              <w:t xml:space="preserve"> </w:t>
            </w:r>
            <w:r>
              <w:t>has</w:t>
            </w:r>
            <w:r>
              <w:rPr>
                <w:spacing w:val="-6"/>
              </w:rPr>
              <w:t xml:space="preserve"> </w:t>
            </w:r>
            <w:r>
              <w:t>previously</w:t>
            </w:r>
            <w:r>
              <w:rPr>
                <w:spacing w:val="-6"/>
              </w:rPr>
              <w:t xml:space="preserve"> </w:t>
            </w:r>
            <w:r>
              <w:t>raised</w:t>
            </w:r>
            <w:r>
              <w:rPr>
                <w:spacing w:val="-6"/>
              </w:rPr>
              <w:t xml:space="preserve"> </w:t>
            </w:r>
            <w:r>
              <w:t>concerns</w:t>
            </w:r>
            <w:r>
              <w:rPr>
                <w:spacing w:val="-6"/>
              </w:rPr>
              <w:t xml:space="preserve"> </w:t>
            </w:r>
            <w:r>
              <w:t>around</w:t>
            </w:r>
            <w:r>
              <w:rPr>
                <w:spacing w:val="-6"/>
              </w:rPr>
              <w:t xml:space="preserve"> </w:t>
            </w:r>
            <w:r>
              <w:t>the wording of this recommendation. The Board will consult with GNSO Council and GAC before resolving on this recommendation</w:t>
            </w:r>
          </w:p>
        </w:tc>
        <w:tc>
          <w:tcPr>
            <w:tcW w:w="4317" w:type="dxa"/>
          </w:tcPr>
          <w:p w14:paraId="20A6F144" w14:textId="5E810956" w:rsidR="008D259C" w:rsidRPr="000538BA" w:rsidRDefault="000538BA" w:rsidP="00CF2E41">
            <w:pPr>
              <w:rPr>
                <w:color w:val="0070C0"/>
              </w:rPr>
            </w:pPr>
            <w:r>
              <w:rPr>
                <w:color w:val="0070C0"/>
              </w:rPr>
              <w:t>This recommendation was to provide predictability to the community and ensure there was not an open ended multi-year process to solicit GAC Early Warnings.  It does not state that there cannot be a longer period, but rather that the Applicant Guidebook define how long that period would be.  This is a very reasonable recommendation.</w:t>
            </w:r>
          </w:p>
        </w:tc>
      </w:tr>
      <w:tr w:rsidR="008D259C" w14:paraId="105FD255" w14:textId="77777777" w:rsidTr="0018724A">
        <w:trPr>
          <w:tblHeader/>
        </w:trPr>
        <w:tc>
          <w:tcPr>
            <w:tcW w:w="4316" w:type="dxa"/>
          </w:tcPr>
          <w:p w14:paraId="6D66EEEF" w14:textId="6EE9EAB9" w:rsidR="008D259C" w:rsidRDefault="00416431" w:rsidP="00CF2E41">
            <w:r>
              <w:rPr>
                <w:b/>
              </w:rPr>
              <w:t>Recommendation</w:t>
            </w:r>
            <w:r>
              <w:rPr>
                <w:b/>
                <w:spacing w:val="-14"/>
              </w:rPr>
              <w:t xml:space="preserve"> </w:t>
            </w:r>
            <w:r>
              <w:rPr>
                <w:b/>
              </w:rPr>
              <w:t>30.6</w:t>
            </w:r>
            <w:r>
              <w:t>:</w:t>
            </w:r>
            <w:r>
              <w:rPr>
                <w:spacing w:val="-14"/>
              </w:rPr>
              <w:t xml:space="preserve"> </w:t>
            </w:r>
            <w:r>
              <w:t>Government(s) issuing</w:t>
            </w:r>
            <w:r>
              <w:rPr>
                <w:spacing w:val="-10"/>
              </w:rPr>
              <w:t xml:space="preserve"> </w:t>
            </w:r>
            <w:r>
              <w:t>Early</w:t>
            </w:r>
            <w:r>
              <w:rPr>
                <w:spacing w:val="-14"/>
              </w:rPr>
              <w:t xml:space="preserve"> </w:t>
            </w:r>
            <w:r>
              <w:t>Warning(s)</w:t>
            </w:r>
            <w:r>
              <w:rPr>
                <w:spacing w:val="-10"/>
              </w:rPr>
              <w:t xml:space="preserve"> </w:t>
            </w:r>
            <w:r>
              <w:t>must</w:t>
            </w:r>
            <w:r>
              <w:rPr>
                <w:spacing w:val="-10"/>
              </w:rPr>
              <w:t xml:space="preserve"> </w:t>
            </w:r>
            <w:r>
              <w:t>include</w:t>
            </w:r>
            <w:r>
              <w:rPr>
                <w:spacing w:val="-10"/>
              </w:rPr>
              <w:t xml:space="preserve"> </w:t>
            </w:r>
            <w:r>
              <w:t>a written explanation describing why the Early Warning was submitted and how the applicant may address the GAC member’s concerns.</w:t>
            </w:r>
          </w:p>
        </w:tc>
        <w:tc>
          <w:tcPr>
            <w:tcW w:w="4317" w:type="dxa"/>
          </w:tcPr>
          <w:p w14:paraId="20E925FC" w14:textId="35464647" w:rsidR="008D259C" w:rsidRDefault="00F6557C" w:rsidP="00CF2E41">
            <w:r>
              <w:t>The</w:t>
            </w:r>
            <w:r>
              <w:rPr>
                <w:spacing w:val="-6"/>
              </w:rPr>
              <w:t xml:space="preserve"> </w:t>
            </w:r>
            <w:r>
              <w:t>GAC</w:t>
            </w:r>
            <w:r>
              <w:rPr>
                <w:spacing w:val="-6"/>
              </w:rPr>
              <w:t xml:space="preserve"> </w:t>
            </w:r>
            <w:r>
              <w:t>has</w:t>
            </w:r>
            <w:r>
              <w:rPr>
                <w:spacing w:val="-6"/>
              </w:rPr>
              <w:t xml:space="preserve"> </w:t>
            </w:r>
            <w:r>
              <w:t>previously</w:t>
            </w:r>
            <w:r>
              <w:rPr>
                <w:spacing w:val="-6"/>
              </w:rPr>
              <w:t xml:space="preserve"> </w:t>
            </w:r>
            <w:r>
              <w:t>raised</w:t>
            </w:r>
            <w:r>
              <w:rPr>
                <w:spacing w:val="-6"/>
              </w:rPr>
              <w:t xml:space="preserve"> </w:t>
            </w:r>
            <w:r>
              <w:t>concerns</w:t>
            </w:r>
            <w:r>
              <w:rPr>
                <w:spacing w:val="-6"/>
              </w:rPr>
              <w:t xml:space="preserve"> </w:t>
            </w:r>
            <w:r>
              <w:t>around</w:t>
            </w:r>
            <w:r>
              <w:rPr>
                <w:spacing w:val="-6"/>
              </w:rPr>
              <w:t xml:space="preserve"> </w:t>
            </w:r>
            <w:r>
              <w:t>the wording of this recommendation. The Board will consult with GNSO Council and GAC before resolving on this recommendation.</w:t>
            </w:r>
          </w:p>
        </w:tc>
        <w:tc>
          <w:tcPr>
            <w:tcW w:w="4317" w:type="dxa"/>
          </w:tcPr>
          <w:p w14:paraId="469CAB77" w14:textId="0ECF975D" w:rsidR="008D259C" w:rsidRDefault="000538BA" w:rsidP="00CF2E41">
            <w:r>
              <w:t xml:space="preserve">In the </w:t>
            </w:r>
            <w:hyperlink r:id="rId17" w:history="1">
              <w:r w:rsidRPr="00B17E6E">
                <w:rPr>
                  <w:rStyle w:val="Hyperlink"/>
                </w:rPr>
                <w:t>GAC’s most recent correspondence</w:t>
              </w:r>
            </w:hyperlink>
            <w:r w:rsidR="00B17E6E">
              <w:t xml:space="preserve"> on SubPro in June 2021</w:t>
            </w:r>
            <w:r w:rsidR="0044404B">
              <w:t>, the GAC supports giving applicants an opportunity for direct dialogue with the GAC.  It also remains open to increasing transparency and fairness.  More specifically, it states:</w:t>
            </w:r>
          </w:p>
          <w:p w14:paraId="31EC4BAC" w14:textId="77777777" w:rsidR="0044404B" w:rsidRDefault="0044404B" w:rsidP="00CF2E41"/>
          <w:p w14:paraId="77F40633" w14:textId="77777777" w:rsidR="0044404B" w:rsidRDefault="0044404B" w:rsidP="00CF2E41">
            <w:r w:rsidRPr="0044404B">
              <w:rPr>
                <w:i/>
                <w:iCs/>
              </w:rPr>
              <w:t xml:space="preserve">The GAC believes that early warnings are a useful mechanism for beginning a discussion with an applicant on particular issues, questions and potential sensitivities by one or more governments, where an application may potentially infringe national laws or raise sensitivities. Constructive dialogue through this process can help applicants better understand the concerns of governments and help governments better understand the </w:t>
            </w:r>
            <w:r w:rsidRPr="0044404B">
              <w:rPr>
                <w:i/>
                <w:iCs/>
              </w:rPr>
              <w:lastRenderedPageBreak/>
              <w:t>planned operation of proposed gTLDs. GAC Early Warnings may help the applicant to know how it can mitigate concerns and find a mutually acceptable solution.</w:t>
            </w:r>
          </w:p>
          <w:p w14:paraId="4FDF6618" w14:textId="77777777" w:rsidR="005402DF" w:rsidRDefault="005402DF" w:rsidP="00CF2E41"/>
          <w:p w14:paraId="44DDDD85" w14:textId="4A3F374F" w:rsidR="005402DF" w:rsidRDefault="005402DF" w:rsidP="00CF2E41">
            <w:pPr>
              <w:rPr>
                <w:color w:val="0070C0"/>
              </w:rPr>
            </w:pPr>
            <w:r>
              <w:rPr>
                <w:color w:val="0070C0"/>
              </w:rPr>
              <w:t>The SubPro recommendation is very consistent with the GAC statement and therefore, we are not sure why there is still an issue.</w:t>
            </w:r>
          </w:p>
          <w:p w14:paraId="2B630266" w14:textId="50A77FC7" w:rsidR="008D259C" w:rsidRPr="005402DF" w:rsidRDefault="008D259C" w:rsidP="00CF2E41">
            <w:pPr>
              <w:rPr>
                <w:color w:val="0070C0"/>
              </w:rPr>
            </w:pPr>
          </w:p>
        </w:tc>
      </w:tr>
      <w:tr w:rsidR="008D259C" w14:paraId="42795014" w14:textId="77777777" w:rsidTr="0018724A">
        <w:trPr>
          <w:tblHeader/>
        </w:trPr>
        <w:tc>
          <w:tcPr>
            <w:tcW w:w="4316" w:type="dxa"/>
          </w:tcPr>
          <w:p w14:paraId="1D69BB0A" w14:textId="4CD74DC7" w:rsidR="008D259C" w:rsidRDefault="009A227A" w:rsidP="009A227A">
            <w:pPr>
              <w:tabs>
                <w:tab w:val="left" w:pos="1095"/>
              </w:tabs>
            </w:pPr>
            <w:r>
              <w:rPr>
                <w:b/>
              </w:rPr>
              <w:lastRenderedPageBreak/>
              <w:t>Recommendation 30.7</w:t>
            </w:r>
            <w:r>
              <w:t>: Applicants must be allowed to change their applications,</w:t>
            </w:r>
            <w:r>
              <w:rPr>
                <w:spacing w:val="-10"/>
              </w:rPr>
              <w:t xml:space="preserve"> </w:t>
            </w:r>
            <w:r>
              <w:t>including</w:t>
            </w:r>
            <w:r>
              <w:rPr>
                <w:spacing w:val="-10"/>
              </w:rPr>
              <w:t xml:space="preserve"> </w:t>
            </w:r>
            <w:r>
              <w:t>the</w:t>
            </w:r>
            <w:r>
              <w:rPr>
                <w:spacing w:val="-10"/>
              </w:rPr>
              <w:t xml:space="preserve"> </w:t>
            </w:r>
            <w:r>
              <w:t>addition</w:t>
            </w:r>
            <w:r>
              <w:rPr>
                <w:spacing w:val="-10"/>
              </w:rPr>
              <w:t xml:space="preserve"> </w:t>
            </w:r>
            <w:r>
              <w:t>or</w:t>
            </w:r>
            <w:r w:rsidR="005041D0">
              <w:t xml:space="preserve">  modification of Registry Voluntary Commitments (RVCs, formerly voluntary PICs), to address GAC Early Warnings, GAC Consensus Advice, and/or other comments from the GAC.</w:t>
            </w:r>
            <w:r w:rsidR="005041D0">
              <w:rPr>
                <w:vertAlign w:val="superscript"/>
              </w:rPr>
              <w:t>17</w:t>
            </w:r>
            <w:r w:rsidR="005041D0">
              <w:t xml:space="preserve"> Relevant GAC members are strongly encouraged to make themselves available during a specified period of time</w:t>
            </w:r>
            <w:r w:rsidR="005041D0">
              <w:rPr>
                <w:spacing w:val="-10"/>
              </w:rPr>
              <w:t xml:space="preserve"> </w:t>
            </w:r>
            <w:r w:rsidR="005041D0">
              <w:t>for</w:t>
            </w:r>
            <w:r w:rsidR="005041D0">
              <w:rPr>
                <w:spacing w:val="-10"/>
              </w:rPr>
              <w:t xml:space="preserve"> </w:t>
            </w:r>
            <w:r w:rsidR="005041D0">
              <w:t>direct</w:t>
            </w:r>
            <w:r w:rsidR="005041D0">
              <w:rPr>
                <w:spacing w:val="-10"/>
              </w:rPr>
              <w:t xml:space="preserve"> </w:t>
            </w:r>
            <w:r w:rsidR="005041D0">
              <w:t>dialogue</w:t>
            </w:r>
            <w:r w:rsidR="005041D0">
              <w:rPr>
                <w:vertAlign w:val="superscript"/>
              </w:rPr>
              <w:t>18</w:t>
            </w:r>
            <w:r w:rsidR="005041D0">
              <w:rPr>
                <w:spacing w:val="-10"/>
              </w:rPr>
              <w:t xml:space="preserve"> </w:t>
            </w:r>
            <w:r w:rsidR="005041D0">
              <w:t>with</w:t>
            </w:r>
            <w:r w:rsidR="005041D0">
              <w:rPr>
                <w:spacing w:val="-10"/>
              </w:rPr>
              <w:t xml:space="preserve"> </w:t>
            </w:r>
            <w:r w:rsidR="005041D0">
              <w:t>applicants impacted</w:t>
            </w:r>
            <w:r w:rsidR="005041D0">
              <w:rPr>
                <w:spacing w:val="-13"/>
              </w:rPr>
              <w:t xml:space="preserve"> </w:t>
            </w:r>
            <w:r w:rsidR="005041D0">
              <w:t>by</w:t>
            </w:r>
            <w:r w:rsidR="005041D0">
              <w:rPr>
                <w:spacing w:val="-12"/>
              </w:rPr>
              <w:t xml:space="preserve"> </w:t>
            </w:r>
            <w:r w:rsidR="005041D0">
              <w:t>GAC</w:t>
            </w:r>
            <w:r w:rsidR="005041D0">
              <w:rPr>
                <w:spacing w:val="-12"/>
              </w:rPr>
              <w:t xml:space="preserve"> </w:t>
            </w:r>
            <w:r w:rsidR="005041D0">
              <w:t>Early</w:t>
            </w:r>
            <w:r w:rsidR="005041D0">
              <w:rPr>
                <w:spacing w:val="-14"/>
              </w:rPr>
              <w:t xml:space="preserve"> </w:t>
            </w:r>
            <w:r w:rsidR="005041D0">
              <w:t>Warnings,</w:t>
            </w:r>
            <w:r w:rsidR="005041D0">
              <w:rPr>
                <w:spacing w:val="-12"/>
              </w:rPr>
              <w:t xml:space="preserve"> </w:t>
            </w:r>
            <w:r w:rsidR="005041D0">
              <w:t>GAC Consensus Advice, or comments to determine if a mutually acceptable solution can be found.</w:t>
            </w:r>
          </w:p>
        </w:tc>
        <w:tc>
          <w:tcPr>
            <w:tcW w:w="4317" w:type="dxa"/>
          </w:tcPr>
          <w:p w14:paraId="7C393330" w14:textId="595482F5" w:rsidR="008D259C" w:rsidRDefault="001C7403" w:rsidP="00CF2E41">
            <w:r>
              <w:t>See</w:t>
            </w:r>
            <w:r>
              <w:rPr>
                <w:spacing w:val="-9"/>
              </w:rPr>
              <w:t xml:space="preserve"> </w:t>
            </w:r>
            <w:r>
              <w:t>Recommendation</w:t>
            </w:r>
            <w:r>
              <w:rPr>
                <w:spacing w:val="-8"/>
              </w:rPr>
              <w:t xml:space="preserve"> </w:t>
            </w:r>
            <w:r>
              <w:rPr>
                <w:spacing w:val="-4"/>
              </w:rPr>
              <w:t>9.1</w:t>
            </w:r>
          </w:p>
        </w:tc>
        <w:tc>
          <w:tcPr>
            <w:tcW w:w="4317" w:type="dxa"/>
          </w:tcPr>
          <w:p w14:paraId="453283E6" w14:textId="77777777" w:rsidR="008D259C" w:rsidRDefault="005402DF" w:rsidP="00CF2E41">
            <w:r>
              <w:t>See above.</w:t>
            </w:r>
          </w:p>
          <w:p w14:paraId="5C1A0EBA" w14:textId="77777777" w:rsidR="005402DF" w:rsidRDefault="005402DF" w:rsidP="00CF2E41"/>
          <w:p w14:paraId="396DC05C" w14:textId="7EB407A4" w:rsidR="008D259C" w:rsidRPr="005402DF" w:rsidRDefault="005402DF" w:rsidP="00CF2E41">
            <w:pPr>
              <w:rPr>
                <w:color w:val="0070C0"/>
              </w:rPr>
            </w:pPr>
            <w:r>
              <w:rPr>
                <w:color w:val="0070C0"/>
              </w:rPr>
              <w:t>On a personal level, isn’t the purpose of GAC Early Warnings, GAC Advice, and objections in general, to engage in constructive dialogue to address any issues members of the community have?  It just makes sense to allow that dialogue to result in something other than (a) the application may not proceed, or (b) the application proceeds as it was.</w:t>
            </w:r>
          </w:p>
        </w:tc>
      </w:tr>
      <w:tr w:rsidR="005041D0" w14:paraId="4A8C2BDE" w14:textId="77777777" w:rsidTr="005041D0">
        <w:trPr>
          <w:trHeight w:val="638"/>
          <w:tblHeader/>
        </w:trPr>
        <w:tc>
          <w:tcPr>
            <w:tcW w:w="12950" w:type="dxa"/>
            <w:gridSpan w:val="3"/>
            <w:shd w:val="clear" w:color="auto" w:fill="0D0D0D" w:themeFill="text1" w:themeFillTint="F2"/>
            <w:vAlign w:val="center"/>
          </w:tcPr>
          <w:p w14:paraId="43F2895A" w14:textId="7968CEE1" w:rsidR="005041D0" w:rsidRPr="005041D0" w:rsidRDefault="005041D0" w:rsidP="00CF2E41">
            <w:pPr>
              <w:rPr>
                <w:b/>
                <w:bCs/>
              </w:rPr>
            </w:pPr>
            <w:r>
              <w:rPr>
                <w:b/>
                <w:bCs/>
              </w:rPr>
              <w:t>Topic 31:  Objections</w:t>
            </w:r>
          </w:p>
        </w:tc>
      </w:tr>
      <w:tr w:rsidR="008D259C" w14:paraId="4ACAB270" w14:textId="77777777" w:rsidTr="0018724A">
        <w:trPr>
          <w:tblHeader/>
        </w:trPr>
        <w:tc>
          <w:tcPr>
            <w:tcW w:w="4316" w:type="dxa"/>
          </w:tcPr>
          <w:p w14:paraId="1C184BFC" w14:textId="49EF7313" w:rsidR="008D259C" w:rsidRDefault="00C614D6" w:rsidP="00CF2E41">
            <w:r>
              <w:rPr>
                <w:b/>
              </w:rPr>
              <w:t>Recommendation 31.16</w:t>
            </w:r>
            <w:r>
              <w:t>: Applicants must</w:t>
            </w:r>
            <w:r>
              <w:rPr>
                <w:spacing w:val="-7"/>
              </w:rPr>
              <w:t xml:space="preserve"> </w:t>
            </w:r>
            <w:r>
              <w:t>have</w:t>
            </w:r>
            <w:r>
              <w:rPr>
                <w:spacing w:val="-7"/>
              </w:rPr>
              <w:t xml:space="preserve"> </w:t>
            </w:r>
            <w:r>
              <w:t>the</w:t>
            </w:r>
            <w:r>
              <w:rPr>
                <w:spacing w:val="-7"/>
              </w:rPr>
              <w:t xml:space="preserve"> </w:t>
            </w:r>
            <w:r>
              <w:t>opportunity</w:t>
            </w:r>
            <w:r>
              <w:rPr>
                <w:spacing w:val="-7"/>
              </w:rPr>
              <w:t xml:space="preserve"> </w:t>
            </w:r>
            <w:r>
              <w:t>to</w:t>
            </w:r>
            <w:r>
              <w:rPr>
                <w:spacing w:val="-7"/>
              </w:rPr>
              <w:t xml:space="preserve"> </w:t>
            </w:r>
            <w:r>
              <w:t>amend</w:t>
            </w:r>
            <w:r>
              <w:rPr>
                <w:spacing w:val="-7"/>
              </w:rPr>
              <w:t xml:space="preserve"> </w:t>
            </w:r>
            <w:r>
              <w:t xml:space="preserve">an application or add Registry Voluntary Commitments (RVCs) in response to concerns raised in a formal objection. All these amendments and RVCs submitted after the application submission date shall be considered Application Changes and be subject to the </w:t>
            </w:r>
            <w:r>
              <w:lastRenderedPageBreak/>
              <w:t>recommendations set forth under</w:t>
            </w:r>
            <w:r w:rsidR="00B674FE">
              <w:t xml:space="preserve">  Topic</w:t>
            </w:r>
            <w:r w:rsidR="00B674FE">
              <w:rPr>
                <w:spacing w:val="-14"/>
              </w:rPr>
              <w:t xml:space="preserve"> </w:t>
            </w:r>
            <w:r w:rsidR="00B674FE">
              <w:t>20:</w:t>
            </w:r>
            <w:r w:rsidR="00B674FE">
              <w:rPr>
                <w:spacing w:val="-14"/>
              </w:rPr>
              <w:t xml:space="preserve"> </w:t>
            </w:r>
            <w:r w:rsidR="00B674FE">
              <w:t>Application</w:t>
            </w:r>
            <w:r w:rsidR="00B674FE">
              <w:rPr>
                <w:spacing w:val="-14"/>
              </w:rPr>
              <w:t xml:space="preserve"> </w:t>
            </w:r>
            <w:r w:rsidR="00B674FE">
              <w:t>Change</w:t>
            </w:r>
            <w:r w:rsidR="00B674FE">
              <w:rPr>
                <w:spacing w:val="-13"/>
              </w:rPr>
              <w:t xml:space="preserve"> </w:t>
            </w:r>
            <w:r w:rsidR="00B674FE">
              <w:t>Requests including, but not limited to, an operational comment period in accordance with ICANN’s standard procedures and timeframes</w:t>
            </w:r>
          </w:p>
        </w:tc>
        <w:tc>
          <w:tcPr>
            <w:tcW w:w="4317" w:type="dxa"/>
          </w:tcPr>
          <w:p w14:paraId="6B27D3B1" w14:textId="38231E51" w:rsidR="008D259C" w:rsidRDefault="004C7B33" w:rsidP="00CF2E41">
            <w:r>
              <w:lastRenderedPageBreak/>
              <w:t>See</w:t>
            </w:r>
            <w:r>
              <w:rPr>
                <w:spacing w:val="-9"/>
              </w:rPr>
              <w:t xml:space="preserve"> </w:t>
            </w:r>
            <w:r>
              <w:t>Recommendation</w:t>
            </w:r>
            <w:r>
              <w:rPr>
                <w:spacing w:val="-8"/>
              </w:rPr>
              <w:t xml:space="preserve"> </w:t>
            </w:r>
            <w:r>
              <w:rPr>
                <w:spacing w:val="-5"/>
              </w:rPr>
              <w:t>9.1</w:t>
            </w:r>
          </w:p>
        </w:tc>
        <w:tc>
          <w:tcPr>
            <w:tcW w:w="4317" w:type="dxa"/>
          </w:tcPr>
          <w:p w14:paraId="71F122A3" w14:textId="33B69CA6" w:rsidR="008D259C" w:rsidRDefault="00453B2C" w:rsidP="00CF2E41">
            <w:r>
              <w:t>See 30.7 and 9.1 above.</w:t>
            </w:r>
          </w:p>
        </w:tc>
      </w:tr>
      <w:tr w:rsidR="008D259C" w14:paraId="3325866A" w14:textId="77777777" w:rsidTr="0018724A">
        <w:trPr>
          <w:tblHeader/>
        </w:trPr>
        <w:tc>
          <w:tcPr>
            <w:tcW w:w="4316" w:type="dxa"/>
          </w:tcPr>
          <w:p w14:paraId="39B41D4D" w14:textId="4D55D6CD" w:rsidR="008D259C" w:rsidRDefault="00707928" w:rsidP="00CF2E41">
            <w:r>
              <w:rPr>
                <w:b/>
              </w:rPr>
              <w:t>Recommendation 31.17</w:t>
            </w:r>
            <w:r>
              <w:t>: To the extent that RVCs are used to resolve a formal objection either (a) as a settlement between the objector(s) and the applicant(s) or (b) as a remedy ordered by an applicable dispute panelist, those RVCs</w:t>
            </w:r>
            <w:r>
              <w:rPr>
                <w:spacing w:val="-10"/>
              </w:rPr>
              <w:t xml:space="preserve"> </w:t>
            </w:r>
            <w:r>
              <w:t>must</w:t>
            </w:r>
            <w:r>
              <w:rPr>
                <w:spacing w:val="-10"/>
              </w:rPr>
              <w:t xml:space="preserve"> </w:t>
            </w:r>
            <w:r>
              <w:t>be</w:t>
            </w:r>
            <w:r>
              <w:rPr>
                <w:spacing w:val="-10"/>
              </w:rPr>
              <w:t xml:space="preserve"> </w:t>
            </w:r>
            <w:r>
              <w:t>included</w:t>
            </w:r>
            <w:r>
              <w:rPr>
                <w:spacing w:val="-10"/>
              </w:rPr>
              <w:t xml:space="preserve"> </w:t>
            </w:r>
            <w:r>
              <w:t>in</w:t>
            </w:r>
            <w:r>
              <w:rPr>
                <w:spacing w:val="-10"/>
              </w:rPr>
              <w:t xml:space="preserve"> </w:t>
            </w:r>
            <w:r>
              <w:t>the</w:t>
            </w:r>
            <w:r>
              <w:rPr>
                <w:spacing w:val="-10"/>
              </w:rPr>
              <w:t xml:space="preserve"> </w:t>
            </w:r>
            <w:r>
              <w:t xml:space="preserve">applicable applicant(s) Registry Agreement(s) as binding contractual commitments enforceable by ICANN through the </w:t>
            </w:r>
            <w:r>
              <w:rPr>
                <w:spacing w:val="-2"/>
              </w:rPr>
              <w:t>PICDRP.</w:t>
            </w:r>
          </w:p>
        </w:tc>
        <w:tc>
          <w:tcPr>
            <w:tcW w:w="4317" w:type="dxa"/>
          </w:tcPr>
          <w:p w14:paraId="4DD4DEF3" w14:textId="61C90327" w:rsidR="008D259C" w:rsidRDefault="00D33032" w:rsidP="00CF2E41">
            <w:r>
              <w:t>See</w:t>
            </w:r>
            <w:r>
              <w:rPr>
                <w:spacing w:val="-9"/>
              </w:rPr>
              <w:t xml:space="preserve"> </w:t>
            </w:r>
            <w:r>
              <w:t>Recommendation</w:t>
            </w:r>
            <w:r>
              <w:rPr>
                <w:spacing w:val="-8"/>
              </w:rPr>
              <w:t xml:space="preserve"> </w:t>
            </w:r>
            <w:r>
              <w:rPr>
                <w:spacing w:val="-5"/>
              </w:rPr>
              <w:t>9.1</w:t>
            </w:r>
          </w:p>
        </w:tc>
        <w:tc>
          <w:tcPr>
            <w:tcW w:w="4317" w:type="dxa"/>
          </w:tcPr>
          <w:tbl>
            <w:tblPr>
              <w:tblStyle w:val="TableGrid"/>
              <w:tblpPr w:leftFromText="180" w:rightFromText="180" w:vertAnchor="text" w:tblpY="1"/>
              <w:tblOverlap w:val="never"/>
              <w:tblW w:w="0" w:type="auto"/>
              <w:tblLook w:val="0480" w:firstRow="0" w:lastRow="0" w:firstColumn="1" w:lastColumn="0" w:noHBand="0" w:noVBand="1"/>
            </w:tblPr>
            <w:tblGrid>
              <w:gridCol w:w="4091"/>
            </w:tblGrid>
            <w:tr w:rsidR="00453B2C" w14:paraId="07EFB954" w14:textId="77777777" w:rsidTr="00C511EC">
              <w:trPr>
                <w:tblHeader/>
              </w:trPr>
              <w:tc>
                <w:tcPr>
                  <w:tcW w:w="4317" w:type="dxa"/>
                </w:tcPr>
                <w:p w14:paraId="71EF6482" w14:textId="77777777" w:rsidR="00453B2C" w:rsidRDefault="00453B2C" w:rsidP="00C2781E">
                  <w:r>
                    <w:t>See 30.7 and 9.1 above.</w:t>
                  </w:r>
                </w:p>
              </w:tc>
            </w:tr>
          </w:tbl>
          <w:p w14:paraId="7A79F128" w14:textId="77777777" w:rsidR="008D259C" w:rsidRDefault="008D259C" w:rsidP="00CF2E41"/>
        </w:tc>
      </w:tr>
      <w:tr w:rsidR="00CF2E41" w14:paraId="0F85D0FC" w14:textId="77777777" w:rsidTr="0018724A">
        <w:trPr>
          <w:tblHeader/>
        </w:trPr>
        <w:tc>
          <w:tcPr>
            <w:tcW w:w="4316" w:type="dxa"/>
          </w:tcPr>
          <w:p w14:paraId="6860719E" w14:textId="77777777" w:rsidR="00D71375" w:rsidRDefault="00D71375" w:rsidP="00D71375">
            <w:pPr>
              <w:pStyle w:val="TableParagraph"/>
              <w:spacing w:before="151"/>
              <w:ind w:right="165"/>
            </w:pPr>
            <w:r>
              <w:rPr>
                <w:b/>
              </w:rPr>
              <w:t>Recommendation 32.1</w:t>
            </w:r>
            <w:r>
              <w:t>: The Working Group recommends that ICANN establish a mechanism that allows specific parties to challenge or appeal certain</w:t>
            </w:r>
            <w:r>
              <w:rPr>
                <w:spacing w:val="-7"/>
              </w:rPr>
              <w:t xml:space="preserve"> </w:t>
            </w:r>
            <w:r>
              <w:t>types</w:t>
            </w:r>
            <w:r>
              <w:rPr>
                <w:spacing w:val="-7"/>
              </w:rPr>
              <w:t xml:space="preserve"> </w:t>
            </w:r>
            <w:r>
              <w:t>of</w:t>
            </w:r>
            <w:r>
              <w:rPr>
                <w:spacing w:val="-7"/>
              </w:rPr>
              <w:t xml:space="preserve"> </w:t>
            </w:r>
            <w:r>
              <w:t>actions</w:t>
            </w:r>
            <w:r>
              <w:rPr>
                <w:spacing w:val="-7"/>
              </w:rPr>
              <w:t xml:space="preserve"> </w:t>
            </w:r>
            <w:r>
              <w:t>or</w:t>
            </w:r>
            <w:r>
              <w:rPr>
                <w:spacing w:val="-7"/>
              </w:rPr>
              <w:t xml:space="preserve"> </w:t>
            </w:r>
            <w:r>
              <w:t>inactions</w:t>
            </w:r>
            <w:r>
              <w:rPr>
                <w:spacing w:val="-7"/>
              </w:rPr>
              <w:t xml:space="preserve"> </w:t>
            </w:r>
            <w:r>
              <w:t>that appear to be inconsistent with the Applicant Guidebook.</w:t>
            </w:r>
            <w:r>
              <w:rPr>
                <w:vertAlign w:val="superscript"/>
              </w:rPr>
              <w:t>19</w:t>
            </w:r>
          </w:p>
          <w:p w14:paraId="56F3BB0D" w14:textId="5D761488" w:rsidR="00D71375" w:rsidRDefault="00D71375" w:rsidP="00D71375">
            <w:pPr>
              <w:pStyle w:val="TableParagraph"/>
              <w:spacing w:before="11"/>
              <w:ind w:left="0"/>
              <w:rPr>
                <w:sz w:val="21"/>
              </w:rPr>
            </w:pPr>
          </w:p>
          <w:p w14:paraId="207E6FA3" w14:textId="77777777" w:rsidR="00A73B7A" w:rsidRDefault="00A17F06" w:rsidP="00A73B7A">
            <w:pPr>
              <w:pStyle w:val="TableParagraph"/>
              <w:spacing w:before="140"/>
              <w:ind w:right="165"/>
            </w:pPr>
            <w:r>
              <w:t>The</w:t>
            </w:r>
            <w:r>
              <w:rPr>
                <w:spacing w:val="-6"/>
              </w:rPr>
              <w:t xml:space="preserve"> </w:t>
            </w:r>
            <w:r>
              <w:t>new</w:t>
            </w:r>
            <w:r>
              <w:rPr>
                <w:spacing w:val="-6"/>
              </w:rPr>
              <w:t xml:space="preserve"> </w:t>
            </w:r>
            <w:r>
              <w:t>substantive</w:t>
            </w:r>
            <w:r>
              <w:rPr>
                <w:spacing w:val="-5"/>
              </w:rPr>
              <w:t xml:space="preserve"> </w:t>
            </w:r>
            <w:r>
              <w:rPr>
                <w:spacing w:val="-2"/>
              </w:rPr>
              <w:t>challenge/appeal</w:t>
            </w:r>
            <w:r w:rsidR="00A73B7A">
              <w:rPr>
                <w:spacing w:val="-2"/>
              </w:rPr>
              <w:t xml:space="preserve"> </w:t>
            </w:r>
            <w:r w:rsidR="00A73B7A">
              <w:t>mechanism is not a substitute or replacement for the accountability mechanisms</w:t>
            </w:r>
            <w:r w:rsidR="00A73B7A">
              <w:rPr>
                <w:spacing w:val="-6"/>
              </w:rPr>
              <w:t xml:space="preserve"> </w:t>
            </w:r>
            <w:r w:rsidR="00A73B7A">
              <w:t>in</w:t>
            </w:r>
            <w:r w:rsidR="00A73B7A">
              <w:rPr>
                <w:spacing w:val="-6"/>
              </w:rPr>
              <w:t xml:space="preserve"> </w:t>
            </w:r>
            <w:r w:rsidR="00A73B7A">
              <w:t>the</w:t>
            </w:r>
            <w:r w:rsidR="00A73B7A">
              <w:rPr>
                <w:spacing w:val="-6"/>
              </w:rPr>
              <w:t xml:space="preserve"> </w:t>
            </w:r>
            <w:r w:rsidR="00A73B7A">
              <w:t>ICANN</w:t>
            </w:r>
            <w:r w:rsidR="00A73B7A">
              <w:rPr>
                <w:spacing w:val="-6"/>
              </w:rPr>
              <w:t xml:space="preserve"> </w:t>
            </w:r>
            <w:r w:rsidR="00A73B7A">
              <w:t>Bylaws</w:t>
            </w:r>
            <w:r w:rsidR="00A73B7A">
              <w:rPr>
                <w:spacing w:val="-6"/>
              </w:rPr>
              <w:t xml:space="preserve"> </w:t>
            </w:r>
            <w:r w:rsidR="00A73B7A">
              <w:t>that may be invoked to determine whether ICANN staff or Board violated the Bylaws by making or not making a certain</w:t>
            </w:r>
            <w:r w:rsidR="00A73B7A">
              <w:rPr>
                <w:spacing w:val="-10"/>
              </w:rPr>
              <w:t xml:space="preserve"> </w:t>
            </w:r>
            <w:r w:rsidR="00A73B7A">
              <w:t>decision.</w:t>
            </w:r>
            <w:r w:rsidR="00A73B7A">
              <w:rPr>
                <w:spacing w:val="-10"/>
              </w:rPr>
              <w:t xml:space="preserve"> </w:t>
            </w:r>
            <w:r w:rsidR="00A73B7A">
              <w:t>Implementation</w:t>
            </w:r>
            <w:r w:rsidR="00A73B7A">
              <w:rPr>
                <w:spacing w:val="-10"/>
              </w:rPr>
              <w:t xml:space="preserve"> </w:t>
            </w:r>
            <w:r w:rsidR="00A73B7A">
              <w:t>of</w:t>
            </w:r>
            <w:r w:rsidR="00A73B7A">
              <w:rPr>
                <w:spacing w:val="-10"/>
              </w:rPr>
              <w:t xml:space="preserve"> </w:t>
            </w:r>
            <w:r w:rsidR="00A73B7A">
              <w:t>this mechanism must not conflict with, be inconsistent with, or impinge access to accountability mechanisms under the ICANN Bylaws.</w:t>
            </w:r>
          </w:p>
          <w:p w14:paraId="2D8D9303" w14:textId="77777777" w:rsidR="00A73B7A" w:rsidRDefault="00A73B7A" w:rsidP="00A73B7A">
            <w:pPr>
              <w:pStyle w:val="TableParagraph"/>
              <w:ind w:left="0"/>
            </w:pPr>
          </w:p>
          <w:p w14:paraId="2B4DA8EA" w14:textId="77777777" w:rsidR="00A73B7A" w:rsidRDefault="00A73B7A" w:rsidP="00A73B7A">
            <w:pPr>
              <w:pStyle w:val="TableParagraph"/>
              <w:ind w:right="165"/>
            </w:pPr>
            <w:r>
              <w:lastRenderedPageBreak/>
              <w:t>The Working Group recommends that the</w:t>
            </w:r>
            <w:r>
              <w:rPr>
                <w:spacing w:val="-14"/>
              </w:rPr>
              <w:t xml:space="preserve"> </w:t>
            </w:r>
            <w:r>
              <w:t>limited</w:t>
            </w:r>
            <w:r>
              <w:rPr>
                <w:spacing w:val="-13"/>
              </w:rPr>
              <w:t xml:space="preserve"> </w:t>
            </w:r>
            <w:r>
              <w:t>challenge/appeal</w:t>
            </w:r>
            <w:r>
              <w:rPr>
                <w:spacing w:val="-14"/>
              </w:rPr>
              <w:t xml:space="preserve"> </w:t>
            </w:r>
            <w:r>
              <w:t xml:space="preserve">mechanism applies to the following types of evaluations and formal objections </w:t>
            </w:r>
            <w:r>
              <w:rPr>
                <w:spacing w:val="-2"/>
              </w:rPr>
              <w:t>decisions</w:t>
            </w:r>
            <w:r>
              <w:rPr>
                <w:spacing w:val="-2"/>
                <w:vertAlign w:val="superscript"/>
              </w:rPr>
              <w:t>20</w:t>
            </w:r>
            <w:r>
              <w:rPr>
                <w:spacing w:val="-2"/>
              </w:rPr>
              <w:t>:</w:t>
            </w:r>
          </w:p>
          <w:p w14:paraId="5D55F624" w14:textId="77777777" w:rsidR="00A73B7A" w:rsidRDefault="00A73B7A" w:rsidP="00A73B7A">
            <w:pPr>
              <w:pStyle w:val="TableParagraph"/>
              <w:ind w:left="0"/>
            </w:pPr>
          </w:p>
          <w:p w14:paraId="45D0BAD0" w14:textId="77777777" w:rsidR="00A73B7A" w:rsidRDefault="00A73B7A" w:rsidP="00A73B7A">
            <w:pPr>
              <w:pStyle w:val="TableParagraph"/>
              <w:rPr>
                <w:b/>
              </w:rPr>
            </w:pPr>
            <w:r>
              <w:rPr>
                <w:b/>
              </w:rPr>
              <w:t>Evaluation</w:t>
            </w:r>
            <w:r>
              <w:rPr>
                <w:b/>
                <w:spacing w:val="-10"/>
              </w:rPr>
              <w:t xml:space="preserve"> </w:t>
            </w:r>
            <w:r>
              <w:rPr>
                <w:b/>
                <w:spacing w:val="-2"/>
              </w:rPr>
              <w:t>Challenges</w:t>
            </w:r>
          </w:p>
          <w:p w14:paraId="739BA170" w14:textId="77777777" w:rsidR="00A73B7A" w:rsidRDefault="00A73B7A" w:rsidP="00A73B7A">
            <w:pPr>
              <w:pStyle w:val="TableParagraph"/>
              <w:numPr>
                <w:ilvl w:val="0"/>
                <w:numId w:val="9"/>
              </w:numPr>
              <w:tabs>
                <w:tab w:val="left" w:pos="858"/>
              </w:tabs>
              <w:ind w:hanging="361"/>
            </w:pPr>
            <w:r>
              <w:t>Background</w:t>
            </w:r>
            <w:r>
              <w:rPr>
                <w:spacing w:val="-10"/>
              </w:rPr>
              <w:t xml:space="preserve"> </w:t>
            </w:r>
            <w:r>
              <w:rPr>
                <w:spacing w:val="-2"/>
              </w:rPr>
              <w:t>Screening</w:t>
            </w:r>
          </w:p>
          <w:p w14:paraId="348D4AC3" w14:textId="77777777" w:rsidR="00A73B7A" w:rsidRDefault="00A73B7A" w:rsidP="00A73B7A">
            <w:pPr>
              <w:pStyle w:val="TableParagraph"/>
              <w:numPr>
                <w:ilvl w:val="0"/>
                <w:numId w:val="9"/>
              </w:numPr>
              <w:tabs>
                <w:tab w:val="left" w:pos="858"/>
              </w:tabs>
              <w:ind w:hanging="361"/>
            </w:pPr>
            <w:r>
              <w:t>String</w:t>
            </w:r>
            <w:r>
              <w:rPr>
                <w:spacing w:val="-6"/>
              </w:rPr>
              <w:t xml:space="preserve"> </w:t>
            </w:r>
            <w:r>
              <w:rPr>
                <w:spacing w:val="-2"/>
              </w:rPr>
              <w:t>Similarity</w:t>
            </w:r>
          </w:p>
          <w:p w14:paraId="2B79E518" w14:textId="77777777" w:rsidR="00A73B7A" w:rsidRDefault="00A73B7A" w:rsidP="00A73B7A">
            <w:pPr>
              <w:pStyle w:val="TableParagraph"/>
              <w:numPr>
                <w:ilvl w:val="0"/>
                <w:numId w:val="9"/>
              </w:numPr>
              <w:tabs>
                <w:tab w:val="left" w:pos="858"/>
              </w:tabs>
              <w:ind w:hanging="361"/>
            </w:pPr>
            <w:r>
              <w:t>DNS</w:t>
            </w:r>
            <w:r>
              <w:rPr>
                <w:spacing w:val="-5"/>
              </w:rPr>
              <w:t xml:space="preserve"> </w:t>
            </w:r>
            <w:r>
              <w:rPr>
                <w:spacing w:val="-2"/>
              </w:rPr>
              <w:t>Stability</w:t>
            </w:r>
          </w:p>
          <w:p w14:paraId="7E56A3C7" w14:textId="77777777" w:rsidR="00A73B7A" w:rsidRDefault="00A73B7A" w:rsidP="00A73B7A">
            <w:pPr>
              <w:pStyle w:val="TableParagraph"/>
              <w:numPr>
                <w:ilvl w:val="0"/>
                <w:numId w:val="9"/>
              </w:numPr>
              <w:tabs>
                <w:tab w:val="left" w:pos="858"/>
              </w:tabs>
              <w:ind w:hanging="361"/>
            </w:pPr>
            <w:r>
              <w:t>Geographic</w:t>
            </w:r>
            <w:r>
              <w:rPr>
                <w:spacing w:val="-10"/>
              </w:rPr>
              <w:t xml:space="preserve"> </w:t>
            </w:r>
            <w:r>
              <w:rPr>
                <w:spacing w:val="-2"/>
              </w:rPr>
              <w:t>Names</w:t>
            </w:r>
          </w:p>
          <w:p w14:paraId="5CD6163B" w14:textId="77777777" w:rsidR="00A73B7A" w:rsidRDefault="00A73B7A" w:rsidP="00A73B7A">
            <w:pPr>
              <w:pStyle w:val="TableParagraph"/>
              <w:numPr>
                <w:ilvl w:val="0"/>
                <w:numId w:val="9"/>
              </w:numPr>
              <w:tabs>
                <w:tab w:val="left" w:pos="858"/>
              </w:tabs>
              <w:ind w:right="955"/>
            </w:pPr>
            <w:r>
              <w:t>Technical</w:t>
            </w:r>
            <w:r>
              <w:rPr>
                <w:spacing w:val="-14"/>
              </w:rPr>
              <w:t xml:space="preserve"> </w:t>
            </w:r>
            <w:r>
              <w:t>/</w:t>
            </w:r>
            <w:r>
              <w:rPr>
                <w:spacing w:val="-14"/>
              </w:rPr>
              <w:t xml:space="preserve"> </w:t>
            </w:r>
            <w:r>
              <w:t xml:space="preserve">Operational </w:t>
            </w:r>
            <w:r>
              <w:rPr>
                <w:spacing w:val="-2"/>
              </w:rPr>
              <w:t>Evaluation</w:t>
            </w:r>
          </w:p>
          <w:p w14:paraId="1C1FC8E7" w14:textId="77777777" w:rsidR="00A73B7A" w:rsidRDefault="00A73B7A" w:rsidP="00A73B7A">
            <w:pPr>
              <w:pStyle w:val="TableParagraph"/>
              <w:numPr>
                <w:ilvl w:val="0"/>
                <w:numId w:val="9"/>
              </w:numPr>
              <w:tabs>
                <w:tab w:val="left" w:pos="858"/>
              </w:tabs>
              <w:ind w:hanging="361"/>
            </w:pPr>
            <w:r>
              <w:t>Financial</w:t>
            </w:r>
            <w:r>
              <w:rPr>
                <w:spacing w:val="-9"/>
              </w:rPr>
              <w:t xml:space="preserve"> </w:t>
            </w:r>
            <w:r>
              <w:rPr>
                <w:spacing w:val="-2"/>
              </w:rPr>
              <w:t>Evaluation</w:t>
            </w:r>
          </w:p>
          <w:p w14:paraId="0A6AF5E0" w14:textId="77777777" w:rsidR="00A73B7A" w:rsidRDefault="00A73B7A" w:rsidP="00A73B7A">
            <w:pPr>
              <w:pStyle w:val="TableParagraph"/>
              <w:numPr>
                <w:ilvl w:val="0"/>
                <w:numId w:val="9"/>
              </w:numPr>
              <w:tabs>
                <w:tab w:val="left" w:pos="858"/>
              </w:tabs>
              <w:ind w:hanging="361"/>
            </w:pPr>
            <w:r>
              <w:t>Registry</w:t>
            </w:r>
            <w:r>
              <w:rPr>
                <w:spacing w:val="-8"/>
              </w:rPr>
              <w:t xml:space="preserve"> </w:t>
            </w:r>
            <w:r>
              <w:t>Services</w:t>
            </w:r>
            <w:r>
              <w:rPr>
                <w:spacing w:val="-8"/>
              </w:rPr>
              <w:t xml:space="preserve"> </w:t>
            </w:r>
            <w:r>
              <w:rPr>
                <w:spacing w:val="-2"/>
              </w:rPr>
              <w:t>Evaluation</w:t>
            </w:r>
          </w:p>
          <w:p w14:paraId="4B92C27B" w14:textId="77777777" w:rsidR="001C43B6" w:rsidRPr="001C43B6" w:rsidRDefault="00A73B7A" w:rsidP="001C43B6">
            <w:pPr>
              <w:pStyle w:val="TableParagraph"/>
              <w:numPr>
                <w:ilvl w:val="0"/>
                <w:numId w:val="9"/>
              </w:numPr>
              <w:tabs>
                <w:tab w:val="left" w:pos="858"/>
              </w:tabs>
              <w:ind w:hanging="361"/>
            </w:pPr>
            <w:r>
              <w:t>Community</w:t>
            </w:r>
            <w:r>
              <w:rPr>
                <w:spacing w:val="-9"/>
              </w:rPr>
              <w:t xml:space="preserve"> </w:t>
            </w:r>
            <w:r>
              <w:t>Priority</w:t>
            </w:r>
            <w:r>
              <w:rPr>
                <w:spacing w:val="-8"/>
              </w:rPr>
              <w:t xml:space="preserve"> </w:t>
            </w:r>
            <w:r>
              <w:rPr>
                <w:spacing w:val="-2"/>
              </w:rPr>
              <w:t>Evaluation</w:t>
            </w:r>
          </w:p>
          <w:p w14:paraId="15FE8AF0" w14:textId="6232A28C" w:rsidR="00A17F06" w:rsidRPr="001C43B6" w:rsidRDefault="00A73B7A" w:rsidP="001C43B6">
            <w:pPr>
              <w:pStyle w:val="TableParagraph"/>
              <w:numPr>
                <w:ilvl w:val="0"/>
                <w:numId w:val="9"/>
              </w:numPr>
              <w:tabs>
                <w:tab w:val="left" w:pos="858"/>
              </w:tabs>
              <w:ind w:hanging="361"/>
            </w:pPr>
            <w:r>
              <w:t>Applicant</w:t>
            </w:r>
            <w:r w:rsidRPr="001C43B6">
              <w:rPr>
                <w:spacing w:val="-9"/>
              </w:rPr>
              <w:t xml:space="preserve"> </w:t>
            </w:r>
            <w:r w:rsidRPr="001C43B6">
              <w:rPr>
                <w:spacing w:val="-2"/>
              </w:rPr>
              <w:t>Support</w:t>
            </w:r>
          </w:p>
          <w:p w14:paraId="25FE19B1" w14:textId="77777777" w:rsidR="001C43B6" w:rsidRDefault="001C43B6" w:rsidP="001C43B6">
            <w:pPr>
              <w:pStyle w:val="TableParagraph"/>
              <w:spacing w:before="140"/>
              <w:ind w:left="497"/>
            </w:pPr>
            <w:r>
              <w:t>10.</w:t>
            </w:r>
            <w:r>
              <w:rPr>
                <w:spacing w:val="24"/>
              </w:rPr>
              <w:t xml:space="preserve"> </w:t>
            </w:r>
            <w:r>
              <w:t>RSP</w:t>
            </w:r>
            <w:r>
              <w:rPr>
                <w:spacing w:val="-11"/>
              </w:rPr>
              <w:t xml:space="preserve"> </w:t>
            </w:r>
            <w:r>
              <w:t>Pre-</w:t>
            </w:r>
            <w:r>
              <w:rPr>
                <w:spacing w:val="-2"/>
              </w:rPr>
              <w:t>Evaluation</w:t>
            </w:r>
          </w:p>
          <w:p w14:paraId="202C6376" w14:textId="77777777" w:rsidR="001C43B6" w:rsidRDefault="001C43B6" w:rsidP="001C43B6">
            <w:pPr>
              <w:pStyle w:val="TableParagraph"/>
              <w:ind w:left="0"/>
            </w:pPr>
          </w:p>
          <w:p w14:paraId="61F05645" w14:textId="77777777" w:rsidR="001C43B6" w:rsidRDefault="001C43B6" w:rsidP="001C43B6">
            <w:pPr>
              <w:pStyle w:val="TableParagraph"/>
              <w:ind w:right="165"/>
              <w:rPr>
                <w:b/>
              </w:rPr>
            </w:pPr>
            <w:r>
              <w:rPr>
                <w:b/>
              </w:rPr>
              <w:t>Appeals</w:t>
            </w:r>
            <w:r>
              <w:rPr>
                <w:b/>
                <w:spacing w:val="-14"/>
              </w:rPr>
              <w:t xml:space="preserve"> </w:t>
            </w:r>
            <w:r>
              <w:rPr>
                <w:b/>
              </w:rPr>
              <w:t>of</w:t>
            </w:r>
            <w:r>
              <w:rPr>
                <w:b/>
                <w:spacing w:val="-13"/>
              </w:rPr>
              <w:t xml:space="preserve"> </w:t>
            </w:r>
            <w:r>
              <w:rPr>
                <w:b/>
              </w:rPr>
              <w:t>Formal</w:t>
            </w:r>
            <w:r>
              <w:rPr>
                <w:b/>
                <w:spacing w:val="-14"/>
              </w:rPr>
              <w:t xml:space="preserve"> </w:t>
            </w:r>
            <w:r>
              <w:rPr>
                <w:b/>
              </w:rPr>
              <w:t xml:space="preserve">Objections </w:t>
            </w:r>
            <w:r>
              <w:rPr>
                <w:b/>
                <w:spacing w:val="-2"/>
              </w:rPr>
              <w:t>Decisions</w:t>
            </w:r>
          </w:p>
          <w:p w14:paraId="5C2A7BF1" w14:textId="77777777" w:rsidR="001C43B6" w:rsidRDefault="001C43B6" w:rsidP="001C43B6">
            <w:pPr>
              <w:pStyle w:val="TableParagraph"/>
              <w:numPr>
                <w:ilvl w:val="0"/>
                <w:numId w:val="10"/>
              </w:numPr>
              <w:tabs>
                <w:tab w:val="left" w:pos="858"/>
              </w:tabs>
              <w:ind w:hanging="361"/>
            </w:pPr>
            <w:r>
              <w:t>String</w:t>
            </w:r>
            <w:r>
              <w:rPr>
                <w:spacing w:val="-8"/>
              </w:rPr>
              <w:t xml:space="preserve"> </w:t>
            </w:r>
            <w:r>
              <w:t>Confusion</w:t>
            </w:r>
            <w:r>
              <w:rPr>
                <w:spacing w:val="-7"/>
              </w:rPr>
              <w:t xml:space="preserve"> </w:t>
            </w:r>
            <w:r>
              <w:rPr>
                <w:spacing w:val="-2"/>
              </w:rPr>
              <w:t>Objection</w:t>
            </w:r>
          </w:p>
          <w:p w14:paraId="64E1B573" w14:textId="77777777" w:rsidR="001C43B6" w:rsidRDefault="001C43B6" w:rsidP="001C43B6">
            <w:pPr>
              <w:pStyle w:val="TableParagraph"/>
              <w:numPr>
                <w:ilvl w:val="0"/>
                <w:numId w:val="10"/>
              </w:numPr>
              <w:tabs>
                <w:tab w:val="left" w:pos="858"/>
              </w:tabs>
              <w:ind w:hanging="361"/>
            </w:pPr>
            <w:r>
              <w:t>Legal</w:t>
            </w:r>
            <w:r>
              <w:rPr>
                <w:spacing w:val="-6"/>
              </w:rPr>
              <w:t xml:space="preserve"> </w:t>
            </w:r>
            <w:r>
              <w:t>Rights</w:t>
            </w:r>
            <w:r>
              <w:rPr>
                <w:spacing w:val="-5"/>
              </w:rPr>
              <w:t xml:space="preserve"> </w:t>
            </w:r>
            <w:r>
              <w:rPr>
                <w:spacing w:val="-2"/>
              </w:rPr>
              <w:t>Objection</w:t>
            </w:r>
          </w:p>
          <w:p w14:paraId="41FAE201" w14:textId="77777777" w:rsidR="001C43B6" w:rsidRDefault="001C43B6" w:rsidP="001C43B6">
            <w:pPr>
              <w:pStyle w:val="TableParagraph"/>
              <w:numPr>
                <w:ilvl w:val="0"/>
                <w:numId w:val="10"/>
              </w:numPr>
              <w:tabs>
                <w:tab w:val="left" w:pos="858"/>
              </w:tabs>
              <w:ind w:right="988"/>
            </w:pPr>
            <w:r>
              <w:t>Limited</w:t>
            </w:r>
            <w:r>
              <w:rPr>
                <w:spacing w:val="-14"/>
              </w:rPr>
              <w:t xml:space="preserve"> </w:t>
            </w:r>
            <w:r>
              <w:t>Public</w:t>
            </w:r>
            <w:r>
              <w:rPr>
                <w:spacing w:val="-14"/>
              </w:rPr>
              <w:t xml:space="preserve"> </w:t>
            </w:r>
            <w:r>
              <w:t xml:space="preserve">Interest </w:t>
            </w:r>
            <w:r>
              <w:rPr>
                <w:spacing w:val="-2"/>
              </w:rPr>
              <w:t>Objection</w:t>
            </w:r>
          </w:p>
          <w:p w14:paraId="33DCA4E1" w14:textId="77777777" w:rsidR="001C43B6" w:rsidRPr="001C43B6" w:rsidRDefault="001C43B6" w:rsidP="001C43B6">
            <w:pPr>
              <w:pStyle w:val="TableParagraph"/>
              <w:numPr>
                <w:ilvl w:val="0"/>
                <w:numId w:val="10"/>
              </w:numPr>
              <w:tabs>
                <w:tab w:val="left" w:pos="858"/>
              </w:tabs>
              <w:ind w:hanging="361"/>
            </w:pPr>
            <w:r>
              <w:t>Community</w:t>
            </w:r>
            <w:r>
              <w:rPr>
                <w:spacing w:val="-9"/>
              </w:rPr>
              <w:t xml:space="preserve"> </w:t>
            </w:r>
            <w:r>
              <w:rPr>
                <w:spacing w:val="-2"/>
              </w:rPr>
              <w:t>Objection</w:t>
            </w:r>
          </w:p>
          <w:p w14:paraId="74A2D624" w14:textId="0A13C797" w:rsidR="001C43B6" w:rsidRPr="001C43B6" w:rsidRDefault="001C43B6" w:rsidP="001C43B6">
            <w:pPr>
              <w:pStyle w:val="TableParagraph"/>
              <w:numPr>
                <w:ilvl w:val="0"/>
                <w:numId w:val="10"/>
              </w:numPr>
              <w:tabs>
                <w:tab w:val="left" w:pos="858"/>
              </w:tabs>
              <w:ind w:hanging="361"/>
            </w:pPr>
            <w:r>
              <w:t>Conflict</w:t>
            </w:r>
            <w:r w:rsidRPr="001C43B6">
              <w:rPr>
                <w:spacing w:val="-5"/>
              </w:rPr>
              <w:t xml:space="preserve"> </w:t>
            </w:r>
            <w:r>
              <w:t>of</w:t>
            </w:r>
            <w:r w:rsidRPr="001C43B6">
              <w:rPr>
                <w:spacing w:val="-5"/>
              </w:rPr>
              <w:t xml:space="preserve"> </w:t>
            </w:r>
            <w:r>
              <w:t>Interest</w:t>
            </w:r>
            <w:r w:rsidRPr="001C43B6">
              <w:rPr>
                <w:spacing w:val="-5"/>
              </w:rPr>
              <w:t xml:space="preserve"> </w:t>
            </w:r>
            <w:r>
              <w:t>of</w:t>
            </w:r>
            <w:r w:rsidRPr="001C43B6">
              <w:rPr>
                <w:spacing w:val="-5"/>
              </w:rPr>
              <w:t xml:space="preserve"> </w:t>
            </w:r>
            <w:r w:rsidRPr="001C43B6">
              <w:rPr>
                <w:spacing w:val="-2"/>
              </w:rPr>
              <w:t>Panelists</w:t>
            </w:r>
          </w:p>
          <w:p w14:paraId="0FA7F4E8" w14:textId="77777777" w:rsidR="00CF2E41" w:rsidRDefault="00CF2E41" w:rsidP="00CF2E41"/>
        </w:tc>
        <w:tc>
          <w:tcPr>
            <w:tcW w:w="4317" w:type="dxa"/>
          </w:tcPr>
          <w:p w14:paraId="396B2A4B" w14:textId="600486F5" w:rsidR="00CF2E41" w:rsidRDefault="0011588A" w:rsidP="00CF2E41">
            <w:r>
              <w:lastRenderedPageBreak/>
              <w:t>The</w:t>
            </w:r>
            <w:r>
              <w:rPr>
                <w:spacing w:val="-6"/>
              </w:rPr>
              <w:t xml:space="preserve"> </w:t>
            </w:r>
            <w:r>
              <w:t>Board</w:t>
            </w:r>
            <w:r>
              <w:rPr>
                <w:spacing w:val="-6"/>
              </w:rPr>
              <w:t xml:space="preserve"> </w:t>
            </w:r>
            <w:r>
              <w:t>is</w:t>
            </w:r>
            <w:r>
              <w:rPr>
                <w:spacing w:val="-6"/>
              </w:rPr>
              <w:t xml:space="preserve"> </w:t>
            </w:r>
            <w:r>
              <w:t>still</w:t>
            </w:r>
            <w:r>
              <w:rPr>
                <w:spacing w:val="-6"/>
              </w:rPr>
              <w:t xml:space="preserve"> </w:t>
            </w:r>
            <w:r>
              <w:t>assessing</w:t>
            </w:r>
            <w:r>
              <w:rPr>
                <w:spacing w:val="-6"/>
              </w:rPr>
              <w:t xml:space="preserve"> </w:t>
            </w:r>
            <w:r>
              <w:t>the</w:t>
            </w:r>
            <w:r>
              <w:rPr>
                <w:spacing w:val="-6"/>
              </w:rPr>
              <w:t xml:space="preserve"> </w:t>
            </w:r>
            <w:r>
              <w:t>concerns</w:t>
            </w:r>
            <w:r>
              <w:rPr>
                <w:spacing w:val="-6"/>
              </w:rPr>
              <w:t xml:space="preserve"> </w:t>
            </w:r>
            <w:r>
              <w:t xml:space="preserve">regarding this recommendation, as set out in </w:t>
            </w:r>
            <w:hyperlink r:id="rId18">
              <w:r>
                <w:rPr>
                  <w:color w:val="1154CC"/>
                  <w:u w:val="thick" w:color="1154CC"/>
                </w:rPr>
                <w:t>Operational</w:t>
              </w:r>
            </w:hyperlink>
            <w:r>
              <w:rPr>
                <w:color w:val="1154CC"/>
              </w:rPr>
              <w:t xml:space="preserve"> </w:t>
            </w:r>
            <w:hyperlink r:id="rId19">
              <w:r>
                <w:rPr>
                  <w:color w:val="1154CC"/>
                  <w:u w:val="thick" w:color="1154CC"/>
                </w:rPr>
                <w:t>Design Assessment</w:t>
              </w:r>
            </w:hyperlink>
            <w:r>
              <w:t>, at topic 32 (pp. 169-176)</w:t>
            </w:r>
          </w:p>
        </w:tc>
        <w:tc>
          <w:tcPr>
            <w:tcW w:w="4317" w:type="dxa"/>
          </w:tcPr>
          <w:p w14:paraId="45DB725E" w14:textId="77777777" w:rsidR="00CF2E41" w:rsidRDefault="0035260F" w:rsidP="00CF2E41">
            <w:r>
              <w:t>The ODA states that all of the recommendations are “feasible” but noted some concerns.</w:t>
            </w:r>
            <w:r w:rsidR="00464F8C">
              <w:t xml:space="preserve">  The ODA makes an unsupported allegation that applying this process to certain types of challenges/appeals may cause “excessive,  unnecessary costs or delays in the application process.”</w:t>
            </w:r>
          </w:p>
          <w:p w14:paraId="5FF7390B" w14:textId="77777777" w:rsidR="00464F8C" w:rsidRDefault="00464F8C" w:rsidP="00CF2E41"/>
          <w:p w14:paraId="3FF867B7" w14:textId="37AF9B84" w:rsidR="00AE37F5" w:rsidRDefault="00AE37F5" w:rsidP="00AE37F5">
            <w:pPr>
              <w:pStyle w:val="ListParagraph"/>
              <w:numPr>
                <w:ilvl w:val="0"/>
                <w:numId w:val="24"/>
              </w:numPr>
              <w:ind w:left="256" w:hanging="256"/>
              <w:rPr>
                <w:color w:val="0070C0"/>
              </w:rPr>
            </w:pPr>
            <w:r w:rsidRPr="00AE37F5">
              <w:rPr>
                <w:color w:val="0070C0"/>
              </w:rPr>
              <w:t>First of all, ICANN Org should never use the term “unnecessary” when a unanimous consensus has determined that the opposite is the case:  namely, that it is necessary.</w:t>
            </w:r>
          </w:p>
          <w:p w14:paraId="66EDF98F" w14:textId="77777777" w:rsidR="00AE37F5" w:rsidRDefault="00AE37F5" w:rsidP="00AE37F5">
            <w:pPr>
              <w:pStyle w:val="ListParagraph"/>
              <w:ind w:left="256"/>
              <w:rPr>
                <w:color w:val="0070C0"/>
              </w:rPr>
            </w:pPr>
          </w:p>
          <w:p w14:paraId="4D68757E" w14:textId="77777777" w:rsidR="00464F8C" w:rsidRDefault="00AE37F5" w:rsidP="00AE37F5">
            <w:pPr>
              <w:pStyle w:val="ListParagraph"/>
              <w:numPr>
                <w:ilvl w:val="0"/>
                <w:numId w:val="24"/>
              </w:numPr>
              <w:ind w:left="256" w:hanging="256"/>
              <w:rPr>
                <w:color w:val="0070C0"/>
              </w:rPr>
            </w:pPr>
            <w:r>
              <w:rPr>
                <w:color w:val="0070C0"/>
              </w:rPr>
              <w:t>ICANN Org</w:t>
            </w:r>
            <w:r w:rsidR="001521C3" w:rsidRPr="00AE37F5">
              <w:rPr>
                <w:color w:val="0070C0"/>
              </w:rPr>
              <w:t xml:space="preserve"> states that this is the purpose of Extended Evaluation</w:t>
            </w:r>
            <w:r w:rsidR="00984D9A">
              <w:rPr>
                <w:color w:val="0070C0"/>
              </w:rPr>
              <w:t xml:space="preserve"> in certain circumstances but admits that Extended Evaluation is not always available.  In instances where Extended Evaluation is </w:t>
            </w:r>
            <w:r w:rsidR="00984D9A">
              <w:rPr>
                <w:color w:val="0070C0"/>
              </w:rPr>
              <w:lastRenderedPageBreak/>
              <w:t>available, and a new panel is able to review the applications, then perhaps in those circumstances, a challenge of the evaluation may not be needed.  However, it is unclear in the Applicant Guidebook whether the new panel looks at the materials in an Extended Evaluation with a fresh perspective or whether it only looks at whether the new information provided solves the Initial Evaluators concerns.  If the former, then this may be ok.  If the later, then this may not fulfil the requirements of the SubPro recommendation.</w:t>
            </w:r>
          </w:p>
          <w:p w14:paraId="3B70363F" w14:textId="77777777" w:rsidR="00984D9A" w:rsidRPr="00984D9A" w:rsidRDefault="00984D9A" w:rsidP="00984D9A">
            <w:pPr>
              <w:pStyle w:val="ListParagraph"/>
              <w:rPr>
                <w:color w:val="0070C0"/>
              </w:rPr>
            </w:pPr>
          </w:p>
          <w:p w14:paraId="5F425A0F" w14:textId="7EDFB18D" w:rsidR="00CF2E41" w:rsidRPr="00AE37F5" w:rsidRDefault="00060FD9" w:rsidP="00AE37F5">
            <w:pPr>
              <w:pStyle w:val="ListParagraph"/>
              <w:numPr>
                <w:ilvl w:val="0"/>
                <w:numId w:val="24"/>
              </w:numPr>
              <w:ind w:left="256" w:hanging="256"/>
              <w:rPr>
                <w:color w:val="0070C0"/>
              </w:rPr>
            </w:pPr>
            <w:r>
              <w:rPr>
                <w:color w:val="0070C0"/>
              </w:rPr>
              <w:t xml:space="preserve">The SubPro WG did not share the concern that the challenge/appeals mechanism would delay the opening and closing of rounds. </w:t>
            </w:r>
            <w:r w:rsidR="001E3549">
              <w:rPr>
                <w:color w:val="0070C0"/>
              </w:rPr>
              <w:t xml:space="preserve"> If adequately resourced and planned, there is no reason why these cannot be performed without delaying the opening and closing.  For example, if challenges to RSP Pre-evaluation must be made within 30 days of decisions, and the evaluators take another 30 days to evaluate a challenge, that should not result in any delays given that (a) there will likely not be more than 50 RSPs going for Pre-evaluation (at most), (b) most of them will be existing operators, and (c) the percentage of them needing a challenge is likely going to be small. </w:t>
            </w:r>
          </w:p>
        </w:tc>
      </w:tr>
      <w:tr w:rsidR="009E1383" w14:paraId="35A725C3" w14:textId="77777777" w:rsidTr="0018724A">
        <w:trPr>
          <w:tblHeader/>
        </w:trPr>
        <w:tc>
          <w:tcPr>
            <w:tcW w:w="4316" w:type="dxa"/>
          </w:tcPr>
          <w:p w14:paraId="6A0417F5" w14:textId="00E8FD55" w:rsidR="009E1383" w:rsidRDefault="009E1383" w:rsidP="009E1383">
            <w:r>
              <w:rPr>
                <w:b/>
              </w:rPr>
              <w:lastRenderedPageBreak/>
              <w:t>Recommendation 32.2</w:t>
            </w:r>
            <w:r>
              <w:t>: In support of transparency,</w:t>
            </w:r>
            <w:r>
              <w:rPr>
                <w:spacing w:val="-3"/>
              </w:rPr>
              <w:t xml:space="preserve"> </w:t>
            </w:r>
            <w:r>
              <w:t>clear</w:t>
            </w:r>
            <w:r>
              <w:rPr>
                <w:spacing w:val="-3"/>
              </w:rPr>
              <w:t xml:space="preserve"> </w:t>
            </w:r>
            <w:r>
              <w:t>procedures</w:t>
            </w:r>
            <w:r>
              <w:rPr>
                <w:spacing w:val="-3"/>
              </w:rPr>
              <w:t xml:space="preserve"> </w:t>
            </w:r>
            <w:r>
              <w:t>and</w:t>
            </w:r>
            <w:r>
              <w:rPr>
                <w:spacing w:val="-3"/>
              </w:rPr>
              <w:t xml:space="preserve"> </w:t>
            </w:r>
            <w:r>
              <w:t xml:space="preserve">rules </w:t>
            </w:r>
            <w:r>
              <w:lastRenderedPageBreak/>
              <w:t>must</w:t>
            </w:r>
            <w:r>
              <w:rPr>
                <w:spacing w:val="-10"/>
              </w:rPr>
              <w:t xml:space="preserve"> </w:t>
            </w:r>
            <w:r>
              <w:t>be</w:t>
            </w:r>
            <w:r>
              <w:rPr>
                <w:spacing w:val="-10"/>
              </w:rPr>
              <w:t xml:space="preserve"> </w:t>
            </w:r>
            <w:r>
              <w:t>established</w:t>
            </w:r>
            <w:r>
              <w:rPr>
                <w:spacing w:val="-10"/>
              </w:rPr>
              <w:t xml:space="preserve"> </w:t>
            </w:r>
            <w:r>
              <w:t>for</w:t>
            </w:r>
            <w:r>
              <w:rPr>
                <w:spacing w:val="-10"/>
              </w:rPr>
              <w:t xml:space="preserve"> </w:t>
            </w:r>
            <w:r>
              <w:t>challenge/appeal processes as described in the implementation guidance below.</w:t>
            </w:r>
          </w:p>
        </w:tc>
        <w:tc>
          <w:tcPr>
            <w:tcW w:w="4317" w:type="dxa"/>
          </w:tcPr>
          <w:p w14:paraId="3A180193" w14:textId="1A0D8556" w:rsidR="009E1383" w:rsidRDefault="009E1383" w:rsidP="009E1383">
            <w:r>
              <w:lastRenderedPageBreak/>
              <w:t>See</w:t>
            </w:r>
            <w:r>
              <w:rPr>
                <w:spacing w:val="-9"/>
              </w:rPr>
              <w:t xml:space="preserve"> </w:t>
            </w:r>
            <w:r>
              <w:t>recommendation</w:t>
            </w:r>
            <w:r>
              <w:rPr>
                <w:spacing w:val="-8"/>
              </w:rPr>
              <w:t xml:space="preserve"> </w:t>
            </w:r>
            <w:r>
              <w:rPr>
                <w:spacing w:val="-4"/>
              </w:rPr>
              <w:t>32.1</w:t>
            </w:r>
          </w:p>
        </w:tc>
        <w:tc>
          <w:tcPr>
            <w:tcW w:w="4317" w:type="dxa"/>
          </w:tcPr>
          <w:p w14:paraId="460129A3" w14:textId="2A1670AF" w:rsidR="009E1383" w:rsidRDefault="008A7813" w:rsidP="009E1383">
            <w:r>
              <w:t>See above.</w:t>
            </w:r>
          </w:p>
        </w:tc>
      </w:tr>
      <w:tr w:rsidR="009E1383" w14:paraId="2989FB75" w14:textId="77777777" w:rsidTr="0018724A">
        <w:trPr>
          <w:tblHeader/>
        </w:trPr>
        <w:tc>
          <w:tcPr>
            <w:tcW w:w="4316" w:type="dxa"/>
          </w:tcPr>
          <w:p w14:paraId="36B7C1AA" w14:textId="3303368D" w:rsidR="009E1383" w:rsidRDefault="009E1383" w:rsidP="009E1383">
            <w:r>
              <w:rPr>
                <w:b/>
              </w:rPr>
              <w:t>Recommendation 32.10</w:t>
            </w:r>
            <w:r>
              <w:t>: The limited challenge/appeal process must be designed</w:t>
            </w:r>
            <w:r>
              <w:rPr>
                <w:spacing w:val="-5"/>
              </w:rPr>
              <w:t xml:space="preserve"> </w:t>
            </w:r>
            <w:r>
              <w:t>in</w:t>
            </w:r>
            <w:r>
              <w:rPr>
                <w:spacing w:val="-5"/>
              </w:rPr>
              <w:t xml:space="preserve"> </w:t>
            </w:r>
            <w:r>
              <w:t>a</w:t>
            </w:r>
            <w:r>
              <w:rPr>
                <w:spacing w:val="-5"/>
              </w:rPr>
              <w:t xml:space="preserve"> </w:t>
            </w:r>
            <w:r>
              <w:t>manner</w:t>
            </w:r>
            <w:r>
              <w:rPr>
                <w:spacing w:val="-5"/>
              </w:rPr>
              <w:t xml:space="preserve"> </w:t>
            </w:r>
            <w:r>
              <w:t>that</w:t>
            </w:r>
            <w:r>
              <w:rPr>
                <w:spacing w:val="-5"/>
              </w:rPr>
              <w:t xml:space="preserve"> </w:t>
            </w:r>
            <w:r>
              <w:t>does</w:t>
            </w:r>
            <w:r>
              <w:rPr>
                <w:spacing w:val="-5"/>
              </w:rPr>
              <w:t xml:space="preserve"> </w:t>
            </w:r>
            <w:r>
              <w:t>not</w:t>
            </w:r>
            <w:r>
              <w:rPr>
                <w:spacing w:val="-5"/>
              </w:rPr>
              <w:t xml:space="preserve"> </w:t>
            </w:r>
            <w:r>
              <w:t>cause excessive,</w:t>
            </w:r>
            <w:r>
              <w:rPr>
                <w:spacing w:val="-8"/>
              </w:rPr>
              <w:t xml:space="preserve"> </w:t>
            </w:r>
            <w:r>
              <w:t>unnecessary</w:t>
            </w:r>
            <w:r>
              <w:rPr>
                <w:spacing w:val="-8"/>
              </w:rPr>
              <w:t xml:space="preserve"> </w:t>
            </w:r>
            <w:r>
              <w:t>costs</w:t>
            </w:r>
            <w:r>
              <w:rPr>
                <w:spacing w:val="-8"/>
              </w:rPr>
              <w:t xml:space="preserve"> </w:t>
            </w:r>
            <w:r>
              <w:t>or</w:t>
            </w:r>
            <w:r>
              <w:rPr>
                <w:spacing w:val="-8"/>
              </w:rPr>
              <w:t xml:space="preserve"> </w:t>
            </w:r>
            <w:r>
              <w:t>delays</w:t>
            </w:r>
            <w:r>
              <w:rPr>
                <w:spacing w:val="-8"/>
              </w:rPr>
              <w:t xml:space="preserve"> </w:t>
            </w:r>
            <w:r>
              <w:t>in the application process, as described in the implementation guidance below.</w:t>
            </w:r>
          </w:p>
        </w:tc>
        <w:tc>
          <w:tcPr>
            <w:tcW w:w="4317" w:type="dxa"/>
          </w:tcPr>
          <w:p w14:paraId="428D70F9" w14:textId="11D863A0" w:rsidR="009E1383" w:rsidRDefault="009E1383" w:rsidP="009E1383">
            <w:r>
              <w:t>See</w:t>
            </w:r>
            <w:r>
              <w:rPr>
                <w:spacing w:val="-9"/>
              </w:rPr>
              <w:t xml:space="preserve"> </w:t>
            </w:r>
            <w:r>
              <w:t>recommendation</w:t>
            </w:r>
            <w:r>
              <w:rPr>
                <w:spacing w:val="-8"/>
              </w:rPr>
              <w:t xml:space="preserve"> </w:t>
            </w:r>
            <w:r>
              <w:rPr>
                <w:spacing w:val="-4"/>
              </w:rPr>
              <w:t>32.1</w:t>
            </w:r>
          </w:p>
        </w:tc>
        <w:tc>
          <w:tcPr>
            <w:tcW w:w="4317" w:type="dxa"/>
          </w:tcPr>
          <w:p w14:paraId="4733CE9B" w14:textId="7945B542" w:rsidR="009E1383" w:rsidRDefault="008A7813" w:rsidP="009E1383">
            <w:r>
              <w:t>See Above.</w:t>
            </w:r>
          </w:p>
        </w:tc>
      </w:tr>
      <w:tr w:rsidR="009E1383" w14:paraId="74847278" w14:textId="77777777" w:rsidTr="009E1383">
        <w:trPr>
          <w:trHeight w:val="548"/>
          <w:tblHeader/>
        </w:trPr>
        <w:tc>
          <w:tcPr>
            <w:tcW w:w="12950" w:type="dxa"/>
            <w:gridSpan w:val="3"/>
            <w:shd w:val="clear" w:color="auto" w:fill="0D0D0D" w:themeFill="text1" w:themeFillTint="F2"/>
            <w:vAlign w:val="center"/>
          </w:tcPr>
          <w:p w14:paraId="76CEBF0E" w14:textId="3D0A49A4" w:rsidR="009E1383" w:rsidRPr="009E1383" w:rsidRDefault="009E1383" w:rsidP="009E1383">
            <w:pPr>
              <w:rPr>
                <w:b/>
                <w:bCs/>
              </w:rPr>
            </w:pPr>
            <w:r>
              <w:rPr>
                <w:b/>
                <w:bCs/>
              </w:rPr>
              <w:t>Topic 34:  Community Applications</w:t>
            </w:r>
          </w:p>
        </w:tc>
      </w:tr>
      <w:tr w:rsidR="009E1383" w14:paraId="0F5C3EE4" w14:textId="77777777" w:rsidTr="0018724A">
        <w:trPr>
          <w:tblHeader/>
        </w:trPr>
        <w:tc>
          <w:tcPr>
            <w:tcW w:w="4316" w:type="dxa"/>
          </w:tcPr>
          <w:p w14:paraId="4FCFF64C" w14:textId="33DD9CFC" w:rsidR="009E1383" w:rsidRDefault="00450220" w:rsidP="009E1383">
            <w:r>
              <w:rPr>
                <w:b/>
              </w:rPr>
              <w:t>Recommendation</w:t>
            </w:r>
            <w:r>
              <w:rPr>
                <w:b/>
                <w:spacing w:val="-10"/>
              </w:rPr>
              <w:t xml:space="preserve"> </w:t>
            </w:r>
            <w:r>
              <w:rPr>
                <w:b/>
              </w:rPr>
              <w:t>34.12</w:t>
            </w:r>
            <w:r>
              <w:t>:</w:t>
            </w:r>
            <w:r>
              <w:rPr>
                <w:spacing w:val="-13"/>
              </w:rPr>
              <w:t xml:space="preserve"> </w:t>
            </w:r>
            <w:r>
              <w:t>The</w:t>
            </w:r>
            <w:r>
              <w:rPr>
                <w:spacing w:val="-10"/>
              </w:rPr>
              <w:t xml:space="preserve"> </w:t>
            </w:r>
            <w:r>
              <w:t>process</w:t>
            </w:r>
            <w:r>
              <w:rPr>
                <w:spacing w:val="-10"/>
              </w:rPr>
              <w:t xml:space="preserve"> </w:t>
            </w:r>
            <w:r>
              <w:t>to develop evaluation and selection criteria that</w:t>
            </w:r>
            <w:r>
              <w:rPr>
                <w:spacing w:val="-6"/>
              </w:rPr>
              <w:t xml:space="preserve"> </w:t>
            </w:r>
            <w:r>
              <w:t>will</w:t>
            </w:r>
            <w:r>
              <w:rPr>
                <w:spacing w:val="-6"/>
              </w:rPr>
              <w:t xml:space="preserve"> </w:t>
            </w:r>
            <w:r>
              <w:t>be</w:t>
            </w:r>
            <w:r>
              <w:rPr>
                <w:spacing w:val="-6"/>
              </w:rPr>
              <w:t xml:space="preserve"> </w:t>
            </w:r>
            <w:r>
              <w:t>used</w:t>
            </w:r>
            <w:r>
              <w:rPr>
                <w:spacing w:val="-6"/>
              </w:rPr>
              <w:t xml:space="preserve"> </w:t>
            </w:r>
            <w:r>
              <w:t>to</w:t>
            </w:r>
            <w:r>
              <w:rPr>
                <w:spacing w:val="-6"/>
              </w:rPr>
              <w:t xml:space="preserve"> </w:t>
            </w:r>
            <w:r>
              <w:t>choose</w:t>
            </w:r>
            <w:r>
              <w:rPr>
                <w:spacing w:val="-6"/>
              </w:rPr>
              <w:t xml:space="preserve"> </w:t>
            </w:r>
            <w:r>
              <w:t>a</w:t>
            </w:r>
            <w:r>
              <w:rPr>
                <w:spacing w:val="-6"/>
              </w:rPr>
              <w:t xml:space="preserve"> </w:t>
            </w:r>
            <w:r>
              <w:t>Community Priority Evaluation Provider (CPE Provider) must include mechanisms to</w:t>
            </w:r>
            <w:r w:rsidR="007C6E66">
              <w:t xml:space="preserve">  ensure appropriate feedback from the ICANN community. In addition, any terms</w:t>
            </w:r>
            <w:r w:rsidR="007C6E66">
              <w:rPr>
                <w:spacing w:val="-8"/>
              </w:rPr>
              <w:t xml:space="preserve"> </w:t>
            </w:r>
            <w:r w:rsidR="007C6E66">
              <w:t>included</w:t>
            </w:r>
            <w:r w:rsidR="007C6E66">
              <w:rPr>
                <w:spacing w:val="-8"/>
              </w:rPr>
              <w:t xml:space="preserve"> </w:t>
            </w:r>
            <w:r w:rsidR="007C6E66">
              <w:t>in</w:t>
            </w:r>
            <w:r w:rsidR="007C6E66">
              <w:rPr>
                <w:spacing w:val="-8"/>
              </w:rPr>
              <w:t xml:space="preserve"> </w:t>
            </w:r>
            <w:r w:rsidR="007C6E66">
              <w:t>the</w:t>
            </w:r>
            <w:r w:rsidR="007C6E66">
              <w:rPr>
                <w:spacing w:val="-8"/>
              </w:rPr>
              <w:t xml:space="preserve"> </w:t>
            </w:r>
            <w:r w:rsidR="007C6E66">
              <w:t>contract</w:t>
            </w:r>
            <w:r w:rsidR="007C6E66">
              <w:rPr>
                <w:spacing w:val="-8"/>
              </w:rPr>
              <w:t xml:space="preserve"> </w:t>
            </w:r>
            <w:r w:rsidR="007C6E66">
              <w:t>between ICANN org and the CPE Provider regarding the CPE process must be subject to public comment.</w:t>
            </w:r>
          </w:p>
        </w:tc>
        <w:tc>
          <w:tcPr>
            <w:tcW w:w="4317" w:type="dxa"/>
          </w:tcPr>
          <w:p w14:paraId="7828A3EA" w14:textId="6A983E33" w:rsidR="002939D6" w:rsidRPr="002939D6" w:rsidRDefault="002939D6" w:rsidP="002939D6">
            <w:r>
              <w:t>The Board is concerned that this recommendation may require ICANN to publish for public comment confidential information, such as terms of a contract with</w:t>
            </w:r>
            <w:r>
              <w:rPr>
                <w:spacing w:val="-7"/>
              </w:rPr>
              <w:t xml:space="preserve"> </w:t>
            </w:r>
            <w:r>
              <w:t>a</w:t>
            </w:r>
            <w:r>
              <w:rPr>
                <w:spacing w:val="-7"/>
              </w:rPr>
              <w:t xml:space="preserve"> </w:t>
            </w:r>
            <w:r>
              <w:t>third</w:t>
            </w:r>
            <w:r>
              <w:rPr>
                <w:spacing w:val="-7"/>
              </w:rPr>
              <w:t xml:space="preserve"> </w:t>
            </w:r>
            <w:r>
              <w:t>party,</w:t>
            </w:r>
            <w:r>
              <w:rPr>
                <w:spacing w:val="-7"/>
              </w:rPr>
              <w:t xml:space="preserve"> </w:t>
            </w:r>
            <w:r>
              <w:t>including,</w:t>
            </w:r>
            <w:r>
              <w:rPr>
                <w:spacing w:val="-7"/>
              </w:rPr>
              <w:t xml:space="preserve"> </w:t>
            </w:r>
            <w:r>
              <w:t>e.g.,</w:t>
            </w:r>
            <w:r>
              <w:rPr>
                <w:spacing w:val="-7"/>
              </w:rPr>
              <w:t xml:space="preserve"> </w:t>
            </w:r>
            <w:r>
              <w:t>fees</w:t>
            </w:r>
            <w:r>
              <w:rPr>
                <w:spacing w:val="-7"/>
              </w:rPr>
              <w:t xml:space="preserve"> </w:t>
            </w:r>
            <w:r>
              <w:t>and</w:t>
            </w:r>
            <w:r>
              <w:rPr>
                <w:spacing w:val="-7"/>
              </w:rPr>
              <w:t xml:space="preserve"> </w:t>
            </w:r>
            <w:r>
              <w:t>payments.</w:t>
            </w:r>
          </w:p>
        </w:tc>
        <w:tc>
          <w:tcPr>
            <w:tcW w:w="4317" w:type="dxa"/>
          </w:tcPr>
          <w:p w14:paraId="68688BBA" w14:textId="77777777" w:rsidR="009E1383" w:rsidRDefault="006765E0" w:rsidP="009E1383">
            <w:r>
              <w:rPr>
                <w:color w:val="0070C0"/>
              </w:rPr>
              <w:t>The recommendation states in pertinent part, “</w:t>
            </w:r>
            <w:r w:rsidRPr="006765E0">
              <w:rPr>
                <w:color w:val="0070C0"/>
              </w:rPr>
              <w:t>any terms</w:t>
            </w:r>
            <w:r w:rsidRPr="006765E0">
              <w:rPr>
                <w:color w:val="0070C0"/>
                <w:spacing w:val="-8"/>
              </w:rPr>
              <w:t xml:space="preserve"> </w:t>
            </w:r>
            <w:r w:rsidRPr="006765E0">
              <w:rPr>
                <w:color w:val="0070C0"/>
              </w:rPr>
              <w:t>included</w:t>
            </w:r>
            <w:r w:rsidRPr="006765E0">
              <w:rPr>
                <w:color w:val="0070C0"/>
                <w:spacing w:val="-8"/>
              </w:rPr>
              <w:t xml:space="preserve"> </w:t>
            </w:r>
            <w:r w:rsidRPr="006765E0">
              <w:rPr>
                <w:color w:val="0070C0"/>
              </w:rPr>
              <w:t>in</w:t>
            </w:r>
            <w:r w:rsidRPr="006765E0">
              <w:rPr>
                <w:color w:val="0070C0"/>
                <w:spacing w:val="-8"/>
              </w:rPr>
              <w:t xml:space="preserve"> </w:t>
            </w:r>
            <w:r w:rsidRPr="006765E0">
              <w:rPr>
                <w:color w:val="0070C0"/>
              </w:rPr>
              <w:t>the</w:t>
            </w:r>
            <w:r w:rsidRPr="006765E0">
              <w:rPr>
                <w:color w:val="0070C0"/>
                <w:spacing w:val="-8"/>
              </w:rPr>
              <w:t xml:space="preserve"> </w:t>
            </w:r>
            <w:r w:rsidRPr="006765E0">
              <w:rPr>
                <w:color w:val="0070C0"/>
              </w:rPr>
              <w:t>contract</w:t>
            </w:r>
            <w:r w:rsidRPr="006765E0">
              <w:rPr>
                <w:color w:val="0070C0"/>
                <w:spacing w:val="-8"/>
              </w:rPr>
              <w:t xml:space="preserve"> </w:t>
            </w:r>
            <w:r w:rsidRPr="006765E0">
              <w:rPr>
                <w:color w:val="0070C0"/>
              </w:rPr>
              <w:t>between ICANN org and the CPE Provider regarding the CPE process must be subject to public comment</w:t>
            </w:r>
            <w:r>
              <w:t>”</w:t>
            </w:r>
          </w:p>
          <w:p w14:paraId="6311BA4E" w14:textId="77777777" w:rsidR="006765E0" w:rsidRDefault="006765E0" w:rsidP="009E1383">
            <w:pPr>
              <w:rPr>
                <w:color w:val="0070C0"/>
              </w:rPr>
            </w:pPr>
          </w:p>
          <w:p w14:paraId="5DCB781A" w14:textId="77777777" w:rsidR="006765E0" w:rsidRDefault="006765E0" w:rsidP="009E1383">
            <w:pPr>
              <w:rPr>
                <w:color w:val="0070C0"/>
              </w:rPr>
            </w:pPr>
            <w:r>
              <w:rPr>
                <w:color w:val="0070C0"/>
              </w:rPr>
              <w:t>Confidential terms in a contract regarding “fees, payments, etc.”</w:t>
            </w:r>
            <w:r w:rsidR="002F25E1">
              <w:rPr>
                <w:color w:val="0070C0"/>
              </w:rPr>
              <w:t xml:space="preserve"> do not relate to the “CPE Process.”  </w:t>
            </w:r>
          </w:p>
          <w:p w14:paraId="5178C1CD" w14:textId="77777777" w:rsidR="002F25E1" w:rsidRDefault="002F25E1" w:rsidP="009E1383">
            <w:pPr>
              <w:rPr>
                <w:color w:val="0070C0"/>
              </w:rPr>
            </w:pPr>
          </w:p>
          <w:p w14:paraId="0F63DC0C" w14:textId="309F5417" w:rsidR="002F25E1" w:rsidRDefault="002F25E1" w:rsidP="009E1383">
            <w:pPr>
              <w:rPr>
                <w:color w:val="0070C0"/>
              </w:rPr>
            </w:pPr>
            <w:r>
              <w:rPr>
                <w:color w:val="0070C0"/>
              </w:rPr>
              <w:t>The main point of this recommendation was to understand the exact interplay between ICANN and the CPE Providers</w:t>
            </w:r>
            <w:r w:rsidR="00652E71">
              <w:rPr>
                <w:color w:val="0070C0"/>
              </w:rPr>
              <w:t xml:space="preserve">; namely, </w:t>
            </w:r>
            <w:r w:rsidR="009E7571">
              <w:rPr>
                <w:color w:val="0070C0"/>
              </w:rPr>
              <w:t xml:space="preserve">(i) </w:t>
            </w:r>
            <w:r w:rsidR="00652E71">
              <w:rPr>
                <w:color w:val="0070C0"/>
              </w:rPr>
              <w:t>what interaction there was on the establishment of supplemental criteria (if any)</w:t>
            </w:r>
            <w:r w:rsidR="009E7571">
              <w:rPr>
                <w:color w:val="0070C0"/>
              </w:rPr>
              <w:t>, (ii) what review (if any) ICANN Org has over any of the results, (iii) what input (if any) ICANN has into individual evaluations or in criteria, (iv) process for clarifying questions from the evaluator(s) and ICANN, etc.</w:t>
            </w:r>
          </w:p>
          <w:p w14:paraId="6B69BDD6" w14:textId="52A49F85" w:rsidR="00141CB0" w:rsidRDefault="00141CB0" w:rsidP="009E1383">
            <w:pPr>
              <w:rPr>
                <w:color w:val="0070C0"/>
              </w:rPr>
            </w:pPr>
          </w:p>
          <w:p w14:paraId="108896FF" w14:textId="53586C78" w:rsidR="00141CB0" w:rsidRDefault="00141CB0" w:rsidP="009E1383">
            <w:pPr>
              <w:rPr>
                <w:color w:val="0070C0"/>
              </w:rPr>
            </w:pPr>
            <w:r>
              <w:rPr>
                <w:color w:val="0070C0"/>
              </w:rPr>
              <w:lastRenderedPageBreak/>
              <w:t>This recommendation can be adopted and implemented as written without disclosing truly confidential information.</w:t>
            </w:r>
          </w:p>
          <w:p w14:paraId="0A9FF117" w14:textId="77777777" w:rsidR="002F25E1" w:rsidRDefault="002F25E1" w:rsidP="009E1383">
            <w:pPr>
              <w:rPr>
                <w:color w:val="0070C0"/>
              </w:rPr>
            </w:pPr>
          </w:p>
          <w:p w14:paraId="4A252DD6" w14:textId="04FD75E1" w:rsidR="009E1383" w:rsidRPr="008A7813" w:rsidRDefault="009E1383" w:rsidP="009E1383">
            <w:pPr>
              <w:rPr>
                <w:color w:val="0070C0"/>
              </w:rPr>
            </w:pPr>
          </w:p>
        </w:tc>
      </w:tr>
      <w:tr w:rsidR="007C6E66" w14:paraId="16264AA9" w14:textId="77777777" w:rsidTr="007C6E66">
        <w:trPr>
          <w:trHeight w:val="530"/>
          <w:tblHeader/>
        </w:trPr>
        <w:tc>
          <w:tcPr>
            <w:tcW w:w="12950" w:type="dxa"/>
            <w:gridSpan w:val="3"/>
            <w:shd w:val="clear" w:color="auto" w:fill="0D0D0D" w:themeFill="text1" w:themeFillTint="F2"/>
            <w:vAlign w:val="center"/>
          </w:tcPr>
          <w:p w14:paraId="116CCDF8" w14:textId="1A347022" w:rsidR="007C6E66" w:rsidRPr="007C6E66" w:rsidRDefault="007C6E66" w:rsidP="009E1383">
            <w:pPr>
              <w:rPr>
                <w:b/>
                <w:bCs/>
              </w:rPr>
            </w:pPr>
            <w:r>
              <w:rPr>
                <w:b/>
                <w:bCs/>
              </w:rPr>
              <w:lastRenderedPageBreak/>
              <w:t>Topic 35:  Auctions</w:t>
            </w:r>
          </w:p>
        </w:tc>
      </w:tr>
      <w:tr w:rsidR="001947BE" w14:paraId="1EB1D7E1" w14:textId="77777777" w:rsidTr="0018724A">
        <w:trPr>
          <w:tblHeader/>
        </w:trPr>
        <w:tc>
          <w:tcPr>
            <w:tcW w:w="4316" w:type="dxa"/>
          </w:tcPr>
          <w:p w14:paraId="715E8605" w14:textId="77777777" w:rsidR="001947BE" w:rsidRDefault="001947BE" w:rsidP="001947BE">
            <w:pPr>
              <w:pStyle w:val="TableParagraph"/>
              <w:spacing w:before="151"/>
              <w:ind w:right="165"/>
            </w:pPr>
            <w:r>
              <w:rPr>
                <w:b/>
              </w:rPr>
              <w:t>Recommendation 35.3</w:t>
            </w:r>
            <w:r>
              <w:t>: Applications must be submitted with a bona fide (“good faith”) intention to operate the gTLD. Applicants must affirmatively attest to a bona fide intention to operate the</w:t>
            </w:r>
            <w:r>
              <w:rPr>
                <w:spacing w:val="-7"/>
              </w:rPr>
              <w:t xml:space="preserve"> </w:t>
            </w:r>
            <w:r>
              <w:t>gTLD</w:t>
            </w:r>
            <w:r>
              <w:rPr>
                <w:spacing w:val="-7"/>
              </w:rPr>
              <w:t xml:space="preserve"> </w:t>
            </w:r>
            <w:r>
              <w:t>clause</w:t>
            </w:r>
            <w:r>
              <w:rPr>
                <w:spacing w:val="-7"/>
              </w:rPr>
              <w:t xml:space="preserve"> </w:t>
            </w:r>
            <w:r>
              <w:t>for</w:t>
            </w:r>
            <w:r>
              <w:rPr>
                <w:spacing w:val="-7"/>
              </w:rPr>
              <w:t xml:space="preserve"> </w:t>
            </w:r>
            <w:r>
              <w:t>all</w:t>
            </w:r>
            <w:r>
              <w:rPr>
                <w:spacing w:val="-7"/>
              </w:rPr>
              <w:t xml:space="preserve"> </w:t>
            </w:r>
            <w:r>
              <w:t>applications</w:t>
            </w:r>
            <w:r>
              <w:rPr>
                <w:spacing w:val="-7"/>
              </w:rPr>
              <w:t xml:space="preserve"> </w:t>
            </w:r>
            <w:r>
              <w:t>that they submit.</w:t>
            </w:r>
          </w:p>
          <w:p w14:paraId="75C8D1B4" w14:textId="77777777" w:rsidR="001947BE" w:rsidRDefault="001947BE" w:rsidP="001947BE"/>
          <w:p w14:paraId="5A427F95" w14:textId="2D1EDC3B" w:rsidR="000B4FC1" w:rsidRDefault="001947BE" w:rsidP="000B4FC1">
            <w:pPr>
              <w:pStyle w:val="TableParagraph"/>
              <w:spacing w:before="140"/>
              <w:ind w:left="857" w:right="165"/>
            </w:pPr>
            <w:r>
              <w:t>Evaluators and ICANN must be able to ask clarifying questions to any applicant it believes may not be submitting an application with a bona fide intention. Evaluators and ICANN shall</w:t>
            </w:r>
            <w:r w:rsidRPr="001947BE">
              <w:rPr>
                <w:spacing w:val="40"/>
              </w:rPr>
              <w:t xml:space="preserve"> </w:t>
            </w:r>
            <w:r>
              <w:t>use, but are not limited to, the “Factors” described below in their</w:t>
            </w:r>
            <w:r w:rsidRPr="001947BE">
              <w:rPr>
                <w:spacing w:val="-10"/>
              </w:rPr>
              <w:t xml:space="preserve"> </w:t>
            </w:r>
            <w:r>
              <w:t>consideration</w:t>
            </w:r>
            <w:r w:rsidRPr="001947BE">
              <w:rPr>
                <w:spacing w:val="-10"/>
              </w:rPr>
              <w:t xml:space="preserve"> </w:t>
            </w:r>
            <w:r>
              <w:t>of</w:t>
            </w:r>
            <w:r w:rsidRPr="001947BE">
              <w:rPr>
                <w:spacing w:val="-10"/>
              </w:rPr>
              <w:t xml:space="preserve"> </w:t>
            </w:r>
            <w:r>
              <w:t>whether</w:t>
            </w:r>
            <w:r w:rsidRPr="001947BE">
              <w:rPr>
                <w:spacing w:val="-10"/>
              </w:rPr>
              <w:t xml:space="preserve"> </w:t>
            </w:r>
            <w:r>
              <w:t>an application was submitted</w:t>
            </w:r>
            <w:r w:rsidRPr="001947BE">
              <w:rPr>
                <w:spacing w:val="40"/>
              </w:rPr>
              <w:t xml:space="preserve"> </w:t>
            </w:r>
            <w:r>
              <w:t>absent bona fide intention.</w:t>
            </w:r>
            <w:r w:rsidRPr="001947BE">
              <w:rPr>
                <w:spacing w:val="40"/>
              </w:rPr>
              <w:t xml:space="preserve"> </w:t>
            </w:r>
            <w:r>
              <w:t>These “Factors” will be taken into consideration and weighed against all of the other facts and circumstances surrounding the impacted applicants and</w:t>
            </w:r>
            <w:r w:rsidR="000B4FC1">
              <w:t xml:space="preserve">  applications.</w:t>
            </w:r>
            <w:r w:rsidR="000B4FC1">
              <w:rPr>
                <w:spacing w:val="-4"/>
              </w:rPr>
              <w:t xml:space="preserve"> </w:t>
            </w:r>
            <w:r w:rsidR="000B4FC1">
              <w:t>The existence of any</w:t>
            </w:r>
            <w:r w:rsidR="000B4FC1">
              <w:rPr>
                <w:spacing w:val="-7"/>
              </w:rPr>
              <w:t xml:space="preserve"> </w:t>
            </w:r>
            <w:r w:rsidR="000B4FC1">
              <w:t>one</w:t>
            </w:r>
            <w:r w:rsidR="000B4FC1">
              <w:rPr>
                <w:spacing w:val="-7"/>
              </w:rPr>
              <w:t xml:space="preserve"> </w:t>
            </w:r>
            <w:r w:rsidR="000B4FC1">
              <w:t>or</w:t>
            </w:r>
            <w:r w:rsidR="000B4FC1">
              <w:rPr>
                <w:spacing w:val="-7"/>
              </w:rPr>
              <w:t xml:space="preserve"> </w:t>
            </w:r>
            <w:r w:rsidR="000B4FC1">
              <w:t>all</w:t>
            </w:r>
            <w:r w:rsidR="000B4FC1">
              <w:rPr>
                <w:spacing w:val="-7"/>
              </w:rPr>
              <w:t xml:space="preserve"> </w:t>
            </w:r>
            <w:r w:rsidR="000B4FC1">
              <w:t>of</w:t>
            </w:r>
            <w:r w:rsidR="000B4FC1">
              <w:rPr>
                <w:spacing w:val="-7"/>
              </w:rPr>
              <w:t xml:space="preserve"> </w:t>
            </w:r>
            <w:r w:rsidR="000B4FC1">
              <w:t>the</w:t>
            </w:r>
            <w:r w:rsidR="000B4FC1">
              <w:rPr>
                <w:spacing w:val="-7"/>
              </w:rPr>
              <w:t xml:space="preserve"> </w:t>
            </w:r>
            <w:r w:rsidR="000B4FC1">
              <w:t xml:space="preserve">“Factors” may not themselves be conclusive of an application made lacking a bona fide use </w:t>
            </w:r>
            <w:r w:rsidR="000B4FC1">
              <w:rPr>
                <w:spacing w:val="-2"/>
              </w:rPr>
              <w:t>intent.</w:t>
            </w:r>
          </w:p>
          <w:p w14:paraId="44255E88" w14:textId="77777777" w:rsidR="000B4FC1" w:rsidRDefault="000B4FC1" w:rsidP="00403BAC">
            <w:pPr>
              <w:pStyle w:val="TableParagraph"/>
              <w:numPr>
                <w:ilvl w:val="0"/>
                <w:numId w:val="5"/>
              </w:numPr>
              <w:tabs>
                <w:tab w:val="left" w:pos="857"/>
                <w:tab w:val="left" w:pos="858"/>
              </w:tabs>
              <w:ind w:right="109"/>
            </w:pPr>
            <w:r>
              <w:t>Applicants</w:t>
            </w:r>
            <w:r>
              <w:rPr>
                <w:spacing w:val="-10"/>
              </w:rPr>
              <w:t xml:space="preserve"> </w:t>
            </w:r>
            <w:r>
              <w:t>may</w:t>
            </w:r>
            <w:r>
              <w:rPr>
                <w:spacing w:val="-10"/>
              </w:rPr>
              <w:t xml:space="preserve"> </w:t>
            </w:r>
            <w:r>
              <w:t>mark</w:t>
            </w:r>
            <w:r>
              <w:rPr>
                <w:spacing w:val="-10"/>
              </w:rPr>
              <w:t xml:space="preserve"> </w:t>
            </w:r>
            <w:r>
              <w:lastRenderedPageBreak/>
              <w:t>portions</w:t>
            </w:r>
            <w:r>
              <w:rPr>
                <w:spacing w:val="-10"/>
              </w:rPr>
              <w:t xml:space="preserve"> </w:t>
            </w:r>
            <w:r>
              <w:t xml:space="preserve">of any such responses as “confidential” if the responses include proprietary business </w:t>
            </w:r>
            <w:r>
              <w:rPr>
                <w:spacing w:val="-2"/>
              </w:rPr>
              <w:t>information.</w:t>
            </w:r>
          </w:p>
          <w:p w14:paraId="064EE28B" w14:textId="77777777" w:rsidR="0055112C" w:rsidRDefault="0055112C" w:rsidP="0055112C">
            <w:pPr>
              <w:pStyle w:val="TableParagraph"/>
              <w:ind w:right="135"/>
            </w:pPr>
            <w:r>
              <w:t>The Working Group discussed the following potential non-exhaustive list</w:t>
            </w:r>
            <w:r>
              <w:rPr>
                <w:spacing w:val="40"/>
              </w:rPr>
              <w:t xml:space="preserve"> </w:t>
            </w:r>
            <w:r>
              <w:t>of “Factors” that ICANN may consider in determining whether an application was submitted with a bona fide (“good faith”) intention to operate the gTLD. Note that potential alternatives and additional language suggested by some Working</w:t>
            </w:r>
            <w:r>
              <w:rPr>
                <w:spacing w:val="-12"/>
              </w:rPr>
              <w:t xml:space="preserve"> </w:t>
            </w:r>
            <w:r>
              <w:t>Group</w:t>
            </w:r>
            <w:r>
              <w:rPr>
                <w:spacing w:val="-12"/>
              </w:rPr>
              <w:t xml:space="preserve"> </w:t>
            </w:r>
            <w:r>
              <w:t>members</w:t>
            </w:r>
            <w:r>
              <w:rPr>
                <w:spacing w:val="-12"/>
              </w:rPr>
              <w:t xml:space="preserve"> </w:t>
            </w:r>
            <w:r>
              <w:t>are</w:t>
            </w:r>
            <w:r>
              <w:rPr>
                <w:spacing w:val="-12"/>
              </w:rPr>
              <w:t xml:space="preserve"> </w:t>
            </w:r>
            <w:r>
              <w:t>included</w:t>
            </w:r>
            <w:r>
              <w:rPr>
                <w:spacing w:val="-12"/>
              </w:rPr>
              <w:t xml:space="preserve"> </w:t>
            </w:r>
            <w:r>
              <w:t xml:space="preserve">in </w:t>
            </w:r>
            <w:r>
              <w:rPr>
                <w:spacing w:val="-2"/>
              </w:rPr>
              <w:t>brackets:</w:t>
            </w:r>
          </w:p>
          <w:p w14:paraId="287E7971" w14:textId="77777777" w:rsidR="00445850" w:rsidRDefault="0055112C" w:rsidP="00445850">
            <w:pPr>
              <w:pStyle w:val="TableParagraph"/>
              <w:spacing w:before="140"/>
              <w:ind w:left="857" w:right="255"/>
            </w:pPr>
            <w:r>
              <w:t>If</w:t>
            </w:r>
            <w:r w:rsidRPr="0055112C">
              <w:rPr>
                <w:spacing w:val="-14"/>
              </w:rPr>
              <w:t xml:space="preserve"> </w:t>
            </w:r>
            <w:r>
              <w:t>an</w:t>
            </w:r>
            <w:r w:rsidRPr="0055112C">
              <w:rPr>
                <w:spacing w:val="-13"/>
              </w:rPr>
              <w:t xml:space="preserve"> </w:t>
            </w:r>
            <w:r>
              <w:t>Applicant</w:t>
            </w:r>
            <w:r w:rsidRPr="0055112C">
              <w:rPr>
                <w:spacing w:val="-9"/>
              </w:rPr>
              <w:t xml:space="preserve"> </w:t>
            </w:r>
            <w:r>
              <w:t>applies</w:t>
            </w:r>
            <w:r w:rsidRPr="0055112C">
              <w:rPr>
                <w:spacing w:val="-9"/>
              </w:rPr>
              <w:t xml:space="preserve"> </w:t>
            </w:r>
            <w:r>
              <w:t>for</w:t>
            </w:r>
            <w:r w:rsidRPr="0055112C">
              <w:rPr>
                <w:spacing w:val="-9"/>
              </w:rPr>
              <w:t xml:space="preserve"> </w:t>
            </w:r>
            <w:r>
              <w:t>[four] [five] or more strings that are within contention sets and participates in private auctions for more than fifty percent (50%)</w:t>
            </w:r>
            <w:r w:rsidRPr="0055112C">
              <w:rPr>
                <w:spacing w:val="-4"/>
              </w:rPr>
              <w:t xml:space="preserve"> </w:t>
            </w:r>
            <w:r>
              <w:t>of</w:t>
            </w:r>
            <w:r w:rsidRPr="0055112C">
              <w:rPr>
                <w:spacing w:val="-4"/>
              </w:rPr>
              <w:t xml:space="preserve"> </w:t>
            </w:r>
            <w:r>
              <w:t>those</w:t>
            </w:r>
            <w:r w:rsidRPr="0055112C">
              <w:rPr>
                <w:spacing w:val="-4"/>
              </w:rPr>
              <w:t xml:space="preserve"> </w:t>
            </w:r>
            <w:r>
              <w:t>strings</w:t>
            </w:r>
            <w:r w:rsidRPr="0055112C">
              <w:rPr>
                <w:spacing w:val="-4"/>
              </w:rPr>
              <w:t xml:space="preserve"> </w:t>
            </w:r>
            <w:r>
              <w:t>for</w:t>
            </w:r>
            <w:r w:rsidRPr="0055112C">
              <w:rPr>
                <w:spacing w:val="-4"/>
              </w:rPr>
              <w:t xml:space="preserve"> </w:t>
            </w:r>
            <w:r>
              <w:t>which the losing bidder(s) receive the proceeds from the successful</w:t>
            </w:r>
            <w:r w:rsidR="00DD5FB8">
              <w:t xml:space="preserve"> bidder, and the applicant loses each</w:t>
            </w:r>
            <w:r w:rsidR="00DD5FB8">
              <w:rPr>
                <w:spacing w:val="-2"/>
              </w:rPr>
              <w:t xml:space="preserve"> </w:t>
            </w:r>
            <w:r w:rsidR="00DD5FB8">
              <w:t>of</w:t>
            </w:r>
            <w:r w:rsidR="00DD5FB8">
              <w:rPr>
                <w:spacing w:val="-2"/>
              </w:rPr>
              <w:t xml:space="preserve"> </w:t>
            </w:r>
            <w:r w:rsidR="00DD5FB8">
              <w:t>the</w:t>
            </w:r>
            <w:r w:rsidR="00DD5FB8">
              <w:rPr>
                <w:spacing w:val="-2"/>
              </w:rPr>
              <w:t xml:space="preserve"> </w:t>
            </w:r>
            <w:r w:rsidR="00DD5FB8">
              <w:t>private</w:t>
            </w:r>
            <w:r w:rsidR="00DD5FB8">
              <w:rPr>
                <w:spacing w:val="-2"/>
              </w:rPr>
              <w:t xml:space="preserve"> </w:t>
            </w:r>
            <w:r w:rsidR="00DD5FB8">
              <w:t>auctions,</w:t>
            </w:r>
            <w:r w:rsidR="00DD5FB8">
              <w:rPr>
                <w:spacing w:val="-2"/>
              </w:rPr>
              <w:t xml:space="preserve"> </w:t>
            </w:r>
            <w:r w:rsidR="00DD5FB8">
              <w:t>this</w:t>
            </w:r>
            <w:r w:rsidR="00445850">
              <w:t xml:space="preserve"> may be a factor considered by ICANN</w:t>
            </w:r>
            <w:r w:rsidR="00445850">
              <w:rPr>
                <w:spacing w:val="-10"/>
              </w:rPr>
              <w:t xml:space="preserve"> </w:t>
            </w:r>
            <w:r w:rsidR="00445850">
              <w:t>in</w:t>
            </w:r>
            <w:r w:rsidR="00445850">
              <w:rPr>
                <w:spacing w:val="-10"/>
              </w:rPr>
              <w:t xml:space="preserve"> </w:t>
            </w:r>
            <w:r w:rsidR="00445850">
              <w:t>determining</w:t>
            </w:r>
            <w:r w:rsidR="00445850">
              <w:rPr>
                <w:spacing w:val="-10"/>
              </w:rPr>
              <w:t xml:space="preserve"> </w:t>
            </w:r>
            <w:r w:rsidR="00445850">
              <w:t>lack</w:t>
            </w:r>
            <w:r w:rsidR="00445850">
              <w:rPr>
                <w:spacing w:val="-10"/>
              </w:rPr>
              <w:t xml:space="preserve"> </w:t>
            </w:r>
            <w:r w:rsidR="00445850">
              <w:t xml:space="preserve">of bona fide intention to operate the gTLD for each of those </w:t>
            </w:r>
            <w:r w:rsidR="00445850">
              <w:rPr>
                <w:spacing w:val="-2"/>
              </w:rPr>
              <w:t>applications.</w:t>
            </w:r>
          </w:p>
          <w:p w14:paraId="1705A0BF" w14:textId="77777777" w:rsidR="00445850" w:rsidRDefault="00445850" w:rsidP="00403BAC">
            <w:pPr>
              <w:pStyle w:val="TableParagraph"/>
              <w:numPr>
                <w:ilvl w:val="0"/>
                <w:numId w:val="5"/>
              </w:numPr>
              <w:tabs>
                <w:tab w:val="left" w:pos="857"/>
                <w:tab w:val="left" w:pos="858"/>
              </w:tabs>
              <w:ind w:right="664"/>
            </w:pPr>
            <w:r>
              <w:t>Possible</w:t>
            </w:r>
            <w:r>
              <w:rPr>
                <w:spacing w:val="-13"/>
              </w:rPr>
              <w:t xml:space="preserve"> </w:t>
            </w:r>
            <w:r>
              <w:t>alternatives</w:t>
            </w:r>
            <w:r>
              <w:rPr>
                <w:spacing w:val="-13"/>
              </w:rPr>
              <w:t xml:space="preserve"> </w:t>
            </w:r>
            <w:r>
              <w:t>to</w:t>
            </w:r>
            <w:r>
              <w:rPr>
                <w:spacing w:val="-13"/>
              </w:rPr>
              <w:t xml:space="preserve"> </w:t>
            </w:r>
            <w:r>
              <w:t>the above bullet point:</w:t>
            </w:r>
          </w:p>
          <w:p w14:paraId="4DF477CF" w14:textId="77777777" w:rsidR="00445850" w:rsidRDefault="00445850" w:rsidP="00403BAC">
            <w:pPr>
              <w:pStyle w:val="TableParagraph"/>
              <w:numPr>
                <w:ilvl w:val="1"/>
                <w:numId w:val="5"/>
              </w:numPr>
              <w:tabs>
                <w:tab w:val="left" w:pos="1577"/>
                <w:tab w:val="left" w:pos="1578"/>
              </w:tabs>
              <w:ind w:right="238"/>
            </w:pPr>
            <w:r>
              <w:t>[If an applicant participates in six or more private auctions and</w:t>
            </w:r>
            <w:r>
              <w:rPr>
                <w:spacing w:val="-13"/>
              </w:rPr>
              <w:t xml:space="preserve"> </w:t>
            </w:r>
            <w:r>
              <w:t>fifty</w:t>
            </w:r>
            <w:r>
              <w:rPr>
                <w:spacing w:val="-13"/>
              </w:rPr>
              <w:t xml:space="preserve"> </w:t>
            </w:r>
            <w:r>
              <w:t>percent</w:t>
            </w:r>
            <w:r>
              <w:rPr>
                <w:spacing w:val="-13"/>
              </w:rPr>
              <w:t xml:space="preserve"> </w:t>
            </w:r>
            <w:r>
              <w:t xml:space="preserve">(50%) </w:t>
            </w:r>
            <w:r>
              <w:lastRenderedPageBreak/>
              <w:t>or greater of its contention strings produce a financial windfall from losing.]</w:t>
            </w:r>
          </w:p>
          <w:p w14:paraId="36A5116C" w14:textId="77777777" w:rsidR="00445850" w:rsidRDefault="00445850" w:rsidP="00403BAC">
            <w:pPr>
              <w:pStyle w:val="TableParagraph"/>
              <w:numPr>
                <w:ilvl w:val="1"/>
                <w:numId w:val="5"/>
              </w:numPr>
              <w:tabs>
                <w:tab w:val="left" w:pos="1577"/>
                <w:tab w:val="left" w:pos="1578"/>
              </w:tabs>
              <w:ind w:right="146"/>
            </w:pPr>
            <w:r>
              <w:t>[If</w:t>
            </w:r>
            <w:r>
              <w:rPr>
                <w:spacing w:val="-3"/>
              </w:rPr>
              <w:t xml:space="preserve"> </w:t>
            </w:r>
            <w:r>
              <w:t>an</w:t>
            </w:r>
            <w:r>
              <w:rPr>
                <w:spacing w:val="-3"/>
              </w:rPr>
              <w:t xml:space="preserve"> </w:t>
            </w:r>
            <w:r>
              <w:t>applicant</w:t>
            </w:r>
            <w:r>
              <w:rPr>
                <w:spacing w:val="-3"/>
              </w:rPr>
              <w:t xml:space="preserve"> </w:t>
            </w:r>
            <w:r>
              <w:t>receives financial proceeds from losing greater than 49% of its total number of contention set applications that are resolved</w:t>
            </w:r>
            <w:r>
              <w:rPr>
                <w:spacing w:val="-14"/>
              </w:rPr>
              <w:t xml:space="preserve"> </w:t>
            </w:r>
            <w:r>
              <w:t>through</w:t>
            </w:r>
            <w:r>
              <w:rPr>
                <w:spacing w:val="-14"/>
              </w:rPr>
              <w:t xml:space="preserve"> </w:t>
            </w:r>
            <w:r>
              <w:t xml:space="preserve">private </w:t>
            </w:r>
            <w:r>
              <w:rPr>
                <w:spacing w:val="-2"/>
              </w:rPr>
              <w:t>auctions.]</w:t>
            </w:r>
          </w:p>
          <w:p w14:paraId="759A322D" w14:textId="77777777" w:rsidR="00445850" w:rsidRDefault="00445850" w:rsidP="00403BAC">
            <w:pPr>
              <w:pStyle w:val="TableParagraph"/>
              <w:numPr>
                <w:ilvl w:val="1"/>
                <w:numId w:val="5"/>
              </w:numPr>
              <w:tabs>
                <w:tab w:val="left" w:pos="1577"/>
                <w:tab w:val="left" w:pos="1578"/>
              </w:tabs>
              <w:ind w:right="176"/>
            </w:pPr>
            <w:r>
              <w:t>[If an applicant: a. Has six</w:t>
            </w:r>
            <w:r>
              <w:rPr>
                <w:spacing w:val="-13"/>
              </w:rPr>
              <w:t xml:space="preserve"> </w:t>
            </w:r>
            <w:r>
              <w:t>or</w:t>
            </w:r>
            <w:r>
              <w:rPr>
                <w:spacing w:val="-13"/>
              </w:rPr>
              <w:t xml:space="preserve"> </w:t>
            </w:r>
            <w:r>
              <w:t>more</w:t>
            </w:r>
            <w:r>
              <w:rPr>
                <w:spacing w:val="-13"/>
              </w:rPr>
              <w:t xml:space="preserve"> </w:t>
            </w:r>
            <w:r>
              <w:t>applications in contention sets; and</w:t>
            </w:r>
          </w:p>
          <w:p w14:paraId="1F878B7B" w14:textId="77777777" w:rsidR="00543212" w:rsidRDefault="00445850" w:rsidP="00543212">
            <w:pPr>
              <w:pStyle w:val="TableParagraph"/>
              <w:spacing w:before="140"/>
              <w:ind w:left="1577"/>
            </w:pPr>
            <w:r>
              <w:t>b. 50% or more of the contention sets are resolved in private auctions;</w:t>
            </w:r>
            <w:r>
              <w:rPr>
                <w:spacing w:val="-10"/>
              </w:rPr>
              <w:t xml:space="preserve"> </w:t>
            </w:r>
            <w:r>
              <w:t>and</w:t>
            </w:r>
            <w:r>
              <w:rPr>
                <w:spacing w:val="-10"/>
              </w:rPr>
              <w:t xml:space="preserve"> </w:t>
            </w:r>
            <w:r>
              <w:t>c.</w:t>
            </w:r>
            <w:r>
              <w:rPr>
                <w:spacing w:val="-10"/>
              </w:rPr>
              <w:t xml:space="preserve"> </w:t>
            </w:r>
            <w:r>
              <w:t>50%</w:t>
            </w:r>
            <w:r>
              <w:rPr>
                <w:spacing w:val="-10"/>
              </w:rPr>
              <w:t xml:space="preserve"> </w:t>
            </w:r>
            <w:r>
              <w:t>or more of the private auctions produce a</w:t>
            </w:r>
            <w:r w:rsidR="008C775F">
              <w:t xml:space="preserve"> </w:t>
            </w:r>
            <w:r w:rsidR="00543212">
              <w:t>financial</w:t>
            </w:r>
            <w:r w:rsidR="00543212">
              <w:rPr>
                <w:spacing w:val="-13"/>
              </w:rPr>
              <w:t xml:space="preserve"> </w:t>
            </w:r>
            <w:r w:rsidR="00543212">
              <w:t>windfall</w:t>
            </w:r>
            <w:r w:rsidR="00543212">
              <w:rPr>
                <w:spacing w:val="-13"/>
              </w:rPr>
              <w:t xml:space="preserve"> </w:t>
            </w:r>
            <w:r w:rsidR="00543212">
              <w:t>to</w:t>
            </w:r>
            <w:r w:rsidR="00543212">
              <w:rPr>
                <w:spacing w:val="-13"/>
              </w:rPr>
              <w:t xml:space="preserve"> </w:t>
            </w:r>
            <w:r w:rsidR="00543212">
              <w:t xml:space="preserve">the </w:t>
            </w:r>
            <w:r w:rsidR="00543212">
              <w:rPr>
                <w:spacing w:val="-2"/>
              </w:rPr>
              <w:t>applicant.]</w:t>
            </w:r>
          </w:p>
          <w:p w14:paraId="0F1BFFCE" w14:textId="77777777" w:rsidR="001947BE" w:rsidRDefault="00543212" w:rsidP="00403BAC">
            <w:pPr>
              <w:pStyle w:val="ListParagraph"/>
              <w:numPr>
                <w:ilvl w:val="0"/>
                <w:numId w:val="5"/>
              </w:numPr>
              <w:tabs>
                <w:tab w:val="left" w:pos="2040"/>
              </w:tabs>
            </w:pPr>
            <w:r>
              <w:t>[If an applicant applies for 5 or more strings</w:t>
            </w:r>
            <w:r>
              <w:rPr>
                <w:spacing w:val="40"/>
              </w:rPr>
              <w:t xml:space="preserve"> </w:t>
            </w:r>
            <w:r>
              <w:t>that are within contention sets and participated in 3 private auctions for which the applicant is the losing bidder and receives proceeds from the successful bidder it MUST send to the evaluators a detailed reconciliation statement of its auction fund receipts</w:t>
            </w:r>
            <w:r>
              <w:rPr>
                <w:spacing w:val="-8"/>
              </w:rPr>
              <w:t xml:space="preserve"> </w:t>
            </w:r>
            <w:r>
              <w:t>and</w:t>
            </w:r>
            <w:r>
              <w:rPr>
                <w:spacing w:val="-8"/>
              </w:rPr>
              <w:t xml:space="preserve"> </w:t>
            </w:r>
            <w:r>
              <w:t xml:space="preserve">expenditure immediately </w:t>
            </w:r>
            <w:r>
              <w:lastRenderedPageBreak/>
              <w:t>on completion of its final contention set resolution. In addition this</w:t>
            </w:r>
            <w:r>
              <w:rPr>
                <w:spacing w:val="-10"/>
              </w:rPr>
              <w:t xml:space="preserve"> </w:t>
            </w:r>
            <w:r>
              <w:t>may</w:t>
            </w:r>
            <w:r>
              <w:rPr>
                <w:spacing w:val="-10"/>
              </w:rPr>
              <w:t xml:space="preserve"> </w:t>
            </w:r>
            <w:r>
              <w:t>be</w:t>
            </w:r>
            <w:r>
              <w:rPr>
                <w:spacing w:val="-10"/>
              </w:rPr>
              <w:t xml:space="preserve"> </w:t>
            </w:r>
            <w:r>
              <w:t>considered</w:t>
            </w:r>
            <w:r>
              <w:rPr>
                <w:spacing w:val="-10"/>
              </w:rPr>
              <w:t xml:space="preserve"> </w:t>
            </w:r>
            <w:r>
              <w:t>a factor by the evaluators and ICANN in determining lack of</w:t>
            </w:r>
            <w:r>
              <w:rPr>
                <w:spacing w:val="40"/>
              </w:rPr>
              <w:t xml:space="preserve"> </w:t>
            </w:r>
            <w:r>
              <w:t>bona fide intention to operate</w:t>
            </w:r>
            <w:r>
              <w:rPr>
                <w:spacing w:val="-4"/>
              </w:rPr>
              <w:t xml:space="preserve"> </w:t>
            </w:r>
            <w:r>
              <w:t>the</w:t>
            </w:r>
            <w:r>
              <w:rPr>
                <w:spacing w:val="-4"/>
              </w:rPr>
              <w:t xml:space="preserve"> </w:t>
            </w:r>
            <w:r>
              <w:t>gTLD</w:t>
            </w:r>
            <w:r>
              <w:rPr>
                <w:spacing w:val="-4"/>
              </w:rPr>
              <w:t xml:space="preserve"> </w:t>
            </w:r>
            <w:r>
              <w:t>for</w:t>
            </w:r>
            <w:r>
              <w:rPr>
                <w:spacing w:val="-4"/>
              </w:rPr>
              <w:t xml:space="preserve"> </w:t>
            </w:r>
            <w:r>
              <w:t>all of</w:t>
            </w:r>
            <w:r>
              <w:rPr>
                <w:spacing w:val="-7"/>
              </w:rPr>
              <w:t xml:space="preserve"> </w:t>
            </w:r>
            <w:r>
              <w:t>its</w:t>
            </w:r>
            <w:r>
              <w:rPr>
                <w:spacing w:val="-7"/>
              </w:rPr>
              <w:t xml:space="preserve"> </w:t>
            </w:r>
            <w:r>
              <w:t>applications</w:t>
            </w:r>
            <w:r>
              <w:rPr>
                <w:spacing w:val="-7"/>
              </w:rPr>
              <w:t xml:space="preserve"> </w:t>
            </w:r>
            <w:r>
              <w:t>and</w:t>
            </w:r>
            <w:r>
              <w:rPr>
                <w:spacing w:val="-7"/>
              </w:rPr>
              <w:t xml:space="preserve"> </w:t>
            </w:r>
            <w:r>
              <w:t>in doing so might stop all its applications from continuing to delegation</w:t>
            </w:r>
          </w:p>
          <w:p w14:paraId="40314007" w14:textId="77777777" w:rsidR="00403BAC" w:rsidRDefault="00403BAC" w:rsidP="00403BAC">
            <w:pPr>
              <w:pStyle w:val="TableParagraph"/>
              <w:numPr>
                <w:ilvl w:val="0"/>
                <w:numId w:val="5"/>
              </w:numPr>
              <w:tabs>
                <w:tab w:val="left" w:pos="857"/>
                <w:tab w:val="left" w:pos="858"/>
              </w:tabs>
              <w:spacing w:before="140"/>
              <w:ind w:right="164"/>
            </w:pPr>
            <w:r>
              <w:t>If an applicant’s string is not delegated into the root within two (2) years of the Effective Date</w:t>
            </w:r>
            <w:r>
              <w:rPr>
                <w:spacing w:val="-14"/>
              </w:rPr>
              <w:t xml:space="preserve"> </w:t>
            </w:r>
            <w:r>
              <w:t>of</w:t>
            </w:r>
            <w:r>
              <w:rPr>
                <w:spacing w:val="-14"/>
              </w:rPr>
              <w:t xml:space="preserve"> </w:t>
            </w:r>
            <w:r>
              <w:t>the</w:t>
            </w:r>
            <w:r>
              <w:rPr>
                <w:spacing w:val="-10"/>
              </w:rPr>
              <w:t xml:space="preserve"> </w:t>
            </w:r>
            <w:r>
              <w:t>Registry</w:t>
            </w:r>
            <w:r>
              <w:rPr>
                <w:spacing w:val="-14"/>
              </w:rPr>
              <w:t xml:space="preserve"> </w:t>
            </w:r>
            <w:r>
              <w:t>Agreement, this may be a factor considered by ICANN in determining lack of</w:t>
            </w:r>
            <w:r>
              <w:rPr>
                <w:spacing w:val="-3"/>
              </w:rPr>
              <w:t xml:space="preserve"> </w:t>
            </w:r>
            <w:r>
              <w:t>bona</w:t>
            </w:r>
            <w:r>
              <w:rPr>
                <w:spacing w:val="-3"/>
              </w:rPr>
              <w:t xml:space="preserve"> </w:t>
            </w:r>
            <w:r>
              <w:t>fide</w:t>
            </w:r>
            <w:r>
              <w:rPr>
                <w:spacing w:val="-3"/>
              </w:rPr>
              <w:t xml:space="preserve"> </w:t>
            </w:r>
            <w:r>
              <w:t>intention</w:t>
            </w:r>
            <w:r>
              <w:rPr>
                <w:spacing w:val="-3"/>
              </w:rPr>
              <w:t xml:space="preserve"> </w:t>
            </w:r>
            <w:r>
              <w:t>to</w:t>
            </w:r>
            <w:r>
              <w:rPr>
                <w:spacing w:val="-3"/>
              </w:rPr>
              <w:t xml:space="preserve"> </w:t>
            </w:r>
            <w:r>
              <w:t>operate the gTLD for that applicant.</w:t>
            </w:r>
          </w:p>
          <w:p w14:paraId="00D89F0E" w14:textId="1BD06E1E" w:rsidR="00403BAC" w:rsidRDefault="00403BAC" w:rsidP="00403BAC">
            <w:pPr>
              <w:pStyle w:val="TableParagraph"/>
              <w:numPr>
                <w:ilvl w:val="0"/>
                <w:numId w:val="5"/>
              </w:numPr>
              <w:tabs>
                <w:tab w:val="left" w:pos="857"/>
                <w:tab w:val="left" w:pos="858"/>
              </w:tabs>
              <w:ind w:right="390"/>
            </w:pPr>
            <w:r>
              <w:t>If an applicant is awarded a top-level</w:t>
            </w:r>
            <w:r>
              <w:rPr>
                <w:spacing w:val="-10"/>
              </w:rPr>
              <w:t xml:space="preserve"> </w:t>
            </w:r>
            <w:r>
              <w:t>domain</w:t>
            </w:r>
            <w:r>
              <w:rPr>
                <w:spacing w:val="-10"/>
              </w:rPr>
              <w:t xml:space="preserve"> </w:t>
            </w:r>
            <w:r>
              <w:t>and</w:t>
            </w:r>
            <w:r>
              <w:rPr>
                <w:spacing w:val="-10"/>
              </w:rPr>
              <w:t xml:space="preserve"> </w:t>
            </w:r>
            <w:r>
              <w:t>[sells</w:t>
            </w:r>
            <w:r>
              <w:rPr>
                <w:spacing w:val="-10"/>
              </w:rPr>
              <w:t xml:space="preserve"> </w:t>
            </w:r>
            <w:r>
              <w:t>or assigns] [attempts to sell] theTLD</w:t>
            </w:r>
            <w:r w:rsidRPr="00403BAC">
              <w:rPr>
                <w:spacing w:val="-8"/>
              </w:rPr>
              <w:t xml:space="preserve"> </w:t>
            </w:r>
            <w:r>
              <w:t>(separate</w:t>
            </w:r>
            <w:r w:rsidRPr="00403BAC">
              <w:rPr>
                <w:spacing w:val="-8"/>
              </w:rPr>
              <w:t xml:space="preserve"> </w:t>
            </w:r>
            <w:r>
              <w:t>and</w:t>
            </w:r>
            <w:r w:rsidRPr="00403BAC">
              <w:rPr>
                <w:spacing w:val="-8"/>
              </w:rPr>
              <w:t xml:space="preserve"> </w:t>
            </w:r>
            <w:r>
              <w:t>apart</w:t>
            </w:r>
            <w:r w:rsidRPr="00403BAC">
              <w:rPr>
                <w:spacing w:val="-8"/>
              </w:rPr>
              <w:t xml:space="preserve"> </w:t>
            </w:r>
            <w:r>
              <w:t>from</w:t>
            </w:r>
            <w:r w:rsidRPr="00403BAC">
              <w:rPr>
                <w:spacing w:val="-8"/>
              </w:rPr>
              <w:t xml:space="preserve"> </w:t>
            </w:r>
            <w:r>
              <w:t>a sale</w:t>
            </w:r>
            <w:r w:rsidRPr="00403BAC">
              <w:rPr>
                <w:spacing w:val="-6"/>
              </w:rPr>
              <w:t xml:space="preserve"> </w:t>
            </w:r>
            <w:r>
              <w:t>of</w:t>
            </w:r>
            <w:r w:rsidRPr="00403BAC">
              <w:rPr>
                <w:spacing w:val="-6"/>
              </w:rPr>
              <w:t xml:space="preserve"> </w:t>
            </w:r>
            <w:r>
              <w:t>all</w:t>
            </w:r>
            <w:r w:rsidRPr="00403BAC">
              <w:rPr>
                <w:spacing w:val="-6"/>
              </w:rPr>
              <w:t xml:space="preserve"> </w:t>
            </w:r>
            <w:r>
              <w:t>or</w:t>
            </w:r>
            <w:r w:rsidRPr="00403BAC">
              <w:rPr>
                <w:spacing w:val="-6"/>
              </w:rPr>
              <w:t xml:space="preserve"> </w:t>
            </w:r>
            <w:r>
              <w:t>substantially</w:t>
            </w:r>
            <w:r w:rsidRPr="00403BAC">
              <w:rPr>
                <w:spacing w:val="-6"/>
              </w:rPr>
              <w:t xml:space="preserve"> </w:t>
            </w:r>
            <w:r>
              <w:t>all</w:t>
            </w:r>
            <w:r w:rsidRPr="00403BAC">
              <w:rPr>
                <w:spacing w:val="-6"/>
              </w:rPr>
              <w:t xml:space="preserve"> </w:t>
            </w:r>
            <w:r>
              <w:t>of its non-TLD related assets) within (1) year, this may be a factor</w:t>
            </w:r>
            <w:r w:rsidRPr="00403BAC">
              <w:rPr>
                <w:spacing w:val="-9"/>
              </w:rPr>
              <w:t xml:space="preserve"> </w:t>
            </w:r>
            <w:r>
              <w:t>considered</w:t>
            </w:r>
            <w:r w:rsidRPr="00403BAC">
              <w:rPr>
                <w:spacing w:val="-9"/>
              </w:rPr>
              <w:t xml:space="preserve"> </w:t>
            </w:r>
            <w:r>
              <w:t>by</w:t>
            </w:r>
            <w:r w:rsidRPr="00403BAC">
              <w:rPr>
                <w:spacing w:val="-9"/>
              </w:rPr>
              <w:t xml:space="preserve"> </w:t>
            </w:r>
            <w:r>
              <w:t>ICANN</w:t>
            </w:r>
            <w:r w:rsidRPr="00403BAC">
              <w:rPr>
                <w:spacing w:val="-9"/>
              </w:rPr>
              <w:t xml:space="preserve"> </w:t>
            </w:r>
            <w:r>
              <w:t xml:space="preserve">in determining lack of </w:t>
            </w:r>
            <w:r>
              <w:lastRenderedPageBreak/>
              <w:t>bona fide intention to operate the gTLD for that applicant.</w:t>
            </w:r>
          </w:p>
          <w:p w14:paraId="115A9329" w14:textId="77777777" w:rsidR="00403BAC" w:rsidRDefault="00403BAC" w:rsidP="00403BAC">
            <w:pPr>
              <w:pStyle w:val="TableParagraph"/>
              <w:numPr>
                <w:ilvl w:val="0"/>
                <w:numId w:val="5"/>
              </w:numPr>
              <w:tabs>
                <w:tab w:val="left" w:pos="857"/>
                <w:tab w:val="left" w:pos="858"/>
              </w:tabs>
              <w:ind w:right="188"/>
            </w:pPr>
            <w:r>
              <w:t>[If an applicant with multiple applications</w:t>
            </w:r>
            <w:r>
              <w:rPr>
                <w:spacing w:val="-14"/>
              </w:rPr>
              <w:t xml:space="preserve"> </w:t>
            </w:r>
            <w:r>
              <w:t>resolves</w:t>
            </w:r>
            <w:r>
              <w:rPr>
                <w:spacing w:val="-14"/>
              </w:rPr>
              <w:t xml:space="preserve"> </w:t>
            </w:r>
            <w:r>
              <w:t>contention sets</w:t>
            </w:r>
            <w:r>
              <w:rPr>
                <w:spacing w:val="-8"/>
              </w:rPr>
              <w:t xml:space="preserve"> </w:t>
            </w:r>
            <w:r>
              <w:t>by</w:t>
            </w:r>
            <w:r>
              <w:rPr>
                <w:spacing w:val="-8"/>
              </w:rPr>
              <w:t xml:space="preserve"> </w:t>
            </w:r>
            <w:r>
              <w:t>means</w:t>
            </w:r>
            <w:r>
              <w:rPr>
                <w:spacing w:val="-8"/>
              </w:rPr>
              <w:t xml:space="preserve"> </w:t>
            </w:r>
            <w:r>
              <w:t>other</w:t>
            </w:r>
            <w:r>
              <w:rPr>
                <w:spacing w:val="-8"/>
              </w:rPr>
              <w:t xml:space="preserve"> </w:t>
            </w:r>
            <w:r>
              <w:t>than</w:t>
            </w:r>
            <w:r>
              <w:rPr>
                <w:spacing w:val="-8"/>
              </w:rPr>
              <w:t xml:space="preserve"> </w:t>
            </w:r>
            <w:r>
              <w:t xml:space="preserve">private auctions and does not win any </w:t>
            </w:r>
            <w:r>
              <w:rPr>
                <w:spacing w:val="-2"/>
              </w:rPr>
              <w:t>TLDs.]</w:t>
            </w:r>
          </w:p>
          <w:p w14:paraId="7B575087" w14:textId="77777777" w:rsidR="00F0008C" w:rsidRDefault="00F0008C" w:rsidP="00403BAC">
            <w:pPr>
              <w:tabs>
                <w:tab w:val="left" w:pos="2040"/>
              </w:tabs>
            </w:pPr>
          </w:p>
          <w:p w14:paraId="6DB0451B" w14:textId="745936D5" w:rsidR="00403BAC" w:rsidRDefault="00F0008C" w:rsidP="00403BAC">
            <w:pPr>
              <w:tabs>
                <w:tab w:val="left" w:pos="2040"/>
              </w:tabs>
            </w:pPr>
            <w:r>
              <w:t>Consideration of whether an application was</w:t>
            </w:r>
            <w:r>
              <w:rPr>
                <w:spacing w:val="-7"/>
              </w:rPr>
              <w:t xml:space="preserve"> </w:t>
            </w:r>
            <w:r>
              <w:t>submitted</w:t>
            </w:r>
            <w:r>
              <w:rPr>
                <w:spacing w:val="-7"/>
              </w:rPr>
              <w:t xml:space="preserve"> </w:t>
            </w:r>
            <w:r>
              <w:t>with</w:t>
            </w:r>
            <w:r>
              <w:rPr>
                <w:spacing w:val="-7"/>
              </w:rPr>
              <w:t xml:space="preserve"> </w:t>
            </w:r>
            <w:r>
              <w:t>a</w:t>
            </w:r>
            <w:r>
              <w:rPr>
                <w:spacing w:val="-7"/>
              </w:rPr>
              <w:t xml:space="preserve"> </w:t>
            </w:r>
            <w:r>
              <w:t>bona</w:t>
            </w:r>
            <w:r>
              <w:rPr>
                <w:spacing w:val="-7"/>
              </w:rPr>
              <w:t xml:space="preserve"> </w:t>
            </w:r>
            <w:r>
              <w:t>fide</w:t>
            </w:r>
            <w:r>
              <w:rPr>
                <w:spacing w:val="-7"/>
              </w:rPr>
              <w:t xml:space="preserve"> </w:t>
            </w:r>
            <w:r>
              <w:t>intention to</w:t>
            </w:r>
            <w:r>
              <w:rPr>
                <w:spacing w:val="-7"/>
              </w:rPr>
              <w:t xml:space="preserve"> </w:t>
            </w:r>
            <w:r>
              <w:t>operate</w:t>
            </w:r>
            <w:r>
              <w:rPr>
                <w:spacing w:val="-7"/>
              </w:rPr>
              <w:t xml:space="preserve"> </w:t>
            </w:r>
            <w:r>
              <w:t>the</w:t>
            </w:r>
            <w:r>
              <w:rPr>
                <w:spacing w:val="-7"/>
              </w:rPr>
              <w:t xml:space="preserve"> </w:t>
            </w:r>
            <w:r>
              <w:t>gTLD</w:t>
            </w:r>
            <w:r>
              <w:rPr>
                <w:spacing w:val="-7"/>
              </w:rPr>
              <w:t xml:space="preserve"> </w:t>
            </w:r>
            <w:r>
              <w:t>must</w:t>
            </w:r>
            <w:r>
              <w:rPr>
                <w:spacing w:val="-7"/>
              </w:rPr>
              <w:t xml:space="preserve"> </w:t>
            </w:r>
            <w:r>
              <w:t>be</w:t>
            </w:r>
            <w:r>
              <w:rPr>
                <w:spacing w:val="-7"/>
              </w:rPr>
              <w:t xml:space="preserve"> </w:t>
            </w:r>
            <w:r>
              <w:t>determined by considering all of the facts and circumstances</w:t>
            </w:r>
            <w:r>
              <w:rPr>
                <w:spacing w:val="-3"/>
              </w:rPr>
              <w:t xml:space="preserve"> </w:t>
            </w:r>
            <w:r>
              <w:t>surrounding</w:t>
            </w:r>
            <w:r>
              <w:rPr>
                <w:spacing w:val="-3"/>
              </w:rPr>
              <w:t xml:space="preserve"> </w:t>
            </w:r>
            <w:r>
              <w:t>the</w:t>
            </w:r>
            <w:r>
              <w:rPr>
                <w:spacing w:val="-3"/>
              </w:rPr>
              <w:t xml:space="preserve"> </w:t>
            </w:r>
            <w:r>
              <w:t>impacted application</w:t>
            </w:r>
          </w:p>
        </w:tc>
        <w:tc>
          <w:tcPr>
            <w:tcW w:w="4317" w:type="dxa"/>
          </w:tcPr>
          <w:p w14:paraId="1E57FCDE" w14:textId="42F3FB1C" w:rsidR="001947BE" w:rsidRDefault="002D2067" w:rsidP="001947BE">
            <w:r>
              <w:lastRenderedPageBreak/>
              <w:t>The Board is concerned that this recommendation contains</w:t>
            </w:r>
            <w:r>
              <w:rPr>
                <w:spacing w:val="-6"/>
              </w:rPr>
              <w:t xml:space="preserve"> </w:t>
            </w:r>
            <w:r>
              <w:t>a</w:t>
            </w:r>
            <w:r>
              <w:rPr>
                <w:spacing w:val="-6"/>
              </w:rPr>
              <w:t xml:space="preserve"> </w:t>
            </w:r>
            <w:r>
              <w:t>reference</w:t>
            </w:r>
            <w:r>
              <w:rPr>
                <w:spacing w:val="-6"/>
              </w:rPr>
              <w:t xml:space="preserve"> </w:t>
            </w:r>
            <w:r>
              <w:t>to</w:t>
            </w:r>
            <w:r>
              <w:rPr>
                <w:spacing w:val="40"/>
              </w:rPr>
              <w:t xml:space="preserve"> </w:t>
            </w:r>
            <w:r>
              <w:t>private</w:t>
            </w:r>
            <w:r>
              <w:rPr>
                <w:spacing w:val="-6"/>
              </w:rPr>
              <w:t xml:space="preserve"> </w:t>
            </w:r>
            <w:r>
              <w:t>auctions.</w:t>
            </w:r>
            <w:r>
              <w:rPr>
                <w:spacing w:val="-6"/>
              </w:rPr>
              <w:t xml:space="preserve"> </w:t>
            </w:r>
            <w:r>
              <w:t>Since</w:t>
            </w:r>
            <w:r>
              <w:rPr>
                <w:spacing w:val="-6"/>
              </w:rPr>
              <w:t xml:space="preserve"> </w:t>
            </w:r>
            <w:r>
              <w:t>there is no policy on private auction, this reference may create confusion during implementation and operationalization of the program.</w:t>
            </w:r>
          </w:p>
        </w:tc>
        <w:tc>
          <w:tcPr>
            <w:tcW w:w="4317" w:type="dxa"/>
          </w:tcPr>
          <w:p w14:paraId="71D9AE5C" w14:textId="77777777" w:rsidR="001947BE" w:rsidRDefault="0033569D" w:rsidP="001947BE">
            <w:pPr>
              <w:rPr>
                <w:color w:val="0070C0"/>
              </w:rPr>
            </w:pPr>
            <w:r>
              <w:rPr>
                <w:color w:val="0070C0"/>
              </w:rPr>
              <w:t>This recommendation discusses Private Auctions (but does not endorse private auctions) because the PDP Working Group operated under the assumption that if there was no consensus to change a part of the 2012 New gTLD Program, the status quo would govern (meaning that because private auctions were allowed in 2012, and there was no consensus to disallow them, the status quo would mean that there would be private auctions).</w:t>
            </w:r>
          </w:p>
          <w:p w14:paraId="573E0415" w14:textId="77777777" w:rsidR="0033569D" w:rsidRDefault="0033569D" w:rsidP="001947BE">
            <w:pPr>
              <w:rPr>
                <w:color w:val="0070C0"/>
              </w:rPr>
            </w:pPr>
          </w:p>
          <w:p w14:paraId="047970AF" w14:textId="77777777" w:rsidR="0033569D" w:rsidRDefault="0033569D" w:rsidP="001947BE">
            <w:pPr>
              <w:rPr>
                <w:color w:val="0070C0"/>
              </w:rPr>
            </w:pPr>
            <w:r>
              <w:rPr>
                <w:color w:val="0070C0"/>
              </w:rPr>
              <w:t xml:space="preserve">However, if there are no private auctions allowed, the recommendation </w:t>
            </w:r>
            <w:r w:rsidR="00BB1D33">
              <w:rPr>
                <w:color w:val="0070C0"/>
              </w:rPr>
              <w:t>would still apply in part (namely, having to apply for a TLD with a good faith intention to operate the TLD).</w:t>
            </w:r>
          </w:p>
          <w:p w14:paraId="7CD6B175" w14:textId="77777777" w:rsidR="00BB1D33" w:rsidRDefault="00BB1D33" w:rsidP="001947BE">
            <w:pPr>
              <w:rPr>
                <w:color w:val="0070C0"/>
              </w:rPr>
            </w:pPr>
          </w:p>
          <w:p w14:paraId="308CA565" w14:textId="43181C51" w:rsidR="001947BE" w:rsidRPr="0033569D" w:rsidRDefault="00BB1D33" w:rsidP="001947BE">
            <w:pPr>
              <w:rPr>
                <w:color w:val="0070C0"/>
              </w:rPr>
            </w:pPr>
            <w:r>
              <w:rPr>
                <w:color w:val="0070C0"/>
              </w:rPr>
              <w:t>There may be aspects that are no longer applicable, but that can easily be worked out once the Board decides whether there will or will not be private auctions.</w:t>
            </w:r>
          </w:p>
        </w:tc>
      </w:tr>
      <w:tr w:rsidR="001947BE" w14:paraId="54171AEF" w14:textId="77777777" w:rsidTr="0018724A">
        <w:trPr>
          <w:tblHeader/>
        </w:trPr>
        <w:tc>
          <w:tcPr>
            <w:tcW w:w="4316" w:type="dxa"/>
          </w:tcPr>
          <w:p w14:paraId="1F9C7C90" w14:textId="77777777" w:rsidR="00B6358A" w:rsidRDefault="00B6358A" w:rsidP="00B6358A">
            <w:pPr>
              <w:pStyle w:val="TableParagraph"/>
              <w:spacing w:before="140"/>
              <w:ind w:right="165"/>
            </w:pPr>
            <w:r>
              <w:rPr>
                <w:b/>
              </w:rPr>
              <w:lastRenderedPageBreak/>
              <w:t>Recommendation 35.5</w:t>
            </w:r>
            <w:r>
              <w:t>: Applicants resolving string contention must adhere to the Contention Resolution Transparency Requirements as detailed below. Applicants disclosing relevant information will be subject to the Protections</w:t>
            </w:r>
            <w:r>
              <w:rPr>
                <w:spacing w:val="-14"/>
              </w:rPr>
              <w:t xml:space="preserve"> </w:t>
            </w:r>
            <w:r>
              <w:t>for</w:t>
            </w:r>
            <w:r>
              <w:rPr>
                <w:spacing w:val="-14"/>
              </w:rPr>
              <w:t xml:space="preserve"> </w:t>
            </w:r>
            <w:r>
              <w:t>Disclosing</w:t>
            </w:r>
            <w:r>
              <w:rPr>
                <w:spacing w:val="-14"/>
              </w:rPr>
              <w:t xml:space="preserve"> </w:t>
            </w:r>
            <w:r>
              <w:t>Applicants</w:t>
            </w:r>
            <w:r>
              <w:rPr>
                <w:spacing w:val="-11"/>
              </w:rPr>
              <w:t xml:space="preserve"> </w:t>
            </w:r>
            <w:r>
              <w:t>as detailed below.</w:t>
            </w:r>
          </w:p>
          <w:p w14:paraId="51637116" w14:textId="77777777" w:rsidR="00B6358A" w:rsidRDefault="00B6358A" w:rsidP="00B6358A">
            <w:pPr>
              <w:pStyle w:val="TableParagraph"/>
              <w:ind w:left="0"/>
            </w:pPr>
          </w:p>
          <w:p w14:paraId="6EF62B7C" w14:textId="77777777" w:rsidR="00B6358A" w:rsidRDefault="00B6358A" w:rsidP="00B6358A">
            <w:pPr>
              <w:pStyle w:val="TableParagraph"/>
              <w:rPr>
                <w:b/>
              </w:rPr>
            </w:pPr>
            <w:r>
              <w:rPr>
                <w:b/>
                <w:spacing w:val="-2"/>
                <w:u w:val="single"/>
              </w:rPr>
              <w:t>Contention Resolution</w:t>
            </w:r>
            <w:r>
              <w:rPr>
                <w:b/>
                <w:spacing w:val="-3"/>
                <w:u w:val="single"/>
              </w:rPr>
              <w:t xml:space="preserve"> </w:t>
            </w:r>
            <w:r>
              <w:rPr>
                <w:b/>
                <w:spacing w:val="-2"/>
                <w:u w:val="single"/>
              </w:rPr>
              <w:t>Transparency</w:t>
            </w:r>
            <w:r>
              <w:rPr>
                <w:b/>
                <w:spacing w:val="-2"/>
              </w:rPr>
              <w:t xml:space="preserve"> </w:t>
            </w:r>
            <w:r>
              <w:rPr>
                <w:b/>
                <w:spacing w:val="-2"/>
                <w:u w:val="single"/>
              </w:rPr>
              <w:t>Requirements</w:t>
            </w:r>
          </w:p>
          <w:p w14:paraId="74EF33B9" w14:textId="77777777" w:rsidR="00B6358A" w:rsidRDefault="00B6358A" w:rsidP="00901A42">
            <w:pPr>
              <w:pStyle w:val="TableParagraph"/>
              <w:numPr>
                <w:ilvl w:val="0"/>
                <w:numId w:val="14"/>
              </w:numPr>
              <w:tabs>
                <w:tab w:val="left" w:pos="857"/>
                <w:tab w:val="left" w:pos="858"/>
              </w:tabs>
              <w:ind w:right="231"/>
            </w:pPr>
            <w:r>
              <w:rPr>
                <w:u w:val="thick"/>
              </w:rPr>
              <w:t>For Private</w:t>
            </w:r>
            <w:r>
              <w:rPr>
                <w:spacing w:val="-11"/>
                <w:u w:val="thick"/>
              </w:rPr>
              <w:t xml:space="preserve"> </w:t>
            </w:r>
            <w:r>
              <w:rPr>
                <w:u w:val="thick"/>
              </w:rPr>
              <w:t>Auction or Bidding</w:t>
            </w:r>
            <w:r>
              <w:t xml:space="preserve"> </w:t>
            </w:r>
            <w:r>
              <w:rPr>
                <w:u w:val="thick"/>
              </w:rPr>
              <w:t>Process / ICANN Auction of</w:t>
            </w:r>
            <w:r>
              <w:t xml:space="preserve"> </w:t>
            </w:r>
            <w:r>
              <w:rPr>
                <w:u w:val="thick"/>
              </w:rPr>
              <w:t>Last Resort</w:t>
            </w:r>
            <w:r>
              <w:t>: In the case of a private auction or an ICANN Auction of Last Resort, all parties in interest</w:t>
            </w:r>
            <w:r>
              <w:rPr>
                <w:vertAlign w:val="superscript"/>
              </w:rPr>
              <w:t>21</w:t>
            </w:r>
            <w:r>
              <w:t xml:space="preserve"> to any agreements relating to participation</w:t>
            </w:r>
            <w:r>
              <w:rPr>
                <w:spacing w:val="-4"/>
              </w:rPr>
              <w:t xml:space="preserve"> </w:t>
            </w:r>
            <w:r>
              <w:t>of</w:t>
            </w:r>
            <w:r>
              <w:rPr>
                <w:spacing w:val="-4"/>
              </w:rPr>
              <w:t xml:space="preserve"> </w:t>
            </w:r>
            <w:r>
              <w:t>the</w:t>
            </w:r>
            <w:r>
              <w:rPr>
                <w:spacing w:val="-4"/>
              </w:rPr>
              <w:t xml:space="preserve"> </w:t>
            </w:r>
            <w:r>
              <w:t>applicant</w:t>
            </w:r>
            <w:r>
              <w:rPr>
                <w:spacing w:val="-4"/>
              </w:rPr>
              <w:t xml:space="preserve"> </w:t>
            </w:r>
            <w:r>
              <w:t>in the private auction or ICANN Auction</w:t>
            </w:r>
            <w:r>
              <w:rPr>
                <w:spacing w:val="-2"/>
              </w:rPr>
              <w:t xml:space="preserve"> </w:t>
            </w:r>
            <w:r>
              <w:t>of</w:t>
            </w:r>
            <w:r>
              <w:rPr>
                <w:spacing w:val="-2"/>
              </w:rPr>
              <w:t xml:space="preserve"> </w:t>
            </w:r>
            <w:r>
              <w:t>Last</w:t>
            </w:r>
            <w:r>
              <w:rPr>
                <w:spacing w:val="-2"/>
              </w:rPr>
              <w:t xml:space="preserve"> </w:t>
            </w:r>
            <w:r>
              <w:t>Resort</w:t>
            </w:r>
            <w:r>
              <w:rPr>
                <w:spacing w:val="-2"/>
              </w:rPr>
              <w:t xml:space="preserve"> </w:t>
            </w:r>
            <w:r>
              <w:t>must</w:t>
            </w:r>
            <w:r>
              <w:rPr>
                <w:spacing w:val="-2"/>
              </w:rPr>
              <w:t xml:space="preserve"> </w:t>
            </w:r>
            <w:r>
              <w:t xml:space="preserve">be disclosed to ICANN </w:t>
            </w:r>
            <w:r>
              <w:lastRenderedPageBreak/>
              <w:t>within 72 hours</w:t>
            </w:r>
            <w:r>
              <w:rPr>
                <w:spacing w:val="-10"/>
              </w:rPr>
              <w:t xml:space="preserve"> </w:t>
            </w:r>
            <w:r>
              <w:t>of</w:t>
            </w:r>
            <w:r>
              <w:rPr>
                <w:spacing w:val="-10"/>
              </w:rPr>
              <w:t xml:space="preserve"> </w:t>
            </w:r>
            <w:r>
              <w:t>resolution</w:t>
            </w:r>
            <w:r>
              <w:rPr>
                <w:spacing w:val="-10"/>
              </w:rPr>
              <w:t xml:space="preserve"> </w:t>
            </w:r>
            <w:r>
              <w:t>and</w:t>
            </w:r>
            <w:r>
              <w:rPr>
                <w:spacing w:val="-10"/>
              </w:rPr>
              <w:t xml:space="preserve"> </w:t>
            </w:r>
            <w:r>
              <w:t>ICANN must, in turn, publish the same within</w:t>
            </w:r>
            <w:r>
              <w:rPr>
                <w:spacing w:val="-5"/>
              </w:rPr>
              <w:t xml:space="preserve"> </w:t>
            </w:r>
            <w:r>
              <w:t>72</w:t>
            </w:r>
            <w:r>
              <w:rPr>
                <w:spacing w:val="-5"/>
              </w:rPr>
              <w:t xml:space="preserve"> </w:t>
            </w:r>
            <w:r>
              <w:t>hours</w:t>
            </w:r>
            <w:r>
              <w:rPr>
                <w:spacing w:val="-5"/>
              </w:rPr>
              <w:t xml:space="preserve"> </w:t>
            </w:r>
            <w:r>
              <w:t>of</w:t>
            </w:r>
            <w:r>
              <w:rPr>
                <w:spacing w:val="-5"/>
              </w:rPr>
              <w:t xml:space="preserve"> </w:t>
            </w:r>
            <w:r>
              <w:t>receipt.</w:t>
            </w:r>
            <w:r>
              <w:rPr>
                <w:spacing w:val="-9"/>
              </w:rPr>
              <w:t xml:space="preserve"> </w:t>
            </w:r>
            <w:r>
              <w:t xml:space="preserve">This </w:t>
            </w:r>
            <w:r>
              <w:rPr>
                <w:spacing w:val="-2"/>
              </w:rPr>
              <w:t>includes:</w:t>
            </w:r>
          </w:p>
          <w:p w14:paraId="5C8EE819" w14:textId="77777777" w:rsidR="00306A1E" w:rsidRDefault="00B6358A" w:rsidP="00901A42">
            <w:pPr>
              <w:pStyle w:val="TableParagraph"/>
              <w:numPr>
                <w:ilvl w:val="1"/>
                <w:numId w:val="14"/>
              </w:numPr>
              <w:spacing w:before="140"/>
              <w:ind w:right="165"/>
            </w:pPr>
            <w:r>
              <w:t>A</w:t>
            </w:r>
            <w:r w:rsidRPr="008E690D">
              <w:rPr>
                <w:spacing w:val="-14"/>
              </w:rPr>
              <w:t xml:space="preserve"> </w:t>
            </w:r>
            <w:r>
              <w:t>list</w:t>
            </w:r>
            <w:r w:rsidRPr="008E690D">
              <w:rPr>
                <w:spacing w:val="-11"/>
              </w:rPr>
              <w:t xml:space="preserve"> </w:t>
            </w:r>
            <w:r>
              <w:t>of</w:t>
            </w:r>
            <w:r w:rsidRPr="008E690D">
              <w:rPr>
                <w:spacing w:val="-7"/>
              </w:rPr>
              <w:t xml:space="preserve"> </w:t>
            </w:r>
            <w:r>
              <w:t>the</w:t>
            </w:r>
            <w:r w:rsidRPr="008E690D">
              <w:rPr>
                <w:spacing w:val="-7"/>
              </w:rPr>
              <w:t xml:space="preserve"> </w:t>
            </w:r>
            <w:r>
              <w:t>real</w:t>
            </w:r>
            <w:r w:rsidRPr="008E690D">
              <w:rPr>
                <w:spacing w:val="-7"/>
              </w:rPr>
              <w:t xml:space="preserve"> </w:t>
            </w:r>
            <w:r>
              <w:t>party</w:t>
            </w:r>
            <w:r w:rsidRPr="008E690D">
              <w:rPr>
                <w:spacing w:val="-7"/>
              </w:rPr>
              <w:t xml:space="preserve"> </w:t>
            </w:r>
            <w:r>
              <w:t>or parties in interest in</w:t>
            </w:r>
            <w:r w:rsidRPr="008E690D">
              <w:rPr>
                <w:spacing w:val="40"/>
              </w:rPr>
              <w:t xml:space="preserve"> </w:t>
            </w:r>
            <w:r>
              <w:t xml:space="preserve">each applicant </w:t>
            </w:r>
            <w:proofErr w:type="spellStart"/>
            <w:r>
              <w:t>or</w:t>
            </w:r>
            <w:r w:rsidR="00306A1E">
              <w:t>application</w:t>
            </w:r>
            <w:proofErr w:type="spellEnd"/>
            <w:r w:rsidR="00306A1E">
              <w:t>,</w:t>
            </w:r>
            <w:r w:rsidR="00306A1E">
              <w:rPr>
                <w:spacing w:val="-14"/>
              </w:rPr>
              <w:t xml:space="preserve"> </w:t>
            </w:r>
            <w:r w:rsidR="00306A1E">
              <w:t>including</w:t>
            </w:r>
            <w:r w:rsidR="00306A1E">
              <w:rPr>
                <w:spacing w:val="-14"/>
              </w:rPr>
              <w:t xml:space="preserve"> </w:t>
            </w:r>
            <w:r w:rsidR="00306A1E">
              <w:t>a complete disclosure of the identity and relationship of those persons or entities directly or indirectly owning or controlling (or both) the applicant;</w:t>
            </w:r>
          </w:p>
          <w:p w14:paraId="716ADE25" w14:textId="77777777" w:rsidR="00306A1E" w:rsidRDefault="00306A1E" w:rsidP="00901A42">
            <w:pPr>
              <w:pStyle w:val="TableParagraph"/>
              <w:numPr>
                <w:ilvl w:val="0"/>
                <w:numId w:val="14"/>
              </w:numPr>
              <w:tabs>
                <w:tab w:val="left" w:pos="1577"/>
                <w:tab w:val="left" w:pos="1578"/>
              </w:tabs>
              <w:ind w:right="134"/>
            </w:pPr>
            <w:r>
              <w:t>List the names and contact information</w:t>
            </w:r>
            <w:r>
              <w:rPr>
                <w:vertAlign w:val="superscript"/>
              </w:rPr>
              <w:t>22</w:t>
            </w:r>
            <w:r>
              <w:t xml:space="preserve"> of any party holding 15% or more direct or indirect ownership of each applicant or application, whether voting or nonvoting, including the specific amount</w:t>
            </w:r>
            <w:r>
              <w:rPr>
                <w:spacing w:val="-10"/>
              </w:rPr>
              <w:t xml:space="preserve"> </w:t>
            </w:r>
            <w:r>
              <w:t>of</w:t>
            </w:r>
            <w:r>
              <w:rPr>
                <w:spacing w:val="-10"/>
              </w:rPr>
              <w:t xml:space="preserve"> </w:t>
            </w:r>
            <w:r>
              <w:t>the</w:t>
            </w:r>
            <w:r>
              <w:rPr>
                <w:spacing w:val="-10"/>
              </w:rPr>
              <w:t xml:space="preserve"> </w:t>
            </w:r>
            <w:r>
              <w:t>interest</w:t>
            </w:r>
            <w:r>
              <w:rPr>
                <w:spacing w:val="-10"/>
              </w:rPr>
              <w:t xml:space="preserve"> </w:t>
            </w:r>
            <w:r>
              <w:t>or percentage held;</w:t>
            </w:r>
          </w:p>
          <w:p w14:paraId="2BD93431" w14:textId="77777777" w:rsidR="00306A1E" w:rsidRDefault="00306A1E" w:rsidP="00901A42">
            <w:pPr>
              <w:pStyle w:val="TableParagraph"/>
              <w:numPr>
                <w:ilvl w:val="0"/>
                <w:numId w:val="14"/>
              </w:numPr>
              <w:tabs>
                <w:tab w:val="left" w:pos="1577"/>
                <w:tab w:val="left" w:pos="1578"/>
              </w:tabs>
              <w:ind w:right="152"/>
            </w:pPr>
            <w:r>
              <w:t>List the names and contact</w:t>
            </w:r>
            <w:r>
              <w:rPr>
                <w:spacing w:val="-1"/>
              </w:rPr>
              <w:t xml:space="preserve"> </w:t>
            </w:r>
            <w:r>
              <w:t>information</w:t>
            </w:r>
            <w:r>
              <w:rPr>
                <w:vertAlign w:val="superscript"/>
              </w:rPr>
              <w:t>23</w:t>
            </w:r>
            <w:r>
              <w:rPr>
                <w:spacing w:val="-1"/>
              </w:rPr>
              <w:t xml:space="preserve"> </w:t>
            </w:r>
            <w:r>
              <w:t>of all officers, directors, and other controlling interests</w:t>
            </w:r>
            <w:r>
              <w:rPr>
                <w:spacing w:val="-13"/>
              </w:rPr>
              <w:t xml:space="preserve"> </w:t>
            </w:r>
            <w:r>
              <w:t>in</w:t>
            </w:r>
            <w:r>
              <w:rPr>
                <w:spacing w:val="-13"/>
              </w:rPr>
              <w:t xml:space="preserve"> </w:t>
            </w:r>
            <w:r>
              <w:t>the</w:t>
            </w:r>
            <w:r>
              <w:rPr>
                <w:spacing w:val="-13"/>
              </w:rPr>
              <w:t xml:space="preserve"> </w:t>
            </w:r>
            <w:r>
              <w:t>applicant and/or the application;</w:t>
            </w:r>
          </w:p>
          <w:p w14:paraId="46B4144A" w14:textId="77777777" w:rsidR="00306A1E" w:rsidRDefault="00306A1E" w:rsidP="00901A42">
            <w:pPr>
              <w:pStyle w:val="TableParagraph"/>
              <w:numPr>
                <w:ilvl w:val="0"/>
                <w:numId w:val="14"/>
              </w:numPr>
              <w:tabs>
                <w:tab w:val="left" w:pos="1577"/>
                <w:tab w:val="left" w:pos="1578"/>
              </w:tabs>
              <w:ind w:right="274"/>
            </w:pPr>
            <w:r>
              <w:t>The amount paid (or payable)</w:t>
            </w:r>
            <w:r>
              <w:rPr>
                <w:spacing w:val="-13"/>
              </w:rPr>
              <w:t xml:space="preserve"> </w:t>
            </w:r>
            <w:r>
              <w:t>by</w:t>
            </w:r>
            <w:r>
              <w:rPr>
                <w:spacing w:val="-13"/>
              </w:rPr>
              <w:t xml:space="preserve"> </w:t>
            </w:r>
            <w:r>
              <w:t>the</w:t>
            </w:r>
            <w:r>
              <w:rPr>
                <w:spacing w:val="-13"/>
              </w:rPr>
              <w:t xml:space="preserve"> </w:t>
            </w:r>
            <w:r>
              <w:t>winner of the auction;</w:t>
            </w:r>
          </w:p>
          <w:p w14:paraId="6FB26793" w14:textId="31CFF337" w:rsidR="00675D08" w:rsidRDefault="00306A1E" w:rsidP="00675D08">
            <w:pPr>
              <w:pStyle w:val="TableParagraph"/>
              <w:spacing w:before="140"/>
              <w:ind w:left="1577"/>
            </w:pPr>
            <w:r>
              <w:t>The</w:t>
            </w:r>
            <w:r>
              <w:rPr>
                <w:spacing w:val="-14"/>
              </w:rPr>
              <w:t xml:space="preserve"> </w:t>
            </w:r>
            <w:r>
              <w:t>beneficiary(</w:t>
            </w:r>
            <w:proofErr w:type="spellStart"/>
            <w:r>
              <w:t>ies</w:t>
            </w:r>
            <w:proofErr w:type="spellEnd"/>
            <w:r>
              <w:t>)</w:t>
            </w:r>
            <w:r>
              <w:rPr>
                <w:spacing w:val="-14"/>
              </w:rPr>
              <w:t xml:space="preserve"> </w:t>
            </w:r>
            <w:r>
              <w:t>of the proceeds of the</w:t>
            </w:r>
            <w:r w:rsidR="00675D08">
              <w:t xml:space="preserve">  bidding</w:t>
            </w:r>
            <w:r w:rsidR="00675D08">
              <w:rPr>
                <w:spacing w:val="-13"/>
              </w:rPr>
              <w:t xml:space="preserve"> </w:t>
            </w:r>
            <w:r w:rsidR="00675D08">
              <w:t>process</w:t>
            </w:r>
            <w:r w:rsidR="00675D08">
              <w:rPr>
                <w:spacing w:val="-13"/>
              </w:rPr>
              <w:t xml:space="preserve"> </w:t>
            </w:r>
            <w:r w:rsidR="00675D08">
              <w:t>and</w:t>
            </w:r>
            <w:r w:rsidR="00675D08">
              <w:rPr>
                <w:spacing w:val="-13"/>
              </w:rPr>
              <w:t xml:space="preserve"> </w:t>
            </w:r>
            <w:r w:rsidR="00675D08">
              <w:t xml:space="preserve">the respective distribution </w:t>
            </w:r>
            <w:r w:rsidR="00675D08">
              <w:rPr>
                <w:spacing w:val="-2"/>
              </w:rPr>
              <w:t>amounts;</w:t>
            </w:r>
          </w:p>
          <w:p w14:paraId="2A3C73F4" w14:textId="77777777" w:rsidR="00675D08" w:rsidRDefault="00675D08" w:rsidP="00901A42">
            <w:pPr>
              <w:pStyle w:val="TableParagraph"/>
              <w:numPr>
                <w:ilvl w:val="0"/>
                <w:numId w:val="14"/>
              </w:numPr>
              <w:tabs>
                <w:tab w:val="left" w:pos="1577"/>
                <w:tab w:val="left" w:pos="1578"/>
              </w:tabs>
              <w:ind w:right="281"/>
            </w:pPr>
            <w:r>
              <w:t>The</w:t>
            </w:r>
            <w:r>
              <w:rPr>
                <w:spacing w:val="-14"/>
              </w:rPr>
              <w:t xml:space="preserve"> </w:t>
            </w:r>
            <w:r>
              <w:t>beneficiary(</w:t>
            </w:r>
            <w:proofErr w:type="spellStart"/>
            <w:r>
              <w:t>ies</w:t>
            </w:r>
            <w:proofErr w:type="spellEnd"/>
            <w:r>
              <w:t>)</w:t>
            </w:r>
            <w:r>
              <w:rPr>
                <w:spacing w:val="-14"/>
              </w:rPr>
              <w:t xml:space="preserve"> </w:t>
            </w:r>
            <w:r>
              <w:t xml:space="preserve">of the proceeds of the bidding process; </w:t>
            </w:r>
            <w:r>
              <w:lastRenderedPageBreak/>
              <w:t>and</w:t>
            </w:r>
          </w:p>
          <w:p w14:paraId="6C3933BA" w14:textId="77777777" w:rsidR="00675D08" w:rsidRDefault="00675D08" w:rsidP="00901A42">
            <w:pPr>
              <w:pStyle w:val="TableParagraph"/>
              <w:numPr>
                <w:ilvl w:val="0"/>
                <w:numId w:val="14"/>
              </w:numPr>
              <w:tabs>
                <w:tab w:val="left" w:pos="1577"/>
                <w:tab w:val="left" w:pos="1578"/>
              </w:tabs>
              <w:ind w:right="677"/>
            </w:pPr>
            <w:r>
              <w:t>The value of the Applicant</w:t>
            </w:r>
            <w:r>
              <w:rPr>
                <w:spacing w:val="-14"/>
              </w:rPr>
              <w:t xml:space="preserve"> </w:t>
            </w:r>
            <w:r>
              <w:t xml:space="preserve">Support bidding credits or multiplier used, if </w:t>
            </w:r>
            <w:r>
              <w:rPr>
                <w:spacing w:val="-2"/>
              </w:rPr>
              <w:t>applicable.</w:t>
            </w:r>
            <w:r>
              <w:rPr>
                <w:spacing w:val="-2"/>
                <w:vertAlign w:val="superscript"/>
              </w:rPr>
              <w:t>24</w:t>
            </w:r>
          </w:p>
          <w:p w14:paraId="69824979" w14:textId="77777777" w:rsidR="00675D08" w:rsidRDefault="00675D08" w:rsidP="00901A42">
            <w:pPr>
              <w:pStyle w:val="TableParagraph"/>
              <w:numPr>
                <w:ilvl w:val="0"/>
                <w:numId w:val="14"/>
              </w:numPr>
              <w:tabs>
                <w:tab w:val="left" w:pos="857"/>
                <w:tab w:val="left" w:pos="858"/>
              </w:tabs>
              <w:ind w:right="182"/>
            </w:pPr>
            <w:r>
              <w:rPr>
                <w:u w:val="thick"/>
              </w:rPr>
              <w:t>For Other Forms of Private</w:t>
            </w:r>
            <w:r>
              <w:t xml:space="preserve"> </w:t>
            </w:r>
            <w:r>
              <w:rPr>
                <w:u w:val="thick"/>
              </w:rPr>
              <w:t>Resolution</w:t>
            </w:r>
            <w:r>
              <w:t>: Where contention sets are privately resolved through</w:t>
            </w:r>
            <w:r>
              <w:rPr>
                <w:spacing w:val="-10"/>
              </w:rPr>
              <w:t xml:space="preserve"> </w:t>
            </w:r>
            <w:r>
              <w:t>a</w:t>
            </w:r>
            <w:r>
              <w:rPr>
                <w:spacing w:val="-10"/>
              </w:rPr>
              <w:t xml:space="preserve"> </w:t>
            </w:r>
            <w:r>
              <w:t>mechanism</w:t>
            </w:r>
            <w:r>
              <w:rPr>
                <w:spacing w:val="-10"/>
              </w:rPr>
              <w:t xml:space="preserve"> </w:t>
            </w:r>
            <w:r>
              <w:t>other</w:t>
            </w:r>
            <w:r>
              <w:rPr>
                <w:spacing w:val="-10"/>
              </w:rPr>
              <w:t xml:space="preserve"> </w:t>
            </w:r>
            <w:r>
              <w:t>than a private auction, the following must be disclosed:</w:t>
            </w:r>
          </w:p>
          <w:p w14:paraId="46499E2B" w14:textId="77777777" w:rsidR="00675D08" w:rsidRDefault="00675D08" w:rsidP="00901A42">
            <w:pPr>
              <w:pStyle w:val="TableParagraph"/>
              <w:numPr>
                <w:ilvl w:val="1"/>
                <w:numId w:val="14"/>
              </w:numPr>
              <w:tabs>
                <w:tab w:val="left" w:pos="1577"/>
                <w:tab w:val="left" w:pos="1578"/>
              </w:tabs>
              <w:ind w:right="122"/>
            </w:pPr>
            <w:r>
              <w:t>The fact that the contention</w:t>
            </w:r>
            <w:r>
              <w:rPr>
                <w:spacing w:val="-10"/>
              </w:rPr>
              <w:t xml:space="preserve"> </w:t>
            </w:r>
            <w:r>
              <w:t>set</w:t>
            </w:r>
            <w:r>
              <w:rPr>
                <w:spacing w:val="-10"/>
              </w:rPr>
              <w:t xml:space="preserve"> </w:t>
            </w:r>
            <w:r>
              <w:t>(or</w:t>
            </w:r>
            <w:r>
              <w:rPr>
                <w:spacing w:val="-10"/>
              </w:rPr>
              <w:t xml:space="preserve"> </w:t>
            </w:r>
            <w:r>
              <w:t>part</w:t>
            </w:r>
            <w:r>
              <w:rPr>
                <w:spacing w:val="-10"/>
              </w:rPr>
              <w:t xml:space="preserve"> </w:t>
            </w:r>
            <w:r>
              <w:t>of a contention set), has been resolved privately (and the names of the parties involved);</w:t>
            </w:r>
          </w:p>
          <w:p w14:paraId="1145B117" w14:textId="77777777" w:rsidR="00675D08" w:rsidRDefault="00675D08" w:rsidP="00901A42">
            <w:pPr>
              <w:pStyle w:val="TableParagraph"/>
              <w:numPr>
                <w:ilvl w:val="1"/>
                <w:numId w:val="14"/>
              </w:numPr>
              <w:tabs>
                <w:tab w:val="left" w:pos="1577"/>
                <w:tab w:val="left" w:pos="1578"/>
              </w:tabs>
              <w:ind w:right="268"/>
            </w:pPr>
            <w:r>
              <w:t>Which</w:t>
            </w:r>
            <w:r>
              <w:rPr>
                <w:spacing w:val="-14"/>
              </w:rPr>
              <w:t xml:space="preserve"> </w:t>
            </w:r>
            <w:r>
              <w:t>applications</w:t>
            </w:r>
            <w:r>
              <w:rPr>
                <w:spacing w:val="-14"/>
              </w:rPr>
              <w:t xml:space="preserve"> </w:t>
            </w:r>
            <w:r>
              <w:t xml:space="preserve">are being withdrawn (if </w:t>
            </w:r>
            <w:r>
              <w:rPr>
                <w:spacing w:val="-2"/>
              </w:rPr>
              <w:t>applicable);</w:t>
            </w:r>
          </w:p>
          <w:p w14:paraId="41EC217C" w14:textId="77777777" w:rsidR="001947BE" w:rsidRPr="00901A42" w:rsidRDefault="00675D08" w:rsidP="00901A42">
            <w:pPr>
              <w:pStyle w:val="ListParagraph"/>
              <w:numPr>
                <w:ilvl w:val="1"/>
                <w:numId w:val="14"/>
              </w:numPr>
            </w:pPr>
            <w:r>
              <w:t>Which</w:t>
            </w:r>
            <w:r>
              <w:rPr>
                <w:spacing w:val="-14"/>
              </w:rPr>
              <w:t xml:space="preserve"> </w:t>
            </w:r>
            <w:r>
              <w:t>applications</w:t>
            </w:r>
            <w:r>
              <w:rPr>
                <w:spacing w:val="-14"/>
              </w:rPr>
              <w:t xml:space="preserve"> </w:t>
            </w:r>
            <w:r>
              <w:t xml:space="preserve">are being maintained (if </w:t>
            </w:r>
            <w:r>
              <w:rPr>
                <w:spacing w:val="-2"/>
              </w:rPr>
              <w:t>applicable);</w:t>
            </w:r>
          </w:p>
          <w:p w14:paraId="1ACD7960" w14:textId="77777777" w:rsidR="00901A42" w:rsidRDefault="00901A42" w:rsidP="00901A42">
            <w:pPr>
              <w:pStyle w:val="TableParagraph"/>
              <w:numPr>
                <w:ilvl w:val="0"/>
                <w:numId w:val="14"/>
              </w:numPr>
              <w:tabs>
                <w:tab w:val="left" w:pos="1577"/>
                <w:tab w:val="left" w:pos="1578"/>
              </w:tabs>
              <w:spacing w:before="140"/>
              <w:ind w:right="134"/>
            </w:pPr>
            <w:r>
              <w:t>If</w:t>
            </w:r>
            <w:r>
              <w:rPr>
                <w:spacing w:val="-2"/>
              </w:rPr>
              <w:t xml:space="preserve"> </w:t>
            </w:r>
            <w:r>
              <w:t>there</w:t>
            </w:r>
            <w:r>
              <w:rPr>
                <w:spacing w:val="-2"/>
              </w:rPr>
              <w:t xml:space="preserve"> </w:t>
            </w:r>
            <w:r>
              <w:t>will</w:t>
            </w:r>
            <w:r>
              <w:rPr>
                <w:spacing w:val="-2"/>
              </w:rPr>
              <w:t xml:space="preserve"> </w:t>
            </w:r>
            <w:r>
              <w:t>be</w:t>
            </w:r>
            <w:r>
              <w:rPr>
                <w:spacing w:val="-2"/>
              </w:rPr>
              <w:t xml:space="preserve"> </w:t>
            </w:r>
            <w:r>
              <w:t>a</w:t>
            </w:r>
            <w:r>
              <w:rPr>
                <w:spacing w:val="-2"/>
              </w:rPr>
              <w:t xml:space="preserve"> </w:t>
            </w:r>
            <w:r>
              <w:t>change in ownership of the applicant, or any changes to the officers, directors,</w:t>
            </w:r>
            <w:r>
              <w:rPr>
                <w:spacing w:val="-14"/>
              </w:rPr>
              <w:t xml:space="preserve"> </w:t>
            </w:r>
            <w:r>
              <w:t>key</w:t>
            </w:r>
            <w:r>
              <w:rPr>
                <w:spacing w:val="-14"/>
              </w:rPr>
              <w:t xml:space="preserve"> </w:t>
            </w:r>
            <w:r>
              <w:t xml:space="preserve">personnel, etc., along with the </w:t>
            </w:r>
            <w:r>
              <w:rPr>
                <w:spacing w:val="-2"/>
              </w:rPr>
              <w:t>corresponding information;</w:t>
            </w:r>
          </w:p>
          <w:p w14:paraId="57B61DDB" w14:textId="77777777" w:rsidR="00901A42" w:rsidRDefault="00901A42" w:rsidP="00901A42">
            <w:pPr>
              <w:pStyle w:val="TableParagraph"/>
              <w:numPr>
                <w:ilvl w:val="0"/>
                <w:numId w:val="14"/>
              </w:numPr>
              <w:tabs>
                <w:tab w:val="left" w:pos="1577"/>
                <w:tab w:val="left" w:pos="1578"/>
              </w:tabs>
              <w:ind w:right="123"/>
            </w:pPr>
            <w:r>
              <w:t>All</w:t>
            </w:r>
            <w:r>
              <w:rPr>
                <w:spacing w:val="-8"/>
              </w:rPr>
              <w:t xml:space="preserve"> </w:t>
            </w:r>
            <w:r>
              <w:t>material</w:t>
            </w:r>
            <w:r>
              <w:rPr>
                <w:spacing w:val="-8"/>
              </w:rPr>
              <w:t xml:space="preserve"> </w:t>
            </w:r>
            <w:r>
              <w:t>information regarding any changes</w:t>
            </w:r>
            <w:r>
              <w:rPr>
                <w:spacing w:val="40"/>
              </w:rPr>
              <w:t xml:space="preserve"> </w:t>
            </w:r>
            <w:r>
              <w:t>to</w:t>
            </w:r>
            <w:r>
              <w:rPr>
                <w:spacing w:val="-14"/>
              </w:rPr>
              <w:t xml:space="preserve"> </w:t>
            </w:r>
            <w:r>
              <w:t>information</w:t>
            </w:r>
            <w:r>
              <w:rPr>
                <w:spacing w:val="-14"/>
              </w:rPr>
              <w:t xml:space="preserve"> </w:t>
            </w:r>
            <w:r>
              <w:t>contained in the original application(s)(if any).</w:t>
            </w:r>
          </w:p>
          <w:p w14:paraId="00A44D6E" w14:textId="77777777" w:rsidR="00901A42" w:rsidRDefault="00901A42" w:rsidP="00901A42">
            <w:pPr>
              <w:pStyle w:val="TableParagraph"/>
              <w:ind w:left="0"/>
            </w:pPr>
          </w:p>
          <w:p w14:paraId="3A3B1388" w14:textId="77777777" w:rsidR="00901A42" w:rsidRDefault="00901A42" w:rsidP="00901A42">
            <w:pPr>
              <w:pStyle w:val="TableParagraph"/>
              <w:ind w:right="109"/>
            </w:pPr>
            <w:r>
              <w:t xml:space="preserve">In the event that any arrangements to resolve string contention results in any material changes to the surviving </w:t>
            </w:r>
            <w:r>
              <w:lastRenderedPageBreak/>
              <w:t>application, such changes must be submitted through the Application Change</w:t>
            </w:r>
            <w:r>
              <w:rPr>
                <w:spacing w:val="-10"/>
              </w:rPr>
              <w:t xml:space="preserve"> </w:t>
            </w:r>
            <w:r>
              <w:t>process</w:t>
            </w:r>
            <w:r>
              <w:rPr>
                <w:spacing w:val="-10"/>
              </w:rPr>
              <w:t xml:space="preserve"> </w:t>
            </w:r>
            <w:r>
              <w:t>set</w:t>
            </w:r>
            <w:r>
              <w:rPr>
                <w:spacing w:val="-10"/>
              </w:rPr>
              <w:t xml:space="preserve"> </w:t>
            </w:r>
            <w:r>
              <w:t>forth</w:t>
            </w:r>
            <w:r>
              <w:rPr>
                <w:spacing w:val="-10"/>
              </w:rPr>
              <w:t xml:space="preserve"> </w:t>
            </w:r>
            <w:r>
              <w:t>under</w:t>
            </w:r>
            <w:r>
              <w:rPr>
                <w:spacing w:val="-13"/>
              </w:rPr>
              <w:t xml:space="preserve"> </w:t>
            </w:r>
            <w:r>
              <w:t>Topic</w:t>
            </w:r>
            <w:r>
              <w:rPr>
                <w:spacing w:val="-10"/>
              </w:rPr>
              <w:t xml:space="preserve"> </w:t>
            </w:r>
            <w:r>
              <w:t>20: Application Change Requests.</w:t>
            </w:r>
          </w:p>
          <w:p w14:paraId="07692672" w14:textId="77777777" w:rsidR="00901A42" w:rsidRDefault="00901A42" w:rsidP="00901A42">
            <w:pPr>
              <w:pStyle w:val="TableParagraph"/>
              <w:ind w:left="0"/>
            </w:pPr>
          </w:p>
          <w:p w14:paraId="67F4A0C7" w14:textId="77777777" w:rsidR="00901A42" w:rsidRDefault="00901A42" w:rsidP="00901A42">
            <w:pPr>
              <w:pStyle w:val="TableParagraph"/>
              <w:rPr>
                <w:b/>
              </w:rPr>
            </w:pPr>
            <w:r>
              <w:rPr>
                <w:b/>
                <w:spacing w:val="-2"/>
                <w:u w:val="single"/>
              </w:rPr>
              <w:t>Protections</w:t>
            </w:r>
            <w:r>
              <w:rPr>
                <w:b/>
                <w:spacing w:val="7"/>
                <w:u w:val="single"/>
              </w:rPr>
              <w:t xml:space="preserve"> </w:t>
            </w:r>
            <w:r>
              <w:rPr>
                <w:b/>
                <w:spacing w:val="-2"/>
                <w:u w:val="single"/>
              </w:rPr>
              <w:t>for</w:t>
            </w:r>
            <w:r>
              <w:rPr>
                <w:b/>
                <w:spacing w:val="3"/>
                <w:u w:val="single"/>
              </w:rPr>
              <w:t xml:space="preserve"> </w:t>
            </w:r>
            <w:r>
              <w:rPr>
                <w:b/>
                <w:spacing w:val="-2"/>
                <w:u w:val="single"/>
              </w:rPr>
              <w:t>Disclosing</w:t>
            </w:r>
            <w:r>
              <w:rPr>
                <w:b/>
                <w:spacing w:val="-6"/>
                <w:u w:val="single"/>
              </w:rPr>
              <w:t xml:space="preserve"> </w:t>
            </w:r>
            <w:r>
              <w:rPr>
                <w:b/>
                <w:spacing w:val="-2"/>
                <w:u w:val="single"/>
              </w:rPr>
              <w:t>Applicants</w:t>
            </w:r>
          </w:p>
          <w:p w14:paraId="3591E834" w14:textId="7BDA802C" w:rsidR="005F2680" w:rsidRDefault="00901A42" w:rsidP="005F2680">
            <w:pPr>
              <w:pStyle w:val="TableParagraph"/>
              <w:numPr>
                <w:ilvl w:val="0"/>
                <w:numId w:val="18"/>
              </w:numPr>
              <w:spacing w:before="140"/>
              <w:ind w:right="255"/>
            </w:pPr>
            <w:r>
              <w:t>Except</w:t>
            </w:r>
            <w:r>
              <w:rPr>
                <w:spacing w:val="-8"/>
              </w:rPr>
              <w:t xml:space="preserve"> </w:t>
            </w:r>
            <w:r>
              <w:t>as</w:t>
            </w:r>
            <w:r>
              <w:rPr>
                <w:spacing w:val="-8"/>
              </w:rPr>
              <w:t xml:space="preserve"> </w:t>
            </w:r>
            <w:r>
              <w:t>otherwise</w:t>
            </w:r>
            <w:r>
              <w:rPr>
                <w:spacing w:val="-8"/>
              </w:rPr>
              <w:t xml:space="preserve"> </w:t>
            </w:r>
            <w:r>
              <w:t>set</w:t>
            </w:r>
            <w:r>
              <w:rPr>
                <w:spacing w:val="-8"/>
              </w:rPr>
              <w:t xml:space="preserve"> </w:t>
            </w:r>
            <w:r>
              <w:t>forth</w:t>
            </w:r>
            <w:r>
              <w:rPr>
                <w:spacing w:val="-8"/>
              </w:rPr>
              <w:t xml:space="preserve"> </w:t>
            </w:r>
            <w:r>
              <w:t>in the transparency requirements above, no participant in any private</w:t>
            </w:r>
            <w:r>
              <w:rPr>
                <w:spacing w:val="-1"/>
              </w:rPr>
              <w:t xml:space="preserve"> </w:t>
            </w:r>
            <w:r>
              <w:t>resolution</w:t>
            </w:r>
            <w:r>
              <w:rPr>
                <w:spacing w:val="-1"/>
              </w:rPr>
              <w:t xml:space="preserve"> </w:t>
            </w:r>
            <w:r>
              <w:t>process</w:t>
            </w:r>
            <w:r>
              <w:rPr>
                <w:spacing w:val="-1"/>
              </w:rPr>
              <w:t xml:space="preserve"> </w:t>
            </w:r>
            <w:r>
              <w:t>shall be required to disclose any proprietary</w:t>
            </w:r>
            <w:r>
              <w:rPr>
                <w:spacing w:val="-13"/>
              </w:rPr>
              <w:t xml:space="preserve"> </w:t>
            </w:r>
            <w:r>
              <w:t>information</w:t>
            </w:r>
            <w:r>
              <w:rPr>
                <w:spacing w:val="-13"/>
              </w:rPr>
              <w:t xml:space="preserve"> </w:t>
            </w:r>
            <w:r>
              <w:t>such</w:t>
            </w:r>
            <w:r>
              <w:rPr>
                <w:spacing w:val="-13"/>
              </w:rPr>
              <w:t xml:space="preserve"> </w:t>
            </w:r>
            <w:r>
              <w:t>as trade secrets, business plans,</w:t>
            </w:r>
            <w:r w:rsidR="00584369">
              <w:t xml:space="preserve"> financial records, or personal information of officers and</w:t>
            </w:r>
            <w:r w:rsidR="005F2680">
              <w:t xml:space="preserve">  directors unless such information is otherwise required</w:t>
            </w:r>
            <w:r w:rsidR="005F2680">
              <w:rPr>
                <w:spacing w:val="-8"/>
              </w:rPr>
              <w:t xml:space="preserve"> </w:t>
            </w:r>
            <w:r w:rsidR="005F2680">
              <w:t>as</w:t>
            </w:r>
            <w:r w:rsidR="005F2680">
              <w:rPr>
                <w:spacing w:val="-8"/>
              </w:rPr>
              <w:t xml:space="preserve"> </w:t>
            </w:r>
            <w:r w:rsidR="005F2680">
              <w:t>part</w:t>
            </w:r>
            <w:r w:rsidR="005F2680">
              <w:rPr>
                <w:spacing w:val="-8"/>
              </w:rPr>
              <w:t xml:space="preserve"> </w:t>
            </w:r>
            <w:r w:rsidR="005F2680">
              <w:t>of</w:t>
            </w:r>
            <w:r w:rsidR="005F2680">
              <w:rPr>
                <w:spacing w:val="-8"/>
              </w:rPr>
              <w:t xml:space="preserve"> </w:t>
            </w:r>
            <w:r w:rsidR="005F2680">
              <w:t>a</w:t>
            </w:r>
            <w:r w:rsidR="005F2680">
              <w:rPr>
                <w:spacing w:val="-8"/>
              </w:rPr>
              <w:t xml:space="preserve"> </w:t>
            </w:r>
            <w:r w:rsidR="005F2680">
              <w:t>normal TLD application.</w:t>
            </w:r>
          </w:p>
          <w:p w14:paraId="4D23D712" w14:textId="3985E34A" w:rsidR="00901A42" w:rsidRDefault="005F2680" w:rsidP="005F2680">
            <w:pPr>
              <w:pStyle w:val="ListParagraph"/>
              <w:numPr>
                <w:ilvl w:val="0"/>
                <w:numId w:val="14"/>
              </w:numPr>
            </w:pPr>
            <w:r>
              <w:t>The information obtained from the</w:t>
            </w:r>
            <w:r>
              <w:rPr>
                <w:spacing w:val="-14"/>
              </w:rPr>
              <w:t xml:space="preserve"> </w:t>
            </w:r>
            <w:r>
              <w:t>contention</w:t>
            </w:r>
            <w:r>
              <w:rPr>
                <w:spacing w:val="-13"/>
              </w:rPr>
              <w:t xml:space="preserve"> </w:t>
            </w:r>
            <w:r>
              <w:t>resolution</w:t>
            </w:r>
            <w:r>
              <w:rPr>
                <w:spacing w:val="-14"/>
              </w:rPr>
              <w:t xml:space="preserve"> </w:t>
            </w:r>
            <w:r>
              <w:t>process may not be used by ICANN for any purpose other than as necessary to evaluate the application, evaluate the New gTLD Program, or to otherwise comply with applicable law.</w:t>
            </w:r>
          </w:p>
        </w:tc>
        <w:tc>
          <w:tcPr>
            <w:tcW w:w="4317" w:type="dxa"/>
          </w:tcPr>
          <w:p w14:paraId="72FEA4C1" w14:textId="38611256" w:rsidR="001947BE" w:rsidRDefault="008E690D" w:rsidP="001947BE">
            <w:r>
              <w:lastRenderedPageBreak/>
              <w:t>The Board is concerned that this recommendation contains</w:t>
            </w:r>
            <w:r>
              <w:rPr>
                <w:spacing w:val="-6"/>
              </w:rPr>
              <w:t xml:space="preserve"> </w:t>
            </w:r>
            <w:r>
              <w:t>a</w:t>
            </w:r>
            <w:r>
              <w:rPr>
                <w:spacing w:val="-6"/>
              </w:rPr>
              <w:t xml:space="preserve"> </w:t>
            </w:r>
            <w:r>
              <w:t>reference</w:t>
            </w:r>
            <w:r>
              <w:rPr>
                <w:spacing w:val="-6"/>
              </w:rPr>
              <w:t xml:space="preserve"> </w:t>
            </w:r>
            <w:r>
              <w:t>to</w:t>
            </w:r>
            <w:r>
              <w:rPr>
                <w:spacing w:val="40"/>
              </w:rPr>
              <w:t xml:space="preserve"> </w:t>
            </w:r>
            <w:r>
              <w:t>private</w:t>
            </w:r>
            <w:r>
              <w:rPr>
                <w:spacing w:val="-6"/>
              </w:rPr>
              <w:t xml:space="preserve"> </w:t>
            </w:r>
            <w:r>
              <w:t>auctions.</w:t>
            </w:r>
            <w:r>
              <w:rPr>
                <w:spacing w:val="-6"/>
              </w:rPr>
              <w:t xml:space="preserve"> </w:t>
            </w:r>
            <w:r>
              <w:t>Since</w:t>
            </w:r>
            <w:r>
              <w:rPr>
                <w:spacing w:val="-6"/>
              </w:rPr>
              <w:t xml:space="preserve"> </w:t>
            </w:r>
            <w:r>
              <w:t>there is no policy on private auction, this reference may create confusion during implementation and operationalization of the program.</w:t>
            </w:r>
          </w:p>
        </w:tc>
        <w:tc>
          <w:tcPr>
            <w:tcW w:w="4317" w:type="dxa"/>
          </w:tcPr>
          <w:p w14:paraId="031CE0F6" w14:textId="77777777" w:rsidR="001947BE" w:rsidRDefault="00BC5F31" w:rsidP="001947BE">
            <w:pPr>
              <w:rPr>
                <w:color w:val="0070C0"/>
              </w:rPr>
            </w:pPr>
            <w:r>
              <w:rPr>
                <w:color w:val="0070C0"/>
              </w:rPr>
              <w:t xml:space="preserve">See Above comment on Recommendation 35.3.  </w:t>
            </w:r>
          </w:p>
          <w:p w14:paraId="390AD21F" w14:textId="77777777" w:rsidR="00932BDB" w:rsidRDefault="00932BDB" w:rsidP="001947BE">
            <w:pPr>
              <w:rPr>
                <w:color w:val="0070C0"/>
              </w:rPr>
            </w:pPr>
          </w:p>
          <w:p w14:paraId="6F0868AC" w14:textId="77777777" w:rsidR="00932BDB" w:rsidRDefault="00932BDB" w:rsidP="001947BE">
            <w:pPr>
              <w:rPr>
                <w:color w:val="0070C0"/>
              </w:rPr>
            </w:pPr>
            <w:r>
              <w:rPr>
                <w:color w:val="0070C0"/>
              </w:rPr>
              <w:t>In addition, ICANN has the power to adopt the recommendation at least to the extent that it relates to ICANN Auctions of Last Resort.  This is a much better option that rejecting the entire recommendation.</w:t>
            </w:r>
          </w:p>
          <w:p w14:paraId="336A6E9D" w14:textId="77777777" w:rsidR="006B1DA0" w:rsidRDefault="006B1DA0" w:rsidP="001947BE">
            <w:pPr>
              <w:rPr>
                <w:color w:val="0070C0"/>
              </w:rPr>
            </w:pPr>
          </w:p>
          <w:p w14:paraId="2E036A70" w14:textId="6ABF7E4B" w:rsidR="001947BE" w:rsidRPr="00BC5F31" w:rsidRDefault="006B1DA0" w:rsidP="001947BE">
            <w:pPr>
              <w:rPr>
                <w:color w:val="0070C0"/>
              </w:rPr>
            </w:pPr>
            <w:r>
              <w:rPr>
                <w:color w:val="0070C0"/>
              </w:rPr>
              <w:t>This would also clarify some issues that are still being “litigated” in ICANN’s Accountability Mechanisms.</w:t>
            </w:r>
          </w:p>
        </w:tc>
      </w:tr>
    </w:tbl>
    <w:p w14:paraId="3DAAAF01" w14:textId="45F47299" w:rsidR="002F2C13" w:rsidRDefault="002F2C13"/>
    <w:p w14:paraId="4DDD3F0F" w14:textId="77777777" w:rsidR="00934D74" w:rsidRDefault="00934D74"/>
    <w:p w14:paraId="0D3835B1" w14:textId="77777777" w:rsidR="00B12968" w:rsidRDefault="00B12968"/>
    <w:sectPr w:rsidR="00B12968" w:rsidSect="00415B54">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4381" w14:textId="77777777" w:rsidR="00040133" w:rsidRDefault="00040133" w:rsidP="00415B54">
      <w:pPr>
        <w:spacing w:after="0" w:line="240" w:lineRule="auto"/>
      </w:pPr>
      <w:r>
        <w:separator/>
      </w:r>
    </w:p>
  </w:endnote>
  <w:endnote w:type="continuationSeparator" w:id="0">
    <w:p w14:paraId="2DA20216" w14:textId="77777777" w:rsidR="00040133" w:rsidRDefault="00040133" w:rsidP="00415B54">
      <w:pPr>
        <w:spacing w:after="0" w:line="240" w:lineRule="auto"/>
      </w:pPr>
      <w:r>
        <w:continuationSeparator/>
      </w:r>
    </w:p>
  </w:endnote>
  <w:endnote w:type="continuationNotice" w:id="1">
    <w:p w14:paraId="40BD5C81" w14:textId="77777777" w:rsidR="00040133" w:rsidRDefault="00040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7402427"/>
      <w:docPartObj>
        <w:docPartGallery w:val="Page Numbers (Bottom of Page)"/>
        <w:docPartUnique/>
      </w:docPartObj>
    </w:sdtPr>
    <w:sdtContent>
      <w:p w14:paraId="309BD0D8" w14:textId="149106CE" w:rsidR="00C4696A" w:rsidRDefault="00C4696A" w:rsidP="00A14A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90B19" w14:textId="77777777" w:rsidR="000035B3" w:rsidRDefault="0000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787897"/>
      <w:docPartObj>
        <w:docPartGallery w:val="Page Numbers (Bottom of Page)"/>
        <w:docPartUnique/>
      </w:docPartObj>
    </w:sdtPr>
    <w:sdtContent>
      <w:p w14:paraId="52C4E180" w14:textId="01E3FE7B" w:rsidR="00C4696A" w:rsidRDefault="00C4696A" w:rsidP="00A14A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9A0432" w14:textId="77777777" w:rsidR="000035B3" w:rsidRDefault="0000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A340" w14:textId="77777777" w:rsidR="00415B54" w:rsidRDefault="00415B54" w:rsidP="00415B54">
    <w:pPr>
      <w:pBdr>
        <w:top w:val="single" w:sz="4" w:space="0" w:color="auto"/>
        <w:left w:val="single" w:sz="4" w:space="4" w:color="auto"/>
        <w:bottom w:val="single" w:sz="4" w:space="1" w:color="auto"/>
        <w:right w:val="single" w:sz="4" w:space="4" w:color="auto"/>
        <w:between w:val="single" w:sz="4" w:space="1" w:color="auto"/>
        <w:bar w:val="single" w:sz="4" w:color="auto"/>
      </w:pBdr>
      <w:spacing w:before="40"/>
      <w:ind w:left="19" w:right="18" w:firstLine="3"/>
    </w:pPr>
    <w:r>
      <w:t xml:space="preserve">This document contains the Output Overviews and Issue Synopsis sent to the GNSO Council on February 24, 2023 (no changes), except the third column which was “Board Action” has been replaced with my personal views.  In certain places, my personal views are expressed based on experience as the former co-chair of the SubPro WG PDP. </w:t>
    </w:r>
    <w:r>
      <w:rPr>
        <w:color w:val="0070C0"/>
      </w:rPr>
      <w:t>Blue</w:t>
    </w:r>
    <w:r w:rsidRPr="00505676">
      <w:rPr>
        <w:color w:val="0070C0"/>
      </w:rPr>
      <w:t xml:space="preserve"> Items </w:t>
    </w:r>
    <w:r>
      <w:t>may or may not have been discussed by SubPro, bur in my view would be consistent.</w:t>
    </w:r>
  </w:p>
  <w:p w14:paraId="05406173" w14:textId="77777777" w:rsidR="00415B54" w:rsidRDefault="0041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90BE" w14:textId="77777777" w:rsidR="00040133" w:rsidRDefault="00040133" w:rsidP="00415B54">
      <w:pPr>
        <w:spacing w:after="0" w:line="240" w:lineRule="auto"/>
      </w:pPr>
      <w:r>
        <w:separator/>
      </w:r>
    </w:p>
  </w:footnote>
  <w:footnote w:type="continuationSeparator" w:id="0">
    <w:p w14:paraId="06AB8074" w14:textId="77777777" w:rsidR="00040133" w:rsidRDefault="00040133" w:rsidP="00415B54">
      <w:pPr>
        <w:spacing w:after="0" w:line="240" w:lineRule="auto"/>
      </w:pPr>
      <w:r>
        <w:continuationSeparator/>
      </w:r>
    </w:p>
  </w:footnote>
  <w:footnote w:type="continuationNotice" w:id="1">
    <w:p w14:paraId="4938EEE6" w14:textId="77777777" w:rsidR="00040133" w:rsidRDefault="00040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57F9" w14:textId="77777777" w:rsidR="000035B3" w:rsidRDefault="0000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61B3" w14:textId="61D35E5E" w:rsidR="000035B3" w:rsidRDefault="00003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138F" w14:textId="77777777" w:rsidR="00C2781E" w:rsidRDefault="00C2781E">
    <w:pPr>
      <w:pStyle w:val="Header"/>
    </w:pPr>
  </w:p>
  <w:p w14:paraId="25FF6FC6" w14:textId="35A290D2" w:rsidR="00C2781E" w:rsidRPr="008C3902" w:rsidRDefault="004E5C5E" w:rsidP="004E5C5E">
    <w:pPr>
      <w:pStyle w:val="Header"/>
      <w:jc w:val="center"/>
      <w:rPr>
        <w:sz w:val="28"/>
        <w:szCs w:val="28"/>
      </w:rPr>
    </w:pPr>
    <w:r w:rsidRPr="008C3902">
      <w:rPr>
        <w:b/>
        <w:bCs/>
        <w:sz w:val="28"/>
        <w:szCs w:val="28"/>
      </w:rPr>
      <w:t>Jeffrey J. Neuman’s Views on SubPro Board-GNSO Scorecard</w:t>
    </w:r>
    <w:r w:rsidR="000035B3">
      <w:rPr>
        <w:b/>
        <w:bCs/>
        <w:sz w:val="28"/>
        <w:szCs w:val="28"/>
      </w:rPr>
      <w:tab/>
    </w:r>
    <w:r w:rsidR="000035B3">
      <w:rPr>
        <w:b/>
        <w:bCs/>
        <w:sz w:val="28"/>
        <w:szCs w:val="28"/>
      </w:rPr>
      <w:tab/>
      <w:t>3/7/2023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5B4"/>
    <w:multiLevelType w:val="hybridMultilevel"/>
    <w:tmpl w:val="AB100DA6"/>
    <w:lvl w:ilvl="0" w:tplc="32DED54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78644FB"/>
    <w:multiLevelType w:val="hybridMultilevel"/>
    <w:tmpl w:val="DE5A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6F6F"/>
    <w:multiLevelType w:val="hybridMultilevel"/>
    <w:tmpl w:val="65C4A362"/>
    <w:lvl w:ilvl="0" w:tplc="827AE3C6">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C9ECE77C">
      <w:numFmt w:val="bullet"/>
      <w:lvlText w:val="•"/>
      <w:lvlJc w:val="left"/>
      <w:pPr>
        <w:ind w:left="1161" w:hanging="360"/>
      </w:pPr>
      <w:rPr>
        <w:rFonts w:hint="default"/>
        <w:lang w:val="en-US" w:eastAsia="en-US" w:bidi="ar-SA"/>
      </w:rPr>
    </w:lvl>
    <w:lvl w:ilvl="2" w:tplc="1CB49208">
      <w:numFmt w:val="bullet"/>
      <w:lvlText w:val="•"/>
      <w:lvlJc w:val="left"/>
      <w:pPr>
        <w:ind w:left="1463" w:hanging="360"/>
      </w:pPr>
      <w:rPr>
        <w:rFonts w:hint="default"/>
        <w:lang w:val="en-US" w:eastAsia="en-US" w:bidi="ar-SA"/>
      </w:rPr>
    </w:lvl>
    <w:lvl w:ilvl="3" w:tplc="B5D2DD96">
      <w:numFmt w:val="bullet"/>
      <w:lvlText w:val="•"/>
      <w:lvlJc w:val="left"/>
      <w:pPr>
        <w:ind w:left="1764" w:hanging="360"/>
      </w:pPr>
      <w:rPr>
        <w:rFonts w:hint="default"/>
        <w:lang w:val="en-US" w:eastAsia="en-US" w:bidi="ar-SA"/>
      </w:rPr>
    </w:lvl>
    <w:lvl w:ilvl="4" w:tplc="704465C4">
      <w:numFmt w:val="bullet"/>
      <w:lvlText w:val="•"/>
      <w:lvlJc w:val="left"/>
      <w:pPr>
        <w:ind w:left="2066" w:hanging="360"/>
      </w:pPr>
      <w:rPr>
        <w:rFonts w:hint="default"/>
        <w:lang w:val="en-US" w:eastAsia="en-US" w:bidi="ar-SA"/>
      </w:rPr>
    </w:lvl>
    <w:lvl w:ilvl="5" w:tplc="86F29CEE">
      <w:numFmt w:val="bullet"/>
      <w:lvlText w:val="•"/>
      <w:lvlJc w:val="left"/>
      <w:pPr>
        <w:ind w:left="2367" w:hanging="360"/>
      </w:pPr>
      <w:rPr>
        <w:rFonts w:hint="default"/>
        <w:lang w:val="en-US" w:eastAsia="en-US" w:bidi="ar-SA"/>
      </w:rPr>
    </w:lvl>
    <w:lvl w:ilvl="6" w:tplc="C3FC4B18">
      <w:numFmt w:val="bullet"/>
      <w:lvlText w:val="•"/>
      <w:lvlJc w:val="left"/>
      <w:pPr>
        <w:ind w:left="2669" w:hanging="360"/>
      </w:pPr>
      <w:rPr>
        <w:rFonts w:hint="default"/>
        <w:lang w:val="en-US" w:eastAsia="en-US" w:bidi="ar-SA"/>
      </w:rPr>
    </w:lvl>
    <w:lvl w:ilvl="7" w:tplc="5C4411FC">
      <w:numFmt w:val="bullet"/>
      <w:lvlText w:val="•"/>
      <w:lvlJc w:val="left"/>
      <w:pPr>
        <w:ind w:left="2970" w:hanging="360"/>
      </w:pPr>
      <w:rPr>
        <w:rFonts w:hint="default"/>
        <w:lang w:val="en-US" w:eastAsia="en-US" w:bidi="ar-SA"/>
      </w:rPr>
    </w:lvl>
    <w:lvl w:ilvl="8" w:tplc="547ED224">
      <w:numFmt w:val="bullet"/>
      <w:lvlText w:val="•"/>
      <w:lvlJc w:val="left"/>
      <w:pPr>
        <w:ind w:left="3272" w:hanging="360"/>
      </w:pPr>
      <w:rPr>
        <w:rFonts w:hint="default"/>
        <w:lang w:val="en-US" w:eastAsia="en-US" w:bidi="ar-SA"/>
      </w:rPr>
    </w:lvl>
  </w:abstractNum>
  <w:abstractNum w:abstractNumId="3" w15:restartNumberingAfterBreak="0">
    <w:nsid w:val="105A01EE"/>
    <w:multiLevelType w:val="hybridMultilevel"/>
    <w:tmpl w:val="9936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24115"/>
    <w:multiLevelType w:val="hybridMultilevel"/>
    <w:tmpl w:val="28B89A5A"/>
    <w:lvl w:ilvl="0" w:tplc="DCB83D54">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38628D32">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2" w:tplc="379263C2">
      <w:numFmt w:val="bullet"/>
      <w:lvlText w:val="•"/>
      <w:lvlJc w:val="left"/>
      <w:pPr>
        <w:ind w:left="1835" w:hanging="360"/>
      </w:pPr>
      <w:rPr>
        <w:rFonts w:hint="default"/>
        <w:lang w:val="en-US" w:eastAsia="en-US" w:bidi="ar-SA"/>
      </w:rPr>
    </w:lvl>
    <w:lvl w:ilvl="3" w:tplc="92D6A970">
      <w:numFmt w:val="bullet"/>
      <w:lvlText w:val="•"/>
      <w:lvlJc w:val="left"/>
      <w:pPr>
        <w:ind w:left="2090" w:hanging="360"/>
      </w:pPr>
      <w:rPr>
        <w:rFonts w:hint="default"/>
        <w:lang w:val="en-US" w:eastAsia="en-US" w:bidi="ar-SA"/>
      </w:rPr>
    </w:lvl>
    <w:lvl w:ilvl="4" w:tplc="9A46FDF4">
      <w:numFmt w:val="bullet"/>
      <w:lvlText w:val="•"/>
      <w:lvlJc w:val="left"/>
      <w:pPr>
        <w:ind w:left="2345" w:hanging="360"/>
      </w:pPr>
      <w:rPr>
        <w:rFonts w:hint="default"/>
        <w:lang w:val="en-US" w:eastAsia="en-US" w:bidi="ar-SA"/>
      </w:rPr>
    </w:lvl>
    <w:lvl w:ilvl="5" w:tplc="121E88A2">
      <w:numFmt w:val="bullet"/>
      <w:lvlText w:val="•"/>
      <w:lvlJc w:val="left"/>
      <w:pPr>
        <w:ind w:left="2600" w:hanging="360"/>
      </w:pPr>
      <w:rPr>
        <w:rFonts w:hint="default"/>
        <w:lang w:val="en-US" w:eastAsia="en-US" w:bidi="ar-SA"/>
      </w:rPr>
    </w:lvl>
    <w:lvl w:ilvl="6" w:tplc="1C789F86">
      <w:numFmt w:val="bullet"/>
      <w:lvlText w:val="•"/>
      <w:lvlJc w:val="left"/>
      <w:pPr>
        <w:ind w:left="2855" w:hanging="360"/>
      </w:pPr>
      <w:rPr>
        <w:rFonts w:hint="default"/>
        <w:lang w:val="en-US" w:eastAsia="en-US" w:bidi="ar-SA"/>
      </w:rPr>
    </w:lvl>
    <w:lvl w:ilvl="7" w:tplc="4DC85C6E">
      <w:numFmt w:val="bullet"/>
      <w:lvlText w:val="•"/>
      <w:lvlJc w:val="left"/>
      <w:pPr>
        <w:ind w:left="3110" w:hanging="360"/>
      </w:pPr>
      <w:rPr>
        <w:rFonts w:hint="default"/>
        <w:lang w:val="en-US" w:eastAsia="en-US" w:bidi="ar-SA"/>
      </w:rPr>
    </w:lvl>
    <w:lvl w:ilvl="8" w:tplc="40880B72">
      <w:numFmt w:val="bullet"/>
      <w:lvlText w:val="•"/>
      <w:lvlJc w:val="left"/>
      <w:pPr>
        <w:ind w:left="3365" w:hanging="360"/>
      </w:pPr>
      <w:rPr>
        <w:rFonts w:hint="default"/>
        <w:lang w:val="en-US" w:eastAsia="en-US" w:bidi="ar-SA"/>
      </w:rPr>
    </w:lvl>
  </w:abstractNum>
  <w:abstractNum w:abstractNumId="5" w15:restartNumberingAfterBreak="0">
    <w:nsid w:val="1CD14743"/>
    <w:multiLevelType w:val="hybridMultilevel"/>
    <w:tmpl w:val="FB860760"/>
    <w:lvl w:ilvl="0" w:tplc="127EE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85B86"/>
    <w:multiLevelType w:val="hybridMultilevel"/>
    <w:tmpl w:val="385C6AB2"/>
    <w:lvl w:ilvl="0" w:tplc="A95E2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71E79"/>
    <w:multiLevelType w:val="hybridMultilevel"/>
    <w:tmpl w:val="A0789206"/>
    <w:lvl w:ilvl="0" w:tplc="7076C2E4">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1" w:tplc="44BC696C">
      <w:numFmt w:val="bullet"/>
      <w:lvlText w:val="•"/>
      <w:lvlJc w:val="left"/>
      <w:pPr>
        <w:ind w:left="1809" w:hanging="360"/>
      </w:pPr>
      <w:rPr>
        <w:rFonts w:hint="default"/>
        <w:lang w:val="en-US" w:eastAsia="en-US" w:bidi="ar-SA"/>
      </w:rPr>
    </w:lvl>
    <w:lvl w:ilvl="2" w:tplc="AE0CB798">
      <w:numFmt w:val="bullet"/>
      <w:lvlText w:val="•"/>
      <w:lvlJc w:val="left"/>
      <w:pPr>
        <w:ind w:left="2039" w:hanging="360"/>
      </w:pPr>
      <w:rPr>
        <w:rFonts w:hint="default"/>
        <w:lang w:val="en-US" w:eastAsia="en-US" w:bidi="ar-SA"/>
      </w:rPr>
    </w:lvl>
    <w:lvl w:ilvl="3" w:tplc="B9C89EB4">
      <w:numFmt w:val="bullet"/>
      <w:lvlText w:val="•"/>
      <w:lvlJc w:val="left"/>
      <w:pPr>
        <w:ind w:left="2268" w:hanging="360"/>
      </w:pPr>
      <w:rPr>
        <w:rFonts w:hint="default"/>
        <w:lang w:val="en-US" w:eastAsia="en-US" w:bidi="ar-SA"/>
      </w:rPr>
    </w:lvl>
    <w:lvl w:ilvl="4" w:tplc="0C2C681A">
      <w:numFmt w:val="bullet"/>
      <w:lvlText w:val="•"/>
      <w:lvlJc w:val="left"/>
      <w:pPr>
        <w:ind w:left="2498" w:hanging="360"/>
      </w:pPr>
      <w:rPr>
        <w:rFonts w:hint="default"/>
        <w:lang w:val="en-US" w:eastAsia="en-US" w:bidi="ar-SA"/>
      </w:rPr>
    </w:lvl>
    <w:lvl w:ilvl="5" w:tplc="1CECEF7E">
      <w:numFmt w:val="bullet"/>
      <w:lvlText w:val="•"/>
      <w:lvlJc w:val="left"/>
      <w:pPr>
        <w:ind w:left="2727" w:hanging="360"/>
      </w:pPr>
      <w:rPr>
        <w:rFonts w:hint="default"/>
        <w:lang w:val="en-US" w:eastAsia="en-US" w:bidi="ar-SA"/>
      </w:rPr>
    </w:lvl>
    <w:lvl w:ilvl="6" w:tplc="6DC235BE">
      <w:numFmt w:val="bullet"/>
      <w:lvlText w:val="•"/>
      <w:lvlJc w:val="left"/>
      <w:pPr>
        <w:ind w:left="2957" w:hanging="360"/>
      </w:pPr>
      <w:rPr>
        <w:rFonts w:hint="default"/>
        <w:lang w:val="en-US" w:eastAsia="en-US" w:bidi="ar-SA"/>
      </w:rPr>
    </w:lvl>
    <w:lvl w:ilvl="7" w:tplc="295298F2">
      <w:numFmt w:val="bullet"/>
      <w:lvlText w:val="•"/>
      <w:lvlJc w:val="left"/>
      <w:pPr>
        <w:ind w:left="3186" w:hanging="360"/>
      </w:pPr>
      <w:rPr>
        <w:rFonts w:hint="default"/>
        <w:lang w:val="en-US" w:eastAsia="en-US" w:bidi="ar-SA"/>
      </w:rPr>
    </w:lvl>
    <w:lvl w:ilvl="8" w:tplc="29505B16">
      <w:numFmt w:val="bullet"/>
      <w:lvlText w:val="•"/>
      <w:lvlJc w:val="left"/>
      <w:pPr>
        <w:ind w:left="3416" w:hanging="360"/>
      </w:pPr>
      <w:rPr>
        <w:rFonts w:hint="default"/>
        <w:lang w:val="en-US" w:eastAsia="en-US" w:bidi="ar-SA"/>
      </w:rPr>
    </w:lvl>
  </w:abstractNum>
  <w:abstractNum w:abstractNumId="8" w15:restartNumberingAfterBreak="0">
    <w:nsid w:val="2436771E"/>
    <w:multiLevelType w:val="hybridMultilevel"/>
    <w:tmpl w:val="19BEF060"/>
    <w:lvl w:ilvl="0" w:tplc="F726F2BA">
      <w:numFmt w:val="bullet"/>
      <w:lvlText w:val="●"/>
      <w:lvlJc w:val="left"/>
      <w:pPr>
        <w:ind w:left="497"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EC50C3"/>
    <w:multiLevelType w:val="hybridMultilevel"/>
    <w:tmpl w:val="3CCE1A1C"/>
    <w:lvl w:ilvl="0" w:tplc="0B9812EC">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4F64110E">
      <w:numFmt w:val="bullet"/>
      <w:lvlText w:val="•"/>
      <w:lvlJc w:val="left"/>
      <w:pPr>
        <w:ind w:left="1161" w:hanging="360"/>
      </w:pPr>
      <w:rPr>
        <w:rFonts w:hint="default"/>
        <w:lang w:val="en-US" w:eastAsia="en-US" w:bidi="ar-SA"/>
      </w:rPr>
    </w:lvl>
    <w:lvl w:ilvl="2" w:tplc="872C01F8">
      <w:numFmt w:val="bullet"/>
      <w:lvlText w:val="•"/>
      <w:lvlJc w:val="left"/>
      <w:pPr>
        <w:ind w:left="1463" w:hanging="360"/>
      </w:pPr>
      <w:rPr>
        <w:rFonts w:hint="default"/>
        <w:lang w:val="en-US" w:eastAsia="en-US" w:bidi="ar-SA"/>
      </w:rPr>
    </w:lvl>
    <w:lvl w:ilvl="3" w:tplc="CC0EB970">
      <w:numFmt w:val="bullet"/>
      <w:lvlText w:val="•"/>
      <w:lvlJc w:val="left"/>
      <w:pPr>
        <w:ind w:left="1764" w:hanging="360"/>
      </w:pPr>
      <w:rPr>
        <w:rFonts w:hint="default"/>
        <w:lang w:val="en-US" w:eastAsia="en-US" w:bidi="ar-SA"/>
      </w:rPr>
    </w:lvl>
    <w:lvl w:ilvl="4" w:tplc="813A0EB4">
      <w:numFmt w:val="bullet"/>
      <w:lvlText w:val="•"/>
      <w:lvlJc w:val="left"/>
      <w:pPr>
        <w:ind w:left="2066" w:hanging="360"/>
      </w:pPr>
      <w:rPr>
        <w:rFonts w:hint="default"/>
        <w:lang w:val="en-US" w:eastAsia="en-US" w:bidi="ar-SA"/>
      </w:rPr>
    </w:lvl>
    <w:lvl w:ilvl="5" w:tplc="6B840458">
      <w:numFmt w:val="bullet"/>
      <w:lvlText w:val="•"/>
      <w:lvlJc w:val="left"/>
      <w:pPr>
        <w:ind w:left="2367" w:hanging="360"/>
      </w:pPr>
      <w:rPr>
        <w:rFonts w:hint="default"/>
        <w:lang w:val="en-US" w:eastAsia="en-US" w:bidi="ar-SA"/>
      </w:rPr>
    </w:lvl>
    <w:lvl w:ilvl="6" w:tplc="0E9AA522">
      <w:numFmt w:val="bullet"/>
      <w:lvlText w:val="•"/>
      <w:lvlJc w:val="left"/>
      <w:pPr>
        <w:ind w:left="2669" w:hanging="360"/>
      </w:pPr>
      <w:rPr>
        <w:rFonts w:hint="default"/>
        <w:lang w:val="en-US" w:eastAsia="en-US" w:bidi="ar-SA"/>
      </w:rPr>
    </w:lvl>
    <w:lvl w:ilvl="7" w:tplc="B984916E">
      <w:numFmt w:val="bullet"/>
      <w:lvlText w:val="•"/>
      <w:lvlJc w:val="left"/>
      <w:pPr>
        <w:ind w:left="2970" w:hanging="360"/>
      </w:pPr>
      <w:rPr>
        <w:rFonts w:hint="default"/>
        <w:lang w:val="en-US" w:eastAsia="en-US" w:bidi="ar-SA"/>
      </w:rPr>
    </w:lvl>
    <w:lvl w:ilvl="8" w:tplc="93301E76">
      <w:numFmt w:val="bullet"/>
      <w:lvlText w:val="•"/>
      <w:lvlJc w:val="left"/>
      <w:pPr>
        <w:ind w:left="3272" w:hanging="360"/>
      </w:pPr>
      <w:rPr>
        <w:rFonts w:hint="default"/>
        <w:lang w:val="en-US" w:eastAsia="en-US" w:bidi="ar-SA"/>
      </w:rPr>
    </w:lvl>
  </w:abstractNum>
  <w:abstractNum w:abstractNumId="10" w15:restartNumberingAfterBreak="0">
    <w:nsid w:val="289C2A39"/>
    <w:multiLevelType w:val="hybridMultilevel"/>
    <w:tmpl w:val="218A0646"/>
    <w:lvl w:ilvl="0" w:tplc="1F46026E">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9C0C0AC">
      <w:numFmt w:val="bullet"/>
      <w:lvlText w:val="•"/>
      <w:lvlJc w:val="left"/>
      <w:pPr>
        <w:ind w:left="1161" w:hanging="360"/>
      </w:pPr>
      <w:rPr>
        <w:rFonts w:hint="default"/>
        <w:lang w:val="en-US" w:eastAsia="en-US" w:bidi="ar-SA"/>
      </w:rPr>
    </w:lvl>
    <w:lvl w:ilvl="2" w:tplc="25F0C134">
      <w:numFmt w:val="bullet"/>
      <w:lvlText w:val="•"/>
      <w:lvlJc w:val="left"/>
      <w:pPr>
        <w:ind w:left="1463" w:hanging="360"/>
      </w:pPr>
      <w:rPr>
        <w:rFonts w:hint="default"/>
        <w:lang w:val="en-US" w:eastAsia="en-US" w:bidi="ar-SA"/>
      </w:rPr>
    </w:lvl>
    <w:lvl w:ilvl="3" w:tplc="59E03C84">
      <w:numFmt w:val="bullet"/>
      <w:lvlText w:val="•"/>
      <w:lvlJc w:val="left"/>
      <w:pPr>
        <w:ind w:left="1764" w:hanging="360"/>
      </w:pPr>
      <w:rPr>
        <w:rFonts w:hint="default"/>
        <w:lang w:val="en-US" w:eastAsia="en-US" w:bidi="ar-SA"/>
      </w:rPr>
    </w:lvl>
    <w:lvl w:ilvl="4" w:tplc="0E2E3C34">
      <w:numFmt w:val="bullet"/>
      <w:lvlText w:val="•"/>
      <w:lvlJc w:val="left"/>
      <w:pPr>
        <w:ind w:left="2066" w:hanging="360"/>
      </w:pPr>
      <w:rPr>
        <w:rFonts w:hint="default"/>
        <w:lang w:val="en-US" w:eastAsia="en-US" w:bidi="ar-SA"/>
      </w:rPr>
    </w:lvl>
    <w:lvl w:ilvl="5" w:tplc="2752BA96">
      <w:numFmt w:val="bullet"/>
      <w:lvlText w:val="•"/>
      <w:lvlJc w:val="left"/>
      <w:pPr>
        <w:ind w:left="2367" w:hanging="360"/>
      </w:pPr>
      <w:rPr>
        <w:rFonts w:hint="default"/>
        <w:lang w:val="en-US" w:eastAsia="en-US" w:bidi="ar-SA"/>
      </w:rPr>
    </w:lvl>
    <w:lvl w:ilvl="6" w:tplc="B9A46146">
      <w:numFmt w:val="bullet"/>
      <w:lvlText w:val="•"/>
      <w:lvlJc w:val="left"/>
      <w:pPr>
        <w:ind w:left="2669" w:hanging="360"/>
      </w:pPr>
      <w:rPr>
        <w:rFonts w:hint="default"/>
        <w:lang w:val="en-US" w:eastAsia="en-US" w:bidi="ar-SA"/>
      </w:rPr>
    </w:lvl>
    <w:lvl w:ilvl="7" w:tplc="24902BA0">
      <w:numFmt w:val="bullet"/>
      <w:lvlText w:val="•"/>
      <w:lvlJc w:val="left"/>
      <w:pPr>
        <w:ind w:left="2970" w:hanging="360"/>
      </w:pPr>
      <w:rPr>
        <w:rFonts w:hint="default"/>
        <w:lang w:val="en-US" w:eastAsia="en-US" w:bidi="ar-SA"/>
      </w:rPr>
    </w:lvl>
    <w:lvl w:ilvl="8" w:tplc="F55C5650">
      <w:numFmt w:val="bullet"/>
      <w:lvlText w:val="•"/>
      <w:lvlJc w:val="left"/>
      <w:pPr>
        <w:ind w:left="3272" w:hanging="360"/>
      </w:pPr>
      <w:rPr>
        <w:rFonts w:hint="default"/>
        <w:lang w:val="en-US" w:eastAsia="en-US" w:bidi="ar-SA"/>
      </w:rPr>
    </w:lvl>
  </w:abstractNum>
  <w:abstractNum w:abstractNumId="11" w15:restartNumberingAfterBreak="0">
    <w:nsid w:val="2FEE7592"/>
    <w:multiLevelType w:val="hybridMultilevel"/>
    <w:tmpl w:val="4F26F816"/>
    <w:lvl w:ilvl="0" w:tplc="F726F2BA">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76B47C0E">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2" w:tplc="C39E0586">
      <w:numFmt w:val="bullet"/>
      <w:lvlText w:val="•"/>
      <w:lvlJc w:val="left"/>
      <w:pPr>
        <w:ind w:left="1835" w:hanging="360"/>
      </w:pPr>
      <w:rPr>
        <w:rFonts w:hint="default"/>
        <w:lang w:val="en-US" w:eastAsia="en-US" w:bidi="ar-SA"/>
      </w:rPr>
    </w:lvl>
    <w:lvl w:ilvl="3" w:tplc="28E2B5E8">
      <w:numFmt w:val="bullet"/>
      <w:lvlText w:val="•"/>
      <w:lvlJc w:val="left"/>
      <w:pPr>
        <w:ind w:left="2090" w:hanging="360"/>
      </w:pPr>
      <w:rPr>
        <w:rFonts w:hint="default"/>
        <w:lang w:val="en-US" w:eastAsia="en-US" w:bidi="ar-SA"/>
      </w:rPr>
    </w:lvl>
    <w:lvl w:ilvl="4" w:tplc="019E4808">
      <w:numFmt w:val="bullet"/>
      <w:lvlText w:val="•"/>
      <w:lvlJc w:val="left"/>
      <w:pPr>
        <w:ind w:left="2345" w:hanging="360"/>
      </w:pPr>
      <w:rPr>
        <w:rFonts w:hint="default"/>
        <w:lang w:val="en-US" w:eastAsia="en-US" w:bidi="ar-SA"/>
      </w:rPr>
    </w:lvl>
    <w:lvl w:ilvl="5" w:tplc="B704AC3C">
      <w:numFmt w:val="bullet"/>
      <w:lvlText w:val="•"/>
      <w:lvlJc w:val="left"/>
      <w:pPr>
        <w:ind w:left="2600" w:hanging="360"/>
      </w:pPr>
      <w:rPr>
        <w:rFonts w:hint="default"/>
        <w:lang w:val="en-US" w:eastAsia="en-US" w:bidi="ar-SA"/>
      </w:rPr>
    </w:lvl>
    <w:lvl w:ilvl="6" w:tplc="FC166B72">
      <w:numFmt w:val="bullet"/>
      <w:lvlText w:val="•"/>
      <w:lvlJc w:val="left"/>
      <w:pPr>
        <w:ind w:left="2855" w:hanging="360"/>
      </w:pPr>
      <w:rPr>
        <w:rFonts w:hint="default"/>
        <w:lang w:val="en-US" w:eastAsia="en-US" w:bidi="ar-SA"/>
      </w:rPr>
    </w:lvl>
    <w:lvl w:ilvl="7" w:tplc="4F748D88">
      <w:numFmt w:val="bullet"/>
      <w:lvlText w:val="•"/>
      <w:lvlJc w:val="left"/>
      <w:pPr>
        <w:ind w:left="3110" w:hanging="360"/>
      </w:pPr>
      <w:rPr>
        <w:rFonts w:hint="default"/>
        <w:lang w:val="en-US" w:eastAsia="en-US" w:bidi="ar-SA"/>
      </w:rPr>
    </w:lvl>
    <w:lvl w:ilvl="8" w:tplc="261A227A">
      <w:numFmt w:val="bullet"/>
      <w:lvlText w:val="•"/>
      <w:lvlJc w:val="left"/>
      <w:pPr>
        <w:ind w:left="3365" w:hanging="360"/>
      </w:pPr>
      <w:rPr>
        <w:rFonts w:hint="default"/>
        <w:lang w:val="en-US" w:eastAsia="en-US" w:bidi="ar-SA"/>
      </w:rPr>
    </w:lvl>
  </w:abstractNum>
  <w:abstractNum w:abstractNumId="12" w15:restartNumberingAfterBreak="0">
    <w:nsid w:val="387778B7"/>
    <w:multiLevelType w:val="hybridMultilevel"/>
    <w:tmpl w:val="1B5CF1F6"/>
    <w:lvl w:ilvl="0" w:tplc="29200436">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1" w:tplc="DA1E52FC">
      <w:numFmt w:val="bullet"/>
      <w:lvlText w:val="•"/>
      <w:lvlJc w:val="left"/>
      <w:pPr>
        <w:ind w:left="1809" w:hanging="360"/>
      </w:pPr>
      <w:rPr>
        <w:rFonts w:hint="default"/>
        <w:lang w:val="en-US" w:eastAsia="en-US" w:bidi="ar-SA"/>
      </w:rPr>
    </w:lvl>
    <w:lvl w:ilvl="2" w:tplc="FF1ED728">
      <w:numFmt w:val="bullet"/>
      <w:lvlText w:val="•"/>
      <w:lvlJc w:val="left"/>
      <w:pPr>
        <w:ind w:left="2039" w:hanging="360"/>
      </w:pPr>
      <w:rPr>
        <w:rFonts w:hint="default"/>
        <w:lang w:val="en-US" w:eastAsia="en-US" w:bidi="ar-SA"/>
      </w:rPr>
    </w:lvl>
    <w:lvl w:ilvl="3" w:tplc="D40A1686">
      <w:numFmt w:val="bullet"/>
      <w:lvlText w:val="•"/>
      <w:lvlJc w:val="left"/>
      <w:pPr>
        <w:ind w:left="2268" w:hanging="360"/>
      </w:pPr>
      <w:rPr>
        <w:rFonts w:hint="default"/>
        <w:lang w:val="en-US" w:eastAsia="en-US" w:bidi="ar-SA"/>
      </w:rPr>
    </w:lvl>
    <w:lvl w:ilvl="4" w:tplc="642EB006">
      <w:numFmt w:val="bullet"/>
      <w:lvlText w:val="•"/>
      <w:lvlJc w:val="left"/>
      <w:pPr>
        <w:ind w:left="2498" w:hanging="360"/>
      </w:pPr>
      <w:rPr>
        <w:rFonts w:hint="default"/>
        <w:lang w:val="en-US" w:eastAsia="en-US" w:bidi="ar-SA"/>
      </w:rPr>
    </w:lvl>
    <w:lvl w:ilvl="5" w:tplc="68BEBC2A">
      <w:numFmt w:val="bullet"/>
      <w:lvlText w:val="•"/>
      <w:lvlJc w:val="left"/>
      <w:pPr>
        <w:ind w:left="2727" w:hanging="360"/>
      </w:pPr>
      <w:rPr>
        <w:rFonts w:hint="default"/>
        <w:lang w:val="en-US" w:eastAsia="en-US" w:bidi="ar-SA"/>
      </w:rPr>
    </w:lvl>
    <w:lvl w:ilvl="6" w:tplc="0936C442">
      <w:numFmt w:val="bullet"/>
      <w:lvlText w:val="•"/>
      <w:lvlJc w:val="left"/>
      <w:pPr>
        <w:ind w:left="2957" w:hanging="360"/>
      </w:pPr>
      <w:rPr>
        <w:rFonts w:hint="default"/>
        <w:lang w:val="en-US" w:eastAsia="en-US" w:bidi="ar-SA"/>
      </w:rPr>
    </w:lvl>
    <w:lvl w:ilvl="7" w:tplc="AFC00BD8">
      <w:numFmt w:val="bullet"/>
      <w:lvlText w:val="•"/>
      <w:lvlJc w:val="left"/>
      <w:pPr>
        <w:ind w:left="3186" w:hanging="360"/>
      </w:pPr>
      <w:rPr>
        <w:rFonts w:hint="default"/>
        <w:lang w:val="en-US" w:eastAsia="en-US" w:bidi="ar-SA"/>
      </w:rPr>
    </w:lvl>
    <w:lvl w:ilvl="8" w:tplc="CF9AF4F8">
      <w:numFmt w:val="bullet"/>
      <w:lvlText w:val="•"/>
      <w:lvlJc w:val="left"/>
      <w:pPr>
        <w:ind w:left="3416" w:hanging="360"/>
      </w:pPr>
      <w:rPr>
        <w:rFonts w:hint="default"/>
        <w:lang w:val="en-US" w:eastAsia="en-US" w:bidi="ar-SA"/>
      </w:rPr>
    </w:lvl>
  </w:abstractNum>
  <w:abstractNum w:abstractNumId="13" w15:restartNumberingAfterBreak="0">
    <w:nsid w:val="41C26423"/>
    <w:multiLevelType w:val="hybridMultilevel"/>
    <w:tmpl w:val="A39416E6"/>
    <w:lvl w:ilvl="0" w:tplc="D74AECAA">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E43EA736">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2" w:tplc="50705352">
      <w:numFmt w:val="bullet"/>
      <w:lvlText w:val="•"/>
      <w:lvlJc w:val="left"/>
      <w:pPr>
        <w:ind w:left="1835" w:hanging="360"/>
      </w:pPr>
      <w:rPr>
        <w:rFonts w:hint="default"/>
        <w:lang w:val="en-US" w:eastAsia="en-US" w:bidi="ar-SA"/>
      </w:rPr>
    </w:lvl>
    <w:lvl w:ilvl="3" w:tplc="E7C4FADA">
      <w:numFmt w:val="bullet"/>
      <w:lvlText w:val="•"/>
      <w:lvlJc w:val="left"/>
      <w:pPr>
        <w:ind w:left="2090" w:hanging="360"/>
      </w:pPr>
      <w:rPr>
        <w:rFonts w:hint="default"/>
        <w:lang w:val="en-US" w:eastAsia="en-US" w:bidi="ar-SA"/>
      </w:rPr>
    </w:lvl>
    <w:lvl w:ilvl="4" w:tplc="0EAAD6C6">
      <w:numFmt w:val="bullet"/>
      <w:lvlText w:val="•"/>
      <w:lvlJc w:val="left"/>
      <w:pPr>
        <w:ind w:left="2345" w:hanging="360"/>
      </w:pPr>
      <w:rPr>
        <w:rFonts w:hint="default"/>
        <w:lang w:val="en-US" w:eastAsia="en-US" w:bidi="ar-SA"/>
      </w:rPr>
    </w:lvl>
    <w:lvl w:ilvl="5" w:tplc="FD6A867E">
      <w:numFmt w:val="bullet"/>
      <w:lvlText w:val="•"/>
      <w:lvlJc w:val="left"/>
      <w:pPr>
        <w:ind w:left="2600" w:hanging="360"/>
      </w:pPr>
      <w:rPr>
        <w:rFonts w:hint="default"/>
        <w:lang w:val="en-US" w:eastAsia="en-US" w:bidi="ar-SA"/>
      </w:rPr>
    </w:lvl>
    <w:lvl w:ilvl="6" w:tplc="335A958C">
      <w:numFmt w:val="bullet"/>
      <w:lvlText w:val="•"/>
      <w:lvlJc w:val="left"/>
      <w:pPr>
        <w:ind w:left="2855" w:hanging="360"/>
      </w:pPr>
      <w:rPr>
        <w:rFonts w:hint="default"/>
        <w:lang w:val="en-US" w:eastAsia="en-US" w:bidi="ar-SA"/>
      </w:rPr>
    </w:lvl>
    <w:lvl w:ilvl="7" w:tplc="AC361F88">
      <w:numFmt w:val="bullet"/>
      <w:lvlText w:val="•"/>
      <w:lvlJc w:val="left"/>
      <w:pPr>
        <w:ind w:left="3110" w:hanging="360"/>
      </w:pPr>
      <w:rPr>
        <w:rFonts w:hint="default"/>
        <w:lang w:val="en-US" w:eastAsia="en-US" w:bidi="ar-SA"/>
      </w:rPr>
    </w:lvl>
    <w:lvl w:ilvl="8" w:tplc="12DCD5C2">
      <w:numFmt w:val="bullet"/>
      <w:lvlText w:val="•"/>
      <w:lvlJc w:val="left"/>
      <w:pPr>
        <w:ind w:left="3365" w:hanging="360"/>
      </w:pPr>
      <w:rPr>
        <w:rFonts w:hint="default"/>
        <w:lang w:val="en-US" w:eastAsia="en-US" w:bidi="ar-SA"/>
      </w:rPr>
    </w:lvl>
  </w:abstractNum>
  <w:abstractNum w:abstractNumId="14" w15:restartNumberingAfterBreak="0">
    <w:nsid w:val="41DC69EF"/>
    <w:multiLevelType w:val="hybridMultilevel"/>
    <w:tmpl w:val="9AC85634"/>
    <w:lvl w:ilvl="0" w:tplc="68807ADC">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B1102952">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2" w:tplc="A56E10D0">
      <w:numFmt w:val="bullet"/>
      <w:lvlText w:val="•"/>
      <w:lvlJc w:val="left"/>
      <w:pPr>
        <w:ind w:left="1835" w:hanging="360"/>
      </w:pPr>
      <w:rPr>
        <w:rFonts w:hint="default"/>
        <w:lang w:val="en-US" w:eastAsia="en-US" w:bidi="ar-SA"/>
      </w:rPr>
    </w:lvl>
    <w:lvl w:ilvl="3" w:tplc="40C06B20">
      <w:numFmt w:val="bullet"/>
      <w:lvlText w:val="•"/>
      <w:lvlJc w:val="left"/>
      <w:pPr>
        <w:ind w:left="2090" w:hanging="360"/>
      </w:pPr>
      <w:rPr>
        <w:rFonts w:hint="default"/>
        <w:lang w:val="en-US" w:eastAsia="en-US" w:bidi="ar-SA"/>
      </w:rPr>
    </w:lvl>
    <w:lvl w:ilvl="4" w:tplc="25F47F4E">
      <w:numFmt w:val="bullet"/>
      <w:lvlText w:val="•"/>
      <w:lvlJc w:val="left"/>
      <w:pPr>
        <w:ind w:left="2345" w:hanging="360"/>
      </w:pPr>
      <w:rPr>
        <w:rFonts w:hint="default"/>
        <w:lang w:val="en-US" w:eastAsia="en-US" w:bidi="ar-SA"/>
      </w:rPr>
    </w:lvl>
    <w:lvl w:ilvl="5" w:tplc="52F84DFE">
      <w:numFmt w:val="bullet"/>
      <w:lvlText w:val="•"/>
      <w:lvlJc w:val="left"/>
      <w:pPr>
        <w:ind w:left="2600" w:hanging="360"/>
      </w:pPr>
      <w:rPr>
        <w:rFonts w:hint="default"/>
        <w:lang w:val="en-US" w:eastAsia="en-US" w:bidi="ar-SA"/>
      </w:rPr>
    </w:lvl>
    <w:lvl w:ilvl="6" w:tplc="64F0B1CA">
      <w:numFmt w:val="bullet"/>
      <w:lvlText w:val="•"/>
      <w:lvlJc w:val="left"/>
      <w:pPr>
        <w:ind w:left="2855" w:hanging="360"/>
      </w:pPr>
      <w:rPr>
        <w:rFonts w:hint="default"/>
        <w:lang w:val="en-US" w:eastAsia="en-US" w:bidi="ar-SA"/>
      </w:rPr>
    </w:lvl>
    <w:lvl w:ilvl="7" w:tplc="36ACB014">
      <w:numFmt w:val="bullet"/>
      <w:lvlText w:val="•"/>
      <w:lvlJc w:val="left"/>
      <w:pPr>
        <w:ind w:left="3110" w:hanging="360"/>
      </w:pPr>
      <w:rPr>
        <w:rFonts w:hint="default"/>
        <w:lang w:val="en-US" w:eastAsia="en-US" w:bidi="ar-SA"/>
      </w:rPr>
    </w:lvl>
    <w:lvl w:ilvl="8" w:tplc="6D967B76">
      <w:numFmt w:val="bullet"/>
      <w:lvlText w:val="•"/>
      <w:lvlJc w:val="left"/>
      <w:pPr>
        <w:ind w:left="3365" w:hanging="360"/>
      </w:pPr>
      <w:rPr>
        <w:rFonts w:hint="default"/>
        <w:lang w:val="en-US" w:eastAsia="en-US" w:bidi="ar-SA"/>
      </w:rPr>
    </w:lvl>
  </w:abstractNum>
  <w:abstractNum w:abstractNumId="15" w15:restartNumberingAfterBreak="0">
    <w:nsid w:val="46894516"/>
    <w:multiLevelType w:val="hybridMultilevel"/>
    <w:tmpl w:val="4236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B5528"/>
    <w:multiLevelType w:val="hybridMultilevel"/>
    <w:tmpl w:val="3B0EE39C"/>
    <w:lvl w:ilvl="0" w:tplc="8BBAE24A">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ECDE9D5C">
      <w:numFmt w:val="bullet"/>
      <w:lvlText w:val="•"/>
      <w:lvlJc w:val="left"/>
      <w:pPr>
        <w:ind w:left="1161" w:hanging="360"/>
      </w:pPr>
      <w:rPr>
        <w:rFonts w:hint="default"/>
        <w:lang w:val="en-US" w:eastAsia="en-US" w:bidi="ar-SA"/>
      </w:rPr>
    </w:lvl>
    <w:lvl w:ilvl="2" w:tplc="58F4EB56">
      <w:numFmt w:val="bullet"/>
      <w:lvlText w:val="•"/>
      <w:lvlJc w:val="left"/>
      <w:pPr>
        <w:ind w:left="1463" w:hanging="360"/>
      </w:pPr>
      <w:rPr>
        <w:rFonts w:hint="default"/>
        <w:lang w:val="en-US" w:eastAsia="en-US" w:bidi="ar-SA"/>
      </w:rPr>
    </w:lvl>
    <w:lvl w:ilvl="3" w:tplc="C420866A">
      <w:numFmt w:val="bullet"/>
      <w:lvlText w:val="•"/>
      <w:lvlJc w:val="left"/>
      <w:pPr>
        <w:ind w:left="1764" w:hanging="360"/>
      </w:pPr>
      <w:rPr>
        <w:rFonts w:hint="default"/>
        <w:lang w:val="en-US" w:eastAsia="en-US" w:bidi="ar-SA"/>
      </w:rPr>
    </w:lvl>
    <w:lvl w:ilvl="4" w:tplc="0B261FC8">
      <w:numFmt w:val="bullet"/>
      <w:lvlText w:val="•"/>
      <w:lvlJc w:val="left"/>
      <w:pPr>
        <w:ind w:left="2066" w:hanging="360"/>
      </w:pPr>
      <w:rPr>
        <w:rFonts w:hint="default"/>
        <w:lang w:val="en-US" w:eastAsia="en-US" w:bidi="ar-SA"/>
      </w:rPr>
    </w:lvl>
    <w:lvl w:ilvl="5" w:tplc="9C108E20">
      <w:numFmt w:val="bullet"/>
      <w:lvlText w:val="•"/>
      <w:lvlJc w:val="left"/>
      <w:pPr>
        <w:ind w:left="2367" w:hanging="360"/>
      </w:pPr>
      <w:rPr>
        <w:rFonts w:hint="default"/>
        <w:lang w:val="en-US" w:eastAsia="en-US" w:bidi="ar-SA"/>
      </w:rPr>
    </w:lvl>
    <w:lvl w:ilvl="6" w:tplc="DC487666">
      <w:numFmt w:val="bullet"/>
      <w:lvlText w:val="•"/>
      <w:lvlJc w:val="left"/>
      <w:pPr>
        <w:ind w:left="2669" w:hanging="360"/>
      </w:pPr>
      <w:rPr>
        <w:rFonts w:hint="default"/>
        <w:lang w:val="en-US" w:eastAsia="en-US" w:bidi="ar-SA"/>
      </w:rPr>
    </w:lvl>
    <w:lvl w:ilvl="7" w:tplc="98546330">
      <w:numFmt w:val="bullet"/>
      <w:lvlText w:val="•"/>
      <w:lvlJc w:val="left"/>
      <w:pPr>
        <w:ind w:left="2970" w:hanging="360"/>
      </w:pPr>
      <w:rPr>
        <w:rFonts w:hint="default"/>
        <w:lang w:val="en-US" w:eastAsia="en-US" w:bidi="ar-SA"/>
      </w:rPr>
    </w:lvl>
    <w:lvl w:ilvl="8" w:tplc="C206FC0A">
      <w:numFmt w:val="bullet"/>
      <w:lvlText w:val="•"/>
      <w:lvlJc w:val="left"/>
      <w:pPr>
        <w:ind w:left="3272" w:hanging="360"/>
      </w:pPr>
      <w:rPr>
        <w:rFonts w:hint="default"/>
        <w:lang w:val="en-US" w:eastAsia="en-US" w:bidi="ar-SA"/>
      </w:rPr>
    </w:lvl>
  </w:abstractNum>
  <w:abstractNum w:abstractNumId="17" w15:restartNumberingAfterBreak="0">
    <w:nsid w:val="50A049FB"/>
    <w:multiLevelType w:val="hybridMultilevel"/>
    <w:tmpl w:val="B2CA6066"/>
    <w:lvl w:ilvl="0" w:tplc="A8FAEC44">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1" w:tplc="9AB6CB66">
      <w:numFmt w:val="bullet"/>
      <w:lvlText w:val="•"/>
      <w:lvlJc w:val="left"/>
      <w:pPr>
        <w:ind w:left="1809" w:hanging="360"/>
      </w:pPr>
      <w:rPr>
        <w:rFonts w:hint="default"/>
        <w:lang w:val="en-US" w:eastAsia="en-US" w:bidi="ar-SA"/>
      </w:rPr>
    </w:lvl>
    <w:lvl w:ilvl="2" w:tplc="7CB8358E">
      <w:numFmt w:val="bullet"/>
      <w:lvlText w:val="•"/>
      <w:lvlJc w:val="left"/>
      <w:pPr>
        <w:ind w:left="2039" w:hanging="360"/>
      </w:pPr>
      <w:rPr>
        <w:rFonts w:hint="default"/>
        <w:lang w:val="en-US" w:eastAsia="en-US" w:bidi="ar-SA"/>
      </w:rPr>
    </w:lvl>
    <w:lvl w:ilvl="3" w:tplc="D53E3D7A">
      <w:numFmt w:val="bullet"/>
      <w:lvlText w:val="•"/>
      <w:lvlJc w:val="left"/>
      <w:pPr>
        <w:ind w:left="2268" w:hanging="360"/>
      </w:pPr>
      <w:rPr>
        <w:rFonts w:hint="default"/>
        <w:lang w:val="en-US" w:eastAsia="en-US" w:bidi="ar-SA"/>
      </w:rPr>
    </w:lvl>
    <w:lvl w:ilvl="4" w:tplc="F2101832">
      <w:numFmt w:val="bullet"/>
      <w:lvlText w:val="•"/>
      <w:lvlJc w:val="left"/>
      <w:pPr>
        <w:ind w:left="2498" w:hanging="360"/>
      </w:pPr>
      <w:rPr>
        <w:rFonts w:hint="default"/>
        <w:lang w:val="en-US" w:eastAsia="en-US" w:bidi="ar-SA"/>
      </w:rPr>
    </w:lvl>
    <w:lvl w:ilvl="5" w:tplc="825A2C78">
      <w:numFmt w:val="bullet"/>
      <w:lvlText w:val="•"/>
      <w:lvlJc w:val="left"/>
      <w:pPr>
        <w:ind w:left="2727" w:hanging="360"/>
      </w:pPr>
      <w:rPr>
        <w:rFonts w:hint="default"/>
        <w:lang w:val="en-US" w:eastAsia="en-US" w:bidi="ar-SA"/>
      </w:rPr>
    </w:lvl>
    <w:lvl w:ilvl="6" w:tplc="5740C3BA">
      <w:numFmt w:val="bullet"/>
      <w:lvlText w:val="•"/>
      <w:lvlJc w:val="left"/>
      <w:pPr>
        <w:ind w:left="2957" w:hanging="360"/>
      </w:pPr>
      <w:rPr>
        <w:rFonts w:hint="default"/>
        <w:lang w:val="en-US" w:eastAsia="en-US" w:bidi="ar-SA"/>
      </w:rPr>
    </w:lvl>
    <w:lvl w:ilvl="7" w:tplc="5ED6B510">
      <w:numFmt w:val="bullet"/>
      <w:lvlText w:val="•"/>
      <w:lvlJc w:val="left"/>
      <w:pPr>
        <w:ind w:left="3186" w:hanging="360"/>
      </w:pPr>
      <w:rPr>
        <w:rFonts w:hint="default"/>
        <w:lang w:val="en-US" w:eastAsia="en-US" w:bidi="ar-SA"/>
      </w:rPr>
    </w:lvl>
    <w:lvl w:ilvl="8" w:tplc="BFF6C9CE">
      <w:numFmt w:val="bullet"/>
      <w:lvlText w:val="•"/>
      <w:lvlJc w:val="left"/>
      <w:pPr>
        <w:ind w:left="3416" w:hanging="360"/>
      </w:pPr>
      <w:rPr>
        <w:rFonts w:hint="default"/>
        <w:lang w:val="en-US" w:eastAsia="en-US" w:bidi="ar-SA"/>
      </w:rPr>
    </w:lvl>
  </w:abstractNum>
  <w:abstractNum w:abstractNumId="18" w15:restartNumberingAfterBreak="0">
    <w:nsid w:val="51097ED3"/>
    <w:multiLevelType w:val="hybridMultilevel"/>
    <w:tmpl w:val="DA54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B2B90"/>
    <w:multiLevelType w:val="hybridMultilevel"/>
    <w:tmpl w:val="C3BC8456"/>
    <w:lvl w:ilvl="0" w:tplc="363057C6">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A41C3844">
      <w:numFmt w:val="bullet"/>
      <w:lvlText w:val="•"/>
      <w:lvlJc w:val="left"/>
      <w:pPr>
        <w:ind w:left="1161" w:hanging="360"/>
      </w:pPr>
      <w:rPr>
        <w:rFonts w:hint="default"/>
        <w:lang w:val="en-US" w:eastAsia="en-US" w:bidi="ar-SA"/>
      </w:rPr>
    </w:lvl>
    <w:lvl w:ilvl="2" w:tplc="FED4D14C">
      <w:numFmt w:val="bullet"/>
      <w:lvlText w:val="•"/>
      <w:lvlJc w:val="left"/>
      <w:pPr>
        <w:ind w:left="1463" w:hanging="360"/>
      </w:pPr>
      <w:rPr>
        <w:rFonts w:hint="default"/>
        <w:lang w:val="en-US" w:eastAsia="en-US" w:bidi="ar-SA"/>
      </w:rPr>
    </w:lvl>
    <w:lvl w:ilvl="3" w:tplc="00864B18">
      <w:numFmt w:val="bullet"/>
      <w:lvlText w:val="•"/>
      <w:lvlJc w:val="left"/>
      <w:pPr>
        <w:ind w:left="1764" w:hanging="360"/>
      </w:pPr>
      <w:rPr>
        <w:rFonts w:hint="default"/>
        <w:lang w:val="en-US" w:eastAsia="en-US" w:bidi="ar-SA"/>
      </w:rPr>
    </w:lvl>
    <w:lvl w:ilvl="4" w:tplc="2B7E05EE">
      <w:numFmt w:val="bullet"/>
      <w:lvlText w:val="•"/>
      <w:lvlJc w:val="left"/>
      <w:pPr>
        <w:ind w:left="2066" w:hanging="360"/>
      </w:pPr>
      <w:rPr>
        <w:rFonts w:hint="default"/>
        <w:lang w:val="en-US" w:eastAsia="en-US" w:bidi="ar-SA"/>
      </w:rPr>
    </w:lvl>
    <w:lvl w:ilvl="5" w:tplc="EFBA6E5E">
      <w:numFmt w:val="bullet"/>
      <w:lvlText w:val="•"/>
      <w:lvlJc w:val="left"/>
      <w:pPr>
        <w:ind w:left="2367" w:hanging="360"/>
      </w:pPr>
      <w:rPr>
        <w:rFonts w:hint="default"/>
        <w:lang w:val="en-US" w:eastAsia="en-US" w:bidi="ar-SA"/>
      </w:rPr>
    </w:lvl>
    <w:lvl w:ilvl="6" w:tplc="84449EB4">
      <w:numFmt w:val="bullet"/>
      <w:lvlText w:val="•"/>
      <w:lvlJc w:val="left"/>
      <w:pPr>
        <w:ind w:left="2669" w:hanging="360"/>
      </w:pPr>
      <w:rPr>
        <w:rFonts w:hint="default"/>
        <w:lang w:val="en-US" w:eastAsia="en-US" w:bidi="ar-SA"/>
      </w:rPr>
    </w:lvl>
    <w:lvl w:ilvl="7" w:tplc="C944EE0C">
      <w:numFmt w:val="bullet"/>
      <w:lvlText w:val="•"/>
      <w:lvlJc w:val="left"/>
      <w:pPr>
        <w:ind w:left="2970" w:hanging="360"/>
      </w:pPr>
      <w:rPr>
        <w:rFonts w:hint="default"/>
        <w:lang w:val="en-US" w:eastAsia="en-US" w:bidi="ar-SA"/>
      </w:rPr>
    </w:lvl>
    <w:lvl w:ilvl="8" w:tplc="EC727F40">
      <w:numFmt w:val="bullet"/>
      <w:lvlText w:val="•"/>
      <w:lvlJc w:val="left"/>
      <w:pPr>
        <w:ind w:left="3272" w:hanging="360"/>
      </w:pPr>
      <w:rPr>
        <w:rFonts w:hint="default"/>
        <w:lang w:val="en-US" w:eastAsia="en-US" w:bidi="ar-SA"/>
      </w:rPr>
    </w:lvl>
  </w:abstractNum>
  <w:abstractNum w:abstractNumId="20" w15:restartNumberingAfterBreak="0">
    <w:nsid w:val="5F243AC8"/>
    <w:multiLevelType w:val="hybridMultilevel"/>
    <w:tmpl w:val="7570E048"/>
    <w:lvl w:ilvl="0" w:tplc="04090001">
      <w:start w:val="1"/>
      <w:numFmt w:val="bullet"/>
      <w:lvlText w:val=""/>
      <w:lvlJc w:val="left"/>
      <w:pPr>
        <w:ind w:left="1577"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809" w:hanging="360"/>
      </w:pPr>
      <w:rPr>
        <w:rFonts w:hint="default"/>
        <w:lang w:val="en-US" w:eastAsia="en-US" w:bidi="ar-SA"/>
      </w:rPr>
    </w:lvl>
    <w:lvl w:ilvl="2" w:tplc="FFFFFFFF">
      <w:numFmt w:val="bullet"/>
      <w:lvlText w:val="•"/>
      <w:lvlJc w:val="left"/>
      <w:pPr>
        <w:ind w:left="2039" w:hanging="360"/>
      </w:pPr>
      <w:rPr>
        <w:rFonts w:hint="default"/>
        <w:lang w:val="en-US" w:eastAsia="en-US" w:bidi="ar-SA"/>
      </w:rPr>
    </w:lvl>
    <w:lvl w:ilvl="3" w:tplc="FFFFFFFF">
      <w:numFmt w:val="bullet"/>
      <w:lvlText w:val="•"/>
      <w:lvlJc w:val="left"/>
      <w:pPr>
        <w:ind w:left="2268" w:hanging="360"/>
      </w:pPr>
      <w:rPr>
        <w:rFonts w:hint="default"/>
        <w:lang w:val="en-US" w:eastAsia="en-US" w:bidi="ar-SA"/>
      </w:rPr>
    </w:lvl>
    <w:lvl w:ilvl="4" w:tplc="FFFFFFFF">
      <w:numFmt w:val="bullet"/>
      <w:lvlText w:val="•"/>
      <w:lvlJc w:val="left"/>
      <w:pPr>
        <w:ind w:left="2498" w:hanging="360"/>
      </w:pPr>
      <w:rPr>
        <w:rFonts w:hint="default"/>
        <w:lang w:val="en-US" w:eastAsia="en-US" w:bidi="ar-SA"/>
      </w:rPr>
    </w:lvl>
    <w:lvl w:ilvl="5" w:tplc="FFFFFFFF">
      <w:numFmt w:val="bullet"/>
      <w:lvlText w:val="•"/>
      <w:lvlJc w:val="left"/>
      <w:pPr>
        <w:ind w:left="2727" w:hanging="360"/>
      </w:pPr>
      <w:rPr>
        <w:rFonts w:hint="default"/>
        <w:lang w:val="en-US" w:eastAsia="en-US" w:bidi="ar-SA"/>
      </w:rPr>
    </w:lvl>
    <w:lvl w:ilvl="6" w:tplc="FFFFFFFF">
      <w:numFmt w:val="bullet"/>
      <w:lvlText w:val="•"/>
      <w:lvlJc w:val="left"/>
      <w:pPr>
        <w:ind w:left="2957" w:hanging="360"/>
      </w:pPr>
      <w:rPr>
        <w:rFonts w:hint="default"/>
        <w:lang w:val="en-US" w:eastAsia="en-US" w:bidi="ar-SA"/>
      </w:rPr>
    </w:lvl>
    <w:lvl w:ilvl="7" w:tplc="FFFFFFFF">
      <w:numFmt w:val="bullet"/>
      <w:lvlText w:val="•"/>
      <w:lvlJc w:val="left"/>
      <w:pPr>
        <w:ind w:left="3186" w:hanging="360"/>
      </w:pPr>
      <w:rPr>
        <w:rFonts w:hint="default"/>
        <w:lang w:val="en-US" w:eastAsia="en-US" w:bidi="ar-SA"/>
      </w:rPr>
    </w:lvl>
    <w:lvl w:ilvl="8" w:tplc="FFFFFFFF">
      <w:numFmt w:val="bullet"/>
      <w:lvlText w:val="•"/>
      <w:lvlJc w:val="left"/>
      <w:pPr>
        <w:ind w:left="3416" w:hanging="360"/>
      </w:pPr>
      <w:rPr>
        <w:rFonts w:hint="default"/>
        <w:lang w:val="en-US" w:eastAsia="en-US" w:bidi="ar-SA"/>
      </w:rPr>
    </w:lvl>
  </w:abstractNum>
  <w:abstractNum w:abstractNumId="21" w15:restartNumberingAfterBreak="0">
    <w:nsid w:val="71645AC9"/>
    <w:multiLevelType w:val="hybridMultilevel"/>
    <w:tmpl w:val="43EE697E"/>
    <w:lvl w:ilvl="0" w:tplc="84646342">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6FB049B2">
      <w:numFmt w:val="bullet"/>
      <w:lvlText w:val="•"/>
      <w:lvlJc w:val="left"/>
      <w:pPr>
        <w:ind w:left="1161" w:hanging="360"/>
      </w:pPr>
      <w:rPr>
        <w:rFonts w:hint="default"/>
        <w:lang w:val="en-US" w:eastAsia="en-US" w:bidi="ar-SA"/>
      </w:rPr>
    </w:lvl>
    <w:lvl w:ilvl="2" w:tplc="BEDA21F6">
      <w:numFmt w:val="bullet"/>
      <w:lvlText w:val="•"/>
      <w:lvlJc w:val="left"/>
      <w:pPr>
        <w:ind w:left="1463" w:hanging="360"/>
      </w:pPr>
      <w:rPr>
        <w:rFonts w:hint="default"/>
        <w:lang w:val="en-US" w:eastAsia="en-US" w:bidi="ar-SA"/>
      </w:rPr>
    </w:lvl>
    <w:lvl w:ilvl="3" w:tplc="53787DA8">
      <w:numFmt w:val="bullet"/>
      <w:lvlText w:val="•"/>
      <w:lvlJc w:val="left"/>
      <w:pPr>
        <w:ind w:left="1764" w:hanging="360"/>
      </w:pPr>
      <w:rPr>
        <w:rFonts w:hint="default"/>
        <w:lang w:val="en-US" w:eastAsia="en-US" w:bidi="ar-SA"/>
      </w:rPr>
    </w:lvl>
    <w:lvl w:ilvl="4" w:tplc="FDA66DE2">
      <w:numFmt w:val="bullet"/>
      <w:lvlText w:val="•"/>
      <w:lvlJc w:val="left"/>
      <w:pPr>
        <w:ind w:left="2066" w:hanging="360"/>
      </w:pPr>
      <w:rPr>
        <w:rFonts w:hint="default"/>
        <w:lang w:val="en-US" w:eastAsia="en-US" w:bidi="ar-SA"/>
      </w:rPr>
    </w:lvl>
    <w:lvl w:ilvl="5" w:tplc="D508537C">
      <w:numFmt w:val="bullet"/>
      <w:lvlText w:val="•"/>
      <w:lvlJc w:val="left"/>
      <w:pPr>
        <w:ind w:left="2367" w:hanging="360"/>
      </w:pPr>
      <w:rPr>
        <w:rFonts w:hint="default"/>
        <w:lang w:val="en-US" w:eastAsia="en-US" w:bidi="ar-SA"/>
      </w:rPr>
    </w:lvl>
    <w:lvl w:ilvl="6" w:tplc="36E44048">
      <w:numFmt w:val="bullet"/>
      <w:lvlText w:val="•"/>
      <w:lvlJc w:val="left"/>
      <w:pPr>
        <w:ind w:left="2669" w:hanging="360"/>
      </w:pPr>
      <w:rPr>
        <w:rFonts w:hint="default"/>
        <w:lang w:val="en-US" w:eastAsia="en-US" w:bidi="ar-SA"/>
      </w:rPr>
    </w:lvl>
    <w:lvl w:ilvl="7" w:tplc="5BDED002">
      <w:numFmt w:val="bullet"/>
      <w:lvlText w:val="•"/>
      <w:lvlJc w:val="left"/>
      <w:pPr>
        <w:ind w:left="2970" w:hanging="360"/>
      </w:pPr>
      <w:rPr>
        <w:rFonts w:hint="default"/>
        <w:lang w:val="en-US" w:eastAsia="en-US" w:bidi="ar-SA"/>
      </w:rPr>
    </w:lvl>
    <w:lvl w:ilvl="8" w:tplc="7B8893BA">
      <w:numFmt w:val="bullet"/>
      <w:lvlText w:val="•"/>
      <w:lvlJc w:val="left"/>
      <w:pPr>
        <w:ind w:left="3272" w:hanging="360"/>
      </w:pPr>
      <w:rPr>
        <w:rFonts w:hint="default"/>
        <w:lang w:val="en-US" w:eastAsia="en-US" w:bidi="ar-SA"/>
      </w:rPr>
    </w:lvl>
  </w:abstractNum>
  <w:abstractNum w:abstractNumId="22" w15:restartNumberingAfterBreak="0">
    <w:nsid w:val="72E330A0"/>
    <w:multiLevelType w:val="hybridMultilevel"/>
    <w:tmpl w:val="69401D90"/>
    <w:lvl w:ilvl="0" w:tplc="64BA991A">
      <w:numFmt w:val="bullet"/>
      <w:lvlText w:val="●"/>
      <w:lvlJc w:val="left"/>
      <w:pPr>
        <w:ind w:left="857" w:hanging="360"/>
      </w:pPr>
      <w:rPr>
        <w:rFonts w:ascii="Arial" w:eastAsia="Arial" w:hAnsi="Arial" w:cs="Arial" w:hint="default"/>
        <w:b w:val="0"/>
        <w:bCs w:val="0"/>
        <w:i w:val="0"/>
        <w:iCs w:val="0"/>
        <w:w w:val="100"/>
        <w:sz w:val="22"/>
        <w:szCs w:val="22"/>
        <w:lang w:val="en-US" w:eastAsia="en-US" w:bidi="ar-SA"/>
      </w:rPr>
    </w:lvl>
    <w:lvl w:ilvl="1" w:tplc="E954E04E">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2" w:tplc="AD26FC68">
      <w:numFmt w:val="bullet"/>
      <w:lvlText w:val="•"/>
      <w:lvlJc w:val="left"/>
      <w:pPr>
        <w:ind w:left="1835" w:hanging="360"/>
      </w:pPr>
      <w:rPr>
        <w:rFonts w:hint="default"/>
        <w:lang w:val="en-US" w:eastAsia="en-US" w:bidi="ar-SA"/>
      </w:rPr>
    </w:lvl>
    <w:lvl w:ilvl="3" w:tplc="AD5AFF9E">
      <w:numFmt w:val="bullet"/>
      <w:lvlText w:val="•"/>
      <w:lvlJc w:val="left"/>
      <w:pPr>
        <w:ind w:left="2090" w:hanging="360"/>
      </w:pPr>
      <w:rPr>
        <w:rFonts w:hint="default"/>
        <w:lang w:val="en-US" w:eastAsia="en-US" w:bidi="ar-SA"/>
      </w:rPr>
    </w:lvl>
    <w:lvl w:ilvl="4" w:tplc="E5F2FE42">
      <w:numFmt w:val="bullet"/>
      <w:lvlText w:val="•"/>
      <w:lvlJc w:val="left"/>
      <w:pPr>
        <w:ind w:left="2345" w:hanging="360"/>
      </w:pPr>
      <w:rPr>
        <w:rFonts w:hint="default"/>
        <w:lang w:val="en-US" w:eastAsia="en-US" w:bidi="ar-SA"/>
      </w:rPr>
    </w:lvl>
    <w:lvl w:ilvl="5" w:tplc="CA04B7CA">
      <w:numFmt w:val="bullet"/>
      <w:lvlText w:val="•"/>
      <w:lvlJc w:val="left"/>
      <w:pPr>
        <w:ind w:left="2600" w:hanging="360"/>
      </w:pPr>
      <w:rPr>
        <w:rFonts w:hint="default"/>
        <w:lang w:val="en-US" w:eastAsia="en-US" w:bidi="ar-SA"/>
      </w:rPr>
    </w:lvl>
    <w:lvl w:ilvl="6" w:tplc="70FE342A">
      <w:numFmt w:val="bullet"/>
      <w:lvlText w:val="•"/>
      <w:lvlJc w:val="left"/>
      <w:pPr>
        <w:ind w:left="2855" w:hanging="360"/>
      </w:pPr>
      <w:rPr>
        <w:rFonts w:hint="default"/>
        <w:lang w:val="en-US" w:eastAsia="en-US" w:bidi="ar-SA"/>
      </w:rPr>
    </w:lvl>
    <w:lvl w:ilvl="7" w:tplc="8CE4692A">
      <w:numFmt w:val="bullet"/>
      <w:lvlText w:val="•"/>
      <w:lvlJc w:val="left"/>
      <w:pPr>
        <w:ind w:left="3110" w:hanging="360"/>
      </w:pPr>
      <w:rPr>
        <w:rFonts w:hint="default"/>
        <w:lang w:val="en-US" w:eastAsia="en-US" w:bidi="ar-SA"/>
      </w:rPr>
    </w:lvl>
    <w:lvl w:ilvl="8" w:tplc="C95ED6B6">
      <w:numFmt w:val="bullet"/>
      <w:lvlText w:val="•"/>
      <w:lvlJc w:val="left"/>
      <w:pPr>
        <w:ind w:left="3365" w:hanging="360"/>
      </w:pPr>
      <w:rPr>
        <w:rFonts w:hint="default"/>
        <w:lang w:val="en-US" w:eastAsia="en-US" w:bidi="ar-SA"/>
      </w:rPr>
    </w:lvl>
  </w:abstractNum>
  <w:abstractNum w:abstractNumId="23" w15:restartNumberingAfterBreak="0">
    <w:nsid w:val="738C149C"/>
    <w:multiLevelType w:val="hybridMultilevel"/>
    <w:tmpl w:val="CACA1CD4"/>
    <w:lvl w:ilvl="0" w:tplc="5BFAEFFC">
      <w:numFmt w:val="bullet"/>
      <w:lvlText w:val="○"/>
      <w:lvlJc w:val="left"/>
      <w:pPr>
        <w:ind w:left="1577" w:hanging="360"/>
      </w:pPr>
      <w:rPr>
        <w:rFonts w:ascii="Arial" w:eastAsia="Arial" w:hAnsi="Arial" w:cs="Arial" w:hint="default"/>
        <w:b w:val="0"/>
        <w:bCs w:val="0"/>
        <w:i w:val="0"/>
        <w:iCs w:val="0"/>
        <w:w w:val="100"/>
        <w:sz w:val="22"/>
        <w:szCs w:val="22"/>
        <w:lang w:val="en-US" w:eastAsia="en-US" w:bidi="ar-SA"/>
      </w:rPr>
    </w:lvl>
    <w:lvl w:ilvl="1" w:tplc="21984A6C">
      <w:numFmt w:val="bullet"/>
      <w:lvlText w:val="•"/>
      <w:lvlJc w:val="left"/>
      <w:pPr>
        <w:ind w:left="1809" w:hanging="360"/>
      </w:pPr>
      <w:rPr>
        <w:rFonts w:hint="default"/>
        <w:lang w:val="en-US" w:eastAsia="en-US" w:bidi="ar-SA"/>
      </w:rPr>
    </w:lvl>
    <w:lvl w:ilvl="2" w:tplc="729C4E34">
      <w:numFmt w:val="bullet"/>
      <w:lvlText w:val="•"/>
      <w:lvlJc w:val="left"/>
      <w:pPr>
        <w:ind w:left="2039" w:hanging="360"/>
      </w:pPr>
      <w:rPr>
        <w:rFonts w:hint="default"/>
        <w:lang w:val="en-US" w:eastAsia="en-US" w:bidi="ar-SA"/>
      </w:rPr>
    </w:lvl>
    <w:lvl w:ilvl="3" w:tplc="B3A8B224">
      <w:numFmt w:val="bullet"/>
      <w:lvlText w:val="•"/>
      <w:lvlJc w:val="left"/>
      <w:pPr>
        <w:ind w:left="2268" w:hanging="360"/>
      </w:pPr>
      <w:rPr>
        <w:rFonts w:hint="default"/>
        <w:lang w:val="en-US" w:eastAsia="en-US" w:bidi="ar-SA"/>
      </w:rPr>
    </w:lvl>
    <w:lvl w:ilvl="4" w:tplc="ABC8B1F0">
      <w:numFmt w:val="bullet"/>
      <w:lvlText w:val="•"/>
      <w:lvlJc w:val="left"/>
      <w:pPr>
        <w:ind w:left="2498" w:hanging="360"/>
      </w:pPr>
      <w:rPr>
        <w:rFonts w:hint="default"/>
        <w:lang w:val="en-US" w:eastAsia="en-US" w:bidi="ar-SA"/>
      </w:rPr>
    </w:lvl>
    <w:lvl w:ilvl="5" w:tplc="C60EC12C">
      <w:numFmt w:val="bullet"/>
      <w:lvlText w:val="•"/>
      <w:lvlJc w:val="left"/>
      <w:pPr>
        <w:ind w:left="2727" w:hanging="360"/>
      </w:pPr>
      <w:rPr>
        <w:rFonts w:hint="default"/>
        <w:lang w:val="en-US" w:eastAsia="en-US" w:bidi="ar-SA"/>
      </w:rPr>
    </w:lvl>
    <w:lvl w:ilvl="6" w:tplc="29B426DA">
      <w:numFmt w:val="bullet"/>
      <w:lvlText w:val="•"/>
      <w:lvlJc w:val="left"/>
      <w:pPr>
        <w:ind w:left="2957" w:hanging="360"/>
      </w:pPr>
      <w:rPr>
        <w:rFonts w:hint="default"/>
        <w:lang w:val="en-US" w:eastAsia="en-US" w:bidi="ar-SA"/>
      </w:rPr>
    </w:lvl>
    <w:lvl w:ilvl="7" w:tplc="F9E203A4">
      <w:numFmt w:val="bullet"/>
      <w:lvlText w:val="•"/>
      <w:lvlJc w:val="left"/>
      <w:pPr>
        <w:ind w:left="3186" w:hanging="360"/>
      </w:pPr>
      <w:rPr>
        <w:rFonts w:hint="default"/>
        <w:lang w:val="en-US" w:eastAsia="en-US" w:bidi="ar-SA"/>
      </w:rPr>
    </w:lvl>
    <w:lvl w:ilvl="8" w:tplc="ECAABC04">
      <w:numFmt w:val="bullet"/>
      <w:lvlText w:val="•"/>
      <w:lvlJc w:val="left"/>
      <w:pPr>
        <w:ind w:left="3416" w:hanging="360"/>
      </w:pPr>
      <w:rPr>
        <w:rFonts w:hint="default"/>
        <w:lang w:val="en-US" w:eastAsia="en-US" w:bidi="ar-SA"/>
      </w:rPr>
    </w:lvl>
  </w:abstractNum>
  <w:num w:numId="1" w16cid:durableId="998580057">
    <w:abstractNumId w:val="0"/>
  </w:num>
  <w:num w:numId="2" w16cid:durableId="2020541603">
    <w:abstractNumId w:val="22"/>
  </w:num>
  <w:num w:numId="3" w16cid:durableId="992873861">
    <w:abstractNumId w:val="12"/>
  </w:num>
  <w:num w:numId="4" w16cid:durableId="1433550197">
    <w:abstractNumId w:val="13"/>
  </w:num>
  <w:num w:numId="5" w16cid:durableId="1423138507">
    <w:abstractNumId w:val="20"/>
  </w:num>
  <w:num w:numId="6" w16cid:durableId="1460295540">
    <w:abstractNumId w:val="9"/>
  </w:num>
  <w:num w:numId="7" w16cid:durableId="1173912690">
    <w:abstractNumId w:val="7"/>
  </w:num>
  <w:num w:numId="8" w16cid:durableId="1882091296">
    <w:abstractNumId w:val="21"/>
  </w:num>
  <w:num w:numId="9" w16cid:durableId="1281496793">
    <w:abstractNumId w:val="19"/>
  </w:num>
  <w:num w:numId="10" w16cid:durableId="1856533293">
    <w:abstractNumId w:val="10"/>
  </w:num>
  <w:num w:numId="11" w16cid:durableId="743454229">
    <w:abstractNumId w:val="2"/>
  </w:num>
  <w:num w:numId="12" w16cid:durableId="642082410">
    <w:abstractNumId w:val="14"/>
  </w:num>
  <w:num w:numId="13" w16cid:durableId="738987405">
    <w:abstractNumId w:val="16"/>
  </w:num>
  <w:num w:numId="14" w16cid:durableId="2061435998">
    <w:abstractNumId w:val="11"/>
  </w:num>
  <w:num w:numId="15" w16cid:durableId="1831825594">
    <w:abstractNumId w:val="23"/>
  </w:num>
  <w:num w:numId="16" w16cid:durableId="1914199005">
    <w:abstractNumId w:val="4"/>
  </w:num>
  <w:num w:numId="17" w16cid:durableId="137263557">
    <w:abstractNumId w:val="17"/>
  </w:num>
  <w:num w:numId="18" w16cid:durableId="1515487011">
    <w:abstractNumId w:val="8"/>
  </w:num>
  <w:num w:numId="19" w16cid:durableId="1844054664">
    <w:abstractNumId w:val="3"/>
  </w:num>
  <w:num w:numId="20" w16cid:durableId="807360089">
    <w:abstractNumId w:val="5"/>
  </w:num>
  <w:num w:numId="21" w16cid:durableId="1728528719">
    <w:abstractNumId w:val="1"/>
  </w:num>
  <w:num w:numId="22" w16cid:durableId="863860392">
    <w:abstractNumId w:val="6"/>
  </w:num>
  <w:num w:numId="23" w16cid:durableId="1599868285">
    <w:abstractNumId w:val="15"/>
  </w:num>
  <w:num w:numId="24" w16cid:durableId="506139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68"/>
    <w:rsid w:val="00000B7B"/>
    <w:rsid w:val="000035B3"/>
    <w:rsid w:val="00040133"/>
    <w:rsid w:val="000538BA"/>
    <w:rsid w:val="00053C8F"/>
    <w:rsid w:val="00060FD9"/>
    <w:rsid w:val="0007224C"/>
    <w:rsid w:val="00090933"/>
    <w:rsid w:val="00090E8A"/>
    <w:rsid w:val="0009307C"/>
    <w:rsid w:val="00094638"/>
    <w:rsid w:val="000B040C"/>
    <w:rsid w:val="000B4FC1"/>
    <w:rsid w:val="000D6085"/>
    <w:rsid w:val="000E05C1"/>
    <w:rsid w:val="000E6334"/>
    <w:rsid w:val="00102263"/>
    <w:rsid w:val="00110169"/>
    <w:rsid w:val="0011588A"/>
    <w:rsid w:val="00117CD4"/>
    <w:rsid w:val="00120161"/>
    <w:rsid w:val="00141CB0"/>
    <w:rsid w:val="001521C3"/>
    <w:rsid w:val="001568AB"/>
    <w:rsid w:val="001606A5"/>
    <w:rsid w:val="001619F1"/>
    <w:rsid w:val="00162274"/>
    <w:rsid w:val="001633BD"/>
    <w:rsid w:val="001727B1"/>
    <w:rsid w:val="00176FF8"/>
    <w:rsid w:val="001839D4"/>
    <w:rsid w:val="0018724A"/>
    <w:rsid w:val="00187D6F"/>
    <w:rsid w:val="001947BE"/>
    <w:rsid w:val="001C43B6"/>
    <w:rsid w:val="001C7403"/>
    <w:rsid w:val="001E3549"/>
    <w:rsid w:val="001F1768"/>
    <w:rsid w:val="001F27B9"/>
    <w:rsid w:val="001F4350"/>
    <w:rsid w:val="00205739"/>
    <w:rsid w:val="00215173"/>
    <w:rsid w:val="00224887"/>
    <w:rsid w:val="0023761A"/>
    <w:rsid w:val="00245030"/>
    <w:rsid w:val="002637C1"/>
    <w:rsid w:val="00281CDB"/>
    <w:rsid w:val="0028634C"/>
    <w:rsid w:val="002939D6"/>
    <w:rsid w:val="002D0A1F"/>
    <w:rsid w:val="002D2067"/>
    <w:rsid w:val="002F0E2E"/>
    <w:rsid w:val="002F25E1"/>
    <w:rsid w:val="002F2C13"/>
    <w:rsid w:val="00306A1E"/>
    <w:rsid w:val="00310413"/>
    <w:rsid w:val="0031165A"/>
    <w:rsid w:val="0033006F"/>
    <w:rsid w:val="0033569D"/>
    <w:rsid w:val="00345FC1"/>
    <w:rsid w:val="0035260F"/>
    <w:rsid w:val="00366212"/>
    <w:rsid w:val="00371716"/>
    <w:rsid w:val="003774E3"/>
    <w:rsid w:val="00377E75"/>
    <w:rsid w:val="00385E40"/>
    <w:rsid w:val="003B61DA"/>
    <w:rsid w:val="003D0F6A"/>
    <w:rsid w:val="003D443A"/>
    <w:rsid w:val="003E2E88"/>
    <w:rsid w:val="00403BAC"/>
    <w:rsid w:val="0041376E"/>
    <w:rsid w:val="004154BC"/>
    <w:rsid w:val="00415B54"/>
    <w:rsid w:val="00416431"/>
    <w:rsid w:val="004202A9"/>
    <w:rsid w:val="004246ED"/>
    <w:rsid w:val="00426D3F"/>
    <w:rsid w:val="00437EED"/>
    <w:rsid w:val="00442E94"/>
    <w:rsid w:val="0044404B"/>
    <w:rsid w:val="00445850"/>
    <w:rsid w:val="00450220"/>
    <w:rsid w:val="00450275"/>
    <w:rsid w:val="00453B2C"/>
    <w:rsid w:val="00453F72"/>
    <w:rsid w:val="00464A7F"/>
    <w:rsid w:val="00464F8C"/>
    <w:rsid w:val="0047675D"/>
    <w:rsid w:val="004A76AC"/>
    <w:rsid w:val="004C65C9"/>
    <w:rsid w:val="004C7B33"/>
    <w:rsid w:val="004D5B26"/>
    <w:rsid w:val="004E5C5E"/>
    <w:rsid w:val="004F45C8"/>
    <w:rsid w:val="005041D0"/>
    <w:rsid w:val="0051150C"/>
    <w:rsid w:val="005402DF"/>
    <w:rsid w:val="00543212"/>
    <w:rsid w:val="0055112C"/>
    <w:rsid w:val="00584369"/>
    <w:rsid w:val="005A2D2B"/>
    <w:rsid w:val="005E0B9A"/>
    <w:rsid w:val="005E3ABE"/>
    <w:rsid w:val="005F2680"/>
    <w:rsid w:val="00611A29"/>
    <w:rsid w:val="006362C8"/>
    <w:rsid w:val="00652E71"/>
    <w:rsid w:val="00667E7E"/>
    <w:rsid w:val="00675D08"/>
    <w:rsid w:val="0067656F"/>
    <w:rsid w:val="006765E0"/>
    <w:rsid w:val="00686726"/>
    <w:rsid w:val="006B1DA0"/>
    <w:rsid w:val="006D6677"/>
    <w:rsid w:val="00707928"/>
    <w:rsid w:val="007106DC"/>
    <w:rsid w:val="0077681D"/>
    <w:rsid w:val="00780D5E"/>
    <w:rsid w:val="00783A0E"/>
    <w:rsid w:val="007C62F6"/>
    <w:rsid w:val="007C6E66"/>
    <w:rsid w:val="0081180A"/>
    <w:rsid w:val="00835F97"/>
    <w:rsid w:val="0084455C"/>
    <w:rsid w:val="00851C31"/>
    <w:rsid w:val="00853BE0"/>
    <w:rsid w:val="00855FF3"/>
    <w:rsid w:val="0086011F"/>
    <w:rsid w:val="0086300A"/>
    <w:rsid w:val="00866796"/>
    <w:rsid w:val="008766E5"/>
    <w:rsid w:val="00877A6E"/>
    <w:rsid w:val="00883FEE"/>
    <w:rsid w:val="008A1FA9"/>
    <w:rsid w:val="008A2505"/>
    <w:rsid w:val="008A7813"/>
    <w:rsid w:val="008B7FA8"/>
    <w:rsid w:val="008C3902"/>
    <w:rsid w:val="008C775F"/>
    <w:rsid w:val="008D0A17"/>
    <w:rsid w:val="008D259C"/>
    <w:rsid w:val="008E0B8B"/>
    <w:rsid w:val="008E690D"/>
    <w:rsid w:val="00901A42"/>
    <w:rsid w:val="00917143"/>
    <w:rsid w:val="009218D6"/>
    <w:rsid w:val="00932BDB"/>
    <w:rsid w:val="00934D74"/>
    <w:rsid w:val="0094777C"/>
    <w:rsid w:val="00984D9A"/>
    <w:rsid w:val="00990C08"/>
    <w:rsid w:val="009964AB"/>
    <w:rsid w:val="009A227A"/>
    <w:rsid w:val="009A4DAA"/>
    <w:rsid w:val="009C1CA9"/>
    <w:rsid w:val="009C33DD"/>
    <w:rsid w:val="009E118C"/>
    <w:rsid w:val="009E1383"/>
    <w:rsid w:val="009E71F0"/>
    <w:rsid w:val="009E7571"/>
    <w:rsid w:val="009F6CEB"/>
    <w:rsid w:val="00A03A7C"/>
    <w:rsid w:val="00A10053"/>
    <w:rsid w:val="00A11589"/>
    <w:rsid w:val="00A17F06"/>
    <w:rsid w:val="00A23994"/>
    <w:rsid w:val="00A57933"/>
    <w:rsid w:val="00A62122"/>
    <w:rsid w:val="00A73B7A"/>
    <w:rsid w:val="00A746A2"/>
    <w:rsid w:val="00A74E1C"/>
    <w:rsid w:val="00A94FC1"/>
    <w:rsid w:val="00AA6F12"/>
    <w:rsid w:val="00AB16B6"/>
    <w:rsid w:val="00AC4B86"/>
    <w:rsid w:val="00AE37F5"/>
    <w:rsid w:val="00AE4F63"/>
    <w:rsid w:val="00AF4BCC"/>
    <w:rsid w:val="00B04ADB"/>
    <w:rsid w:val="00B05492"/>
    <w:rsid w:val="00B12968"/>
    <w:rsid w:val="00B17E6E"/>
    <w:rsid w:val="00B440A8"/>
    <w:rsid w:val="00B5744B"/>
    <w:rsid w:val="00B6358A"/>
    <w:rsid w:val="00B674FE"/>
    <w:rsid w:val="00B73E03"/>
    <w:rsid w:val="00BB1B7B"/>
    <w:rsid w:val="00BB1D33"/>
    <w:rsid w:val="00BC0928"/>
    <w:rsid w:val="00BC5F31"/>
    <w:rsid w:val="00BD5F48"/>
    <w:rsid w:val="00C058A1"/>
    <w:rsid w:val="00C264E4"/>
    <w:rsid w:val="00C2781E"/>
    <w:rsid w:val="00C40AB4"/>
    <w:rsid w:val="00C4696A"/>
    <w:rsid w:val="00C614D6"/>
    <w:rsid w:val="00C711E2"/>
    <w:rsid w:val="00CD1584"/>
    <w:rsid w:val="00CE2713"/>
    <w:rsid w:val="00CF2E41"/>
    <w:rsid w:val="00CF4C05"/>
    <w:rsid w:val="00D16A55"/>
    <w:rsid w:val="00D1748D"/>
    <w:rsid w:val="00D33032"/>
    <w:rsid w:val="00D3327E"/>
    <w:rsid w:val="00D71375"/>
    <w:rsid w:val="00DC1A4C"/>
    <w:rsid w:val="00DC1F8D"/>
    <w:rsid w:val="00DC7402"/>
    <w:rsid w:val="00DD5FB8"/>
    <w:rsid w:val="00DE398B"/>
    <w:rsid w:val="00DE5AE2"/>
    <w:rsid w:val="00DF2568"/>
    <w:rsid w:val="00DF6D16"/>
    <w:rsid w:val="00E07F62"/>
    <w:rsid w:val="00E17912"/>
    <w:rsid w:val="00E22F58"/>
    <w:rsid w:val="00E37CB7"/>
    <w:rsid w:val="00E61D3A"/>
    <w:rsid w:val="00EB60E7"/>
    <w:rsid w:val="00EC3625"/>
    <w:rsid w:val="00ED7052"/>
    <w:rsid w:val="00EF425F"/>
    <w:rsid w:val="00F0008C"/>
    <w:rsid w:val="00F15BB9"/>
    <w:rsid w:val="00F4358F"/>
    <w:rsid w:val="00F52317"/>
    <w:rsid w:val="00F55814"/>
    <w:rsid w:val="00F57A58"/>
    <w:rsid w:val="00F6557C"/>
    <w:rsid w:val="00F752F2"/>
    <w:rsid w:val="00FD36BC"/>
    <w:rsid w:val="00FD4B4F"/>
    <w:rsid w:val="00FD691D"/>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B0AE"/>
  <w15:chartTrackingRefBased/>
  <w15:docId w15:val="{976E11C3-C1DE-4580-BB76-CEB8F29D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15B54"/>
    <w:pPr>
      <w:widowControl w:val="0"/>
      <w:autoSpaceDE w:val="0"/>
      <w:autoSpaceDN w:val="0"/>
      <w:spacing w:after="0" w:line="240" w:lineRule="auto"/>
      <w:ind w:left="137"/>
    </w:pPr>
    <w:rPr>
      <w:rFonts w:ascii="Times New Roman" w:eastAsia="Times New Roman" w:hAnsi="Times New Roman" w:cs="Times New Roman"/>
    </w:rPr>
  </w:style>
  <w:style w:type="paragraph" w:styleId="Header">
    <w:name w:val="header"/>
    <w:basedOn w:val="Normal"/>
    <w:link w:val="HeaderChar"/>
    <w:uiPriority w:val="99"/>
    <w:unhideWhenUsed/>
    <w:rsid w:val="00415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54"/>
  </w:style>
  <w:style w:type="paragraph" w:styleId="Footer">
    <w:name w:val="footer"/>
    <w:basedOn w:val="Normal"/>
    <w:link w:val="FooterChar"/>
    <w:uiPriority w:val="99"/>
    <w:unhideWhenUsed/>
    <w:rsid w:val="0041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54"/>
  </w:style>
  <w:style w:type="paragraph" w:styleId="Title">
    <w:name w:val="Title"/>
    <w:basedOn w:val="Normal"/>
    <w:link w:val="TitleChar"/>
    <w:uiPriority w:val="10"/>
    <w:qFormat/>
    <w:rsid w:val="00883FEE"/>
    <w:pPr>
      <w:widowControl w:val="0"/>
      <w:autoSpaceDE w:val="0"/>
      <w:autoSpaceDN w:val="0"/>
      <w:spacing w:before="89" w:after="0" w:line="240" w:lineRule="auto"/>
      <w:ind w:left="520"/>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883FEE"/>
    <w:rPr>
      <w:rFonts w:ascii="Times New Roman" w:eastAsia="Times New Roman" w:hAnsi="Times New Roman" w:cs="Times New Roman"/>
      <w:b/>
      <w:bCs/>
      <w:sz w:val="28"/>
      <w:szCs w:val="28"/>
    </w:rPr>
  </w:style>
  <w:style w:type="paragraph" w:styleId="ListParagraph">
    <w:name w:val="List Paragraph"/>
    <w:basedOn w:val="Normal"/>
    <w:uiPriority w:val="34"/>
    <w:qFormat/>
    <w:rsid w:val="001947BE"/>
    <w:pPr>
      <w:ind w:left="720"/>
      <w:contextualSpacing/>
    </w:pPr>
  </w:style>
  <w:style w:type="character" w:styleId="Hyperlink">
    <w:name w:val="Hyperlink"/>
    <w:basedOn w:val="DefaultParagraphFont"/>
    <w:uiPriority w:val="99"/>
    <w:unhideWhenUsed/>
    <w:rsid w:val="00C2781E"/>
    <w:rPr>
      <w:color w:val="0563C1" w:themeColor="hyperlink"/>
      <w:u w:val="single"/>
    </w:rPr>
  </w:style>
  <w:style w:type="character" w:styleId="UnresolvedMention">
    <w:name w:val="Unresolved Mention"/>
    <w:basedOn w:val="DefaultParagraphFont"/>
    <w:uiPriority w:val="99"/>
    <w:semiHidden/>
    <w:unhideWhenUsed/>
    <w:rsid w:val="00C2781E"/>
    <w:rPr>
      <w:color w:val="605E5C"/>
      <w:shd w:val="clear" w:color="auto" w:fill="E1DFDD"/>
    </w:rPr>
  </w:style>
  <w:style w:type="character" w:styleId="Strong">
    <w:name w:val="Strong"/>
    <w:basedOn w:val="DefaultParagraphFont"/>
    <w:uiPriority w:val="22"/>
    <w:qFormat/>
    <w:rsid w:val="00C2781E"/>
    <w:rPr>
      <w:b/>
      <w:bCs/>
    </w:rPr>
  </w:style>
  <w:style w:type="character" w:styleId="PageNumber">
    <w:name w:val="page number"/>
    <w:basedOn w:val="DefaultParagraphFont"/>
    <w:uiPriority w:val="99"/>
    <w:semiHidden/>
    <w:unhideWhenUsed/>
    <w:rsid w:val="00C4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rt-principles-guidelines-23aug16-en.pdf" TargetMode="External"/><Relationship Id="rId13" Type="http://schemas.openxmlformats.org/officeDocument/2006/relationships/hyperlink" Target="https://www.icann.org/en/system/files/correspondence/botterman-to-langdon-orr-neuman-30sep20-en.pdf" TargetMode="External"/><Relationship Id="rId18" Type="http://schemas.openxmlformats.org/officeDocument/2006/relationships/hyperlink" Target="https://www.icann.org/en/system/files/files/subpro-oda-12dec22-e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icann.org/uploads/ckeditor/CPIF_v2.0_2019CLEAN.pdf" TargetMode="External"/><Relationship Id="rId12" Type="http://schemas.openxmlformats.org/officeDocument/2006/relationships/hyperlink" Target="https://www.icann.org/en/system/files/correspondence/botterman-to-langdon-orr-neuman-30sep20-en.pdf" TargetMode="External"/><Relationship Id="rId17" Type="http://schemas.openxmlformats.org/officeDocument/2006/relationships/hyperlink" Target="https://gac.icann.org/statement/public/gac-comment-(final)-subpro-final-outputs-for-icann-board-consideration.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ac.icann.org/statement/public/gac-comment-(final)-subpro-final-outputs-for-icann-board-consideratio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system/files/files/iana-stewardship-transition-package-10mar16-en.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cann.org/en/system/files/correspondence/botterman-to-langdon-orr-neuman-30sep20-en.pdf" TargetMode="External"/><Relationship Id="rId23" Type="http://schemas.openxmlformats.org/officeDocument/2006/relationships/footer" Target="footer2.xml"/><Relationship Id="rId10" Type="http://schemas.openxmlformats.org/officeDocument/2006/relationships/hyperlink" Target="https://www.icann.org/en/system/files/correspondence/botterman-to-langdon-orr-neuman-30sep20-en.pdf" TargetMode="External"/><Relationship Id="rId19" Type="http://schemas.openxmlformats.org/officeDocument/2006/relationships/hyperlink" Target="https://www.icann.org/en/system/files/files/subpro-oda-12dec22-en.pdf" TargetMode="External"/><Relationship Id="rId4" Type="http://schemas.openxmlformats.org/officeDocument/2006/relationships/webSettings" Target="webSettings.xml"/><Relationship Id="rId9" Type="http://schemas.openxmlformats.org/officeDocument/2006/relationships/hyperlink" Target="https://www.icann.org/en/system/files/files/irt-principles-guidelines-23aug16-en.pdf" TargetMode="External"/><Relationship Id="rId14" Type="http://schemas.openxmlformats.org/officeDocument/2006/relationships/hyperlink" Target="https://www.icann.org/en/system/files/correspondence/botterman-to-langdon-orr-neuman-30sep20-en.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36</Pages>
  <Words>8852</Words>
  <Characters>50458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Neuman</dc:creator>
  <cp:keywords/>
  <dc:description/>
  <cp:lastModifiedBy>Jeff Neuman</cp:lastModifiedBy>
  <cp:revision>115</cp:revision>
  <dcterms:created xsi:type="dcterms:W3CDTF">2023-03-04T19:41:00Z</dcterms:created>
  <dcterms:modified xsi:type="dcterms:W3CDTF">2023-03-07T15:03:00Z</dcterms:modified>
</cp:coreProperties>
</file>