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5C102EB6" w:rsidR="00D559F3" w:rsidRPr="00BC785C" w:rsidRDefault="00384BBC">
      <w:pPr>
        <w:rPr>
          <w:rStyle w:val="Funotenanker"/>
          <w:rFonts w:ascii="Calibri" w:hAnsi="Calibri"/>
          <w:b/>
          <w:bCs/>
          <w:sz w:val="20"/>
          <w:szCs w:val="20"/>
        </w:rPr>
      </w:pPr>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1D779F">
          <w:rPr>
            <w:rStyle w:val="Hyperlink"/>
            <w:rFonts w:ascii="Calibri" w:hAnsi="Calibri"/>
            <w:b/>
            <w:bCs/>
            <w:sz w:val="20"/>
            <w:szCs w:val="20"/>
          </w:rPr>
          <w:t>JOHANNESBURG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2067"/>
        <w:gridCol w:w="3420"/>
        <w:gridCol w:w="1456"/>
        <w:gridCol w:w="2864"/>
        <w:gridCol w:w="3230"/>
      </w:tblGrid>
      <w:tr w:rsidR="00284064" w:rsidRPr="00BC785C" w14:paraId="649D2538" w14:textId="77777777" w:rsidTr="00284064">
        <w:trPr>
          <w:trHeight w:val="1830"/>
          <w:tblHeader/>
        </w:trPr>
        <w:tc>
          <w:tcPr>
            <w:tcW w:w="206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342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1456"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284064" w:rsidRPr="00BC785C" w14:paraId="13CBD623" w14:textId="77777777" w:rsidTr="00B91776">
        <w:trPr>
          <w:trHeight w:val="1701"/>
        </w:trPr>
        <w:tc>
          <w:tcPr>
            <w:tcW w:w="20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C51094" w14:textId="77777777" w:rsidR="003C7AC1" w:rsidRPr="003C7AC1" w:rsidRDefault="003C7AC1" w:rsidP="003C7AC1">
            <w:pPr>
              <w:rPr>
                <w:rFonts w:ascii="Calibri" w:hAnsi="Calibri"/>
                <w:sz w:val="20"/>
                <w:szCs w:val="20"/>
              </w:rPr>
            </w:pPr>
            <w:r w:rsidRPr="003C7AC1">
              <w:rPr>
                <w:rFonts w:ascii="Calibri" w:hAnsi="Calibri"/>
                <w:b/>
                <w:bCs/>
                <w:sz w:val="20"/>
                <w:szCs w:val="20"/>
              </w:rPr>
              <w:t>1. Intergovernmental Organization (IGO) Protections </w:t>
            </w:r>
          </w:p>
          <w:p w14:paraId="7BA9C1C3" w14:textId="5FA28F39" w:rsidR="00D559F3" w:rsidRPr="00BC785C" w:rsidRDefault="00D559F3" w:rsidP="00C37BB7">
            <w:pPr>
              <w:pStyle w:val="Default"/>
              <w:rPr>
                <w:b/>
                <w:bCs/>
                <w:sz w:val="20"/>
                <w:szCs w:val="20"/>
              </w:rPr>
            </w:pPr>
          </w:p>
        </w:tc>
        <w:tc>
          <w:tcPr>
            <w:tcW w:w="342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5FF0C5" w14:textId="77777777" w:rsidR="001D779F" w:rsidRPr="001D779F" w:rsidRDefault="003C7AC1" w:rsidP="003C7AC1">
            <w:pPr>
              <w:spacing w:after="105"/>
              <w:rPr>
                <w:rFonts w:ascii="Calibri" w:eastAsia="Times New Roman" w:hAnsi="Calibri"/>
                <w:b/>
                <w:bCs/>
                <w:sz w:val="20"/>
                <w:szCs w:val="20"/>
              </w:rPr>
            </w:pPr>
            <w:r w:rsidRPr="003C7AC1">
              <w:rPr>
                <w:rFonts w:ascii="Calibri" w:eastAsia="Times New Roman" w:hAnsi="Calibri"/>
                <w:b/>
                <w:bCs/>
                <w:sz w:val="20"/>
                <w:szCs w:val="20"/>
              </w:rPr>
              <w:t xml:space="preserve">a. The GAC reiterates its Advice that IGO access to curative dispute resolution mechanism should: </w:t>
            </w:r>
          </w:p>
          <w:p w14:paraId="24E4D514" w14:textId="7EA49E3D" w:rsidR="003C7AC1" w:rsidRPr="003C7AC1" w:rsidRDefault="003C7AC1" w:rsidP="003C7AC1">
            <w:pPr>
              <w:spacing w:after="105"/>
              <w:rPr>
                <w:rFonts w:ascii="Calibri" w:eastAsia="Times New Roman" w:hAnsi="Calibri"/>
                <w:sz w:val="20"/>
                <w:szCs w:val="20"/>
              </w:rPr>
            </w:pPr>
            <w:r w:rsidRPr="003C7AC1">
              <w:rPr>
                <w:rFonts w:ascii="Calibri" w:eastAsia="Times New Roman" w:hAnsi="Calibri"/>
                <w:sz w:val="20"/>
                <w:szCs w:val="20"/>
              </w:rPr>
              <w:t>I. be modeled on, but separate from, the existing Uniform Dispute Resolution Policy (UDRP) </w:t>
            </w:r>
          </w:p>
          <w:p w14:paraId="79CF28B8" w14:textId="77777777" w:rsidR="003C7AC1" w:rsidRPr="003C7AC1" w:rsidRDefault="003C7AC1" w:rsidP="001D779F">
            <w:pPr>
              <w:spacing w:after="105"/>
              <w:rPr>
                <w:rFonts w:ascii="Calibri" w:eastAsia="Times New Roman" w:hAnsi="Calibri"/>
                <w:sz w:val="20"/>
                <w:szCs w:val="20"/>
              </w:rPr>
            </w:pPr>
            <w:r w:rsidRPr="003C7AC1">
              <w:rPr>
                <w:rFonts w:ascii="Calibri" w:eastAsia="Times New Roman" w:hAnsi="Calibri"/>
                <w:sz w:val="20"/>
                <w:szCs w:val="20"/>
              </w:rPr>
              <w:t>II. provide standing based on IGOs’ status as public intergovernmental institutions, and </w:t>
            </w:r>
          </w:p>
          <w:p w14:paraId="1B5A0D7D" w14:textId="77777777" w:rsidR="003C7AC1" w:rsidRPr="003C7AC1" w:rsidRDefault="003C7AC1" w:rsidP="001D779F">
            <w:pPr>
              <w:rPr>
                <w:rFonts w:ascii="Calibri" w:eastAsia="Times New Roman" w:hAnsi="Calibri"/>
                <w:sz w:val="20"/>
                <w:szCs w:val="20"/>
              </w:rPr>
            </w:pPr>
            <w:r w:rsidRPr="003C7AC1">
              <w:rPr>
                <w:rFonts w:ascii="Calibri" w:eastAsia="Times New Roman" w:hAnsi="Calibri"/>
                <w:sz w:val="20"/>
                <w:szCs w:val="20"/>
              </w:rPr>
              <w:t>III. respect IGOs’ jurisdictional status by facilitating appeals exclusively through arbitration. </w:t>
            </w:r>
          </w:p>
          <w:p w14:paraId="518107DB" w14:textId="77777777" w:rsidR="00CE758B" w:rsidRDefault="00CE758B" w:rsidP="001D779F">
            <w:pPr>
              <w:rPr>
                <w:rFonts w:ascii="Calibri" w:eastAsia="Times New Roman" w:hAnsi="Calibri"/>
                <w:sz w:val="17"/>
                <w:szCs w:val="17"/>
              </w:rPr>
            </w:pPr>
          </w:p>
          <w:p w14:paraId="00B5E2B3" w14:textId="77777777" w:rsidR="001D779F" w:rsidRPr="001D779F" w:rsidRDefault="001D779F" w:rsidP="001D779F">
            <w:pPr>
              <w:rPr>
                <w:rFonts w:ascii="Calibri" w:hAnsi="Calibri"/>
                <w:sz w:val="20"/>
                <w:szCs w:val="20"/>
              </w:rPr>
            </w:pPr>
            <w:r w:rsidRPr="001D779F">
              <w:rPr>
                <w:rFonts w:ascii="Calibri" w:hAnsi="Calibri"/>
                <w:sz w:val="20"/>
                <w:szCs w:val="20"/>
              </w:rPr>
              <w:t xml:space="preserve">The GAC expresses concern that a GNSO working group has indicated that it may deliver recommendations which substantially differ from GAC Advice, and calls on the ICANN Board to ensure </w:t>
            </w:r>
            <w:r w:rsidRPr="001D779F">
              <w:rPr>
                <w:rFonts w:ascii="Calibri" w:hAnsi="Calibri"/>
                <w:sz w:val="20"/>
                <w:szCs w:val="20"/>
              </w:rPr>
              <w:lastRenderedPageBreak/>
              <w:t>that such recommendations adequately reflect input and expertise provided by IGOs. </w:t>
            </w:r>
          </w:p>
          <w:p w14:paraId="49AF560E" w14:textId="77777777" w:rsidR="001D779F" w:rsidRPr="001D779F" w:rsidRDefault="001D779F" w:rsidP="001D779F">
            <w:pPr>
              <w:rPr>
                <w:rFonts w:ascii="Calibri" w:hAnsi="Calibri"/>
                <w:sz w:val="20"/>
                <w:szCs w:val="20"/>
              </w:rPr>
            </w:pPr>
          </w:p>
          <w:p w14:paraId="27AC60D0" w14:textId="73DCE1DE" w:rsidR="001D779F" w:rsidRPr="001D779F" w:rsidRDefault="001D779F" w:rsidP="001D779F">
            <w:pPr>
              <w:rPr>
                <w:rFonts w:ascii="Calibri" w:hAnsi="Calibri"/>
                <w:sz w:val="17"/>
                <w:szCs w:val="17"/>
              </w:rPr>
            </w:pPr>
            <w:r w:rsidRPr="001D779F">
              <w:rPr>
                <w:rFonts w:ascii="Calibri" w:hAnsi="Calibri"/>
                <w:sz w:val="20"/>
                <w:szCs w:val="20"/>
              </w:rPr>
              <w:t>RATIONALE This Advice aligns with the view of governments that IGOs perform important public functions for citizens worldwide, and that protecting their identities in the DNS serves to minimize the potential for consumer harm</w:t>
            </w:r>
            <w:r w:rsidRPr="001D779F">
              <w:rPr>
                <w:rFonts w:ascii="Calibri" w:hAnsi="Calibri"/>
                <w:sz w:val="17"/>
                <w:szCs w:val="17"/>
              </w:rPr>
              <w:t>. </w:t>
            </w:r>
          </w:p>
        </w:tc>
        <w:tc>
          <w:tcPr>
            <w:tcW w:w="14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489F5C4F" w:rsidR="004443BD" w:rsidRPr="00BC785C" w:rsidRDefault="00CD4562" w:rsidP="00D92785">
            <w:pPr>
              <w:rPr>
                <w:rFonts w:ascii="Calibri" w:hAnsi="Calibri"/>
                <w:sz w:val="20"/>
                <w:szCs w:val="20"/>
              </w:rPr>
            </w:pPr>
            <w:r>
              <w:rPr>
                <w:rFonts w:ascii="Calibri" w:hAnsi="Calibri"/>
                <w:sz w:val="20"/>
                <w:szCs w:val="20"/>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24A5187E" w:rsidR="00D559F3" w:rsidRPr="00BC785C" w:rsidRDefault="00CD4562" w:rsidP="00AB1BA2">
            <w:pPr>
              <w:rPr>
                <w:rFonts w:ascii="Calibri" w:hAnsi="Calibri"/>
                <w:iCs/>
                <w:sz w:val="20"/>
                <w:szCs w:val="20"/>
              </w:rPr>
            </w:pPr>
            <w:r>
              <w:rPr>
                <w:rFonts w:ascii="Calibri" w:hAnsi="Calibri"/>
                <w:iCs/>
                <w:sz w:val="20"/>
                <w:szCs w:val="20"/>
              </w:rPr>
              <w:t>Yes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DEEF168" w14:textId="3BCBCC7D" w:rsidR="006160F4" w:rsidRDefault="00E41B30" w:rsidP="006160F4">
            <w:pPr>
              <w:rPr>
                <w:rFonts w:ascii="Calibri" w:hAnsi="Calibri"/>
                <w:bCs/>
                <w:sz w:val="20"/>
                <w:szCs w:val="20"/>
              </w:rPr>
            </w:pPr>
            <w:r w:rsidRPr="00E41B30">
              <w:rPr>
                <w:rFonts w:ascii="Calibri" w:hAnsi="Calibri"/>
                <w:sz w:val="20"/>
                <w:szCs w:val="20"/>
              </w:rPr>
              <w:t>The GNSO Council note</w:t>
            </w:r>
            <w:r w:rsidR="006835CD">
              <w:rPr>
                <w:rFonts w:ascii="Calibri" w:hAnsi="Calibri"/>
                <w:sz w:val="20"/>
                <w:szCs w:val="20"/>
              </w:rPr>
              <w:t>s</w:t>
            </w:r>
            <w:r w:rsidRPr="00E41B30">
              <w:rPr>
                <w:rFonts w:ascii="Calibri" w:hAnsi="Calibri"/>
                <w:sz w:val="20"/>
                <w:szCs w:val="20"/>
              </w:rPr>
              <w:t xml:space="preserve"> that the GAC has reiterated its previous advice regarding </w:t>
            </w:r>
            <w:r w:rsidRPr="00E41B30">
              <w:rPr>
                <w:rFonts w:ascii="Calibri" w:hAnsi="Calibri"/>
                <w:bCs/>
                <w:sz w:val="20"/>
                <w:szCs w:val="20"/>
              </w:rPr>
              <w:t>access to curative dispute resolution mechanisms</w:t>
            </w:r>
            <w:r w:rsidR="00FC4ADE">
              <w:rPr>
                <w:rFonts w:ascii="Calibri" w:hAnsi="Calibri"/>
                <w:bCs/>
                <w:sz w:val="20"/>
                <w:szCs w:val="20"/>
              </w:rPr>
              <w:t xml:space="preserve"> by IGOs</w:t>
            </w:r>
            <w:r w:rsidRPr="00E41B30">
              <w:rPr>
                <w:rFonts w:ascii="Calibri" w:hAnsi="Calibri"/>
                <w:bCs/>
                <w:sz w:val="20"/>
                <w:szCs w:val="20"/>
              </w:rPr>
              <w:t xml:space="preserve">. </w:t>
            </w:r>
            <w:r w:rsidR="00FC4ADE">
              <w:rPr>
                <w:rFonts w:ascii="Calibri" w:hAnsi="Calibri"/>
                <w:bCs/>
                <w:sz w:val="20"/>
                <w:szCs w:val="20"/>
              </w:rPr>
              <w:t xml:space="preserve">Similarly, we refer </w:t>
            </w:r>
            <w:r w:rsidRPr="00E41B30">
              <w:rPr>
                <w:rFonts w:ascii="Calibri" w:hAnsi="Calibri"/>
                <w:bCs/>
                <w:sz w:val="20"/>
                <w:szCs w:val="20"/>
              </w:rPr>
              <w:t xml:space="preserve">the Board </w:t>
            </w:r>
            <w:r w:rsidR="002B7C8E">
              <w:rPr>
                <w:rFonts w:ascii="Calibri" w:hAnsi="Calibri"/>
                <w:bCs/>
                <w:sz w:val="20"/>
                <w:szCs w:val="20"/>
              </w:rPr>
              <w:t xml:space="preserve">to our earlier responses, noting that </w:t>
            </w:r>
            <w:r w:rsidRPr="00E41B30">
              <w:rPr>
                <w:rFonts w:ascii="Calibri" w:hAnsi="Calibri"/>
                <w:bCs/>
                <w:sz w:val="20"/>
                <w:szCs w:val="20"/>
              </w:rPr>
              <w:t>the work of the Policy Development Process (PDP)</w:t>
            </w:r>
            <w:r w:rsidR="00352A05">
              <w:rPr>
                <w:rFonts w:ascii="Calibri" w:hAnsi="Calibri"/>
                <w:bCs/>
                <w:sz w:val="20"/>
                <w:szCs w:val="20"/>
              </w:rPr>
              <w:t xml:space="preserve"> on this topic (IGO/INGO Access to Curative Rights) is ongoing, and this group anticipates publication of its Final Report and recommendations prior to ICANN60 in Abu Dhabi. </w:t>
            </w:r>
          </w:p>
          <w:p w14:paraId="706D801E" w14:textId="77777777" w:rsidR="006160F4" w:rsidRDefault="006160F4" w:rsidP="006160F4">
            <w:pPr>
              <w:rPr>
                <w:rFonts w:ascii="Calibri" w:hAnsi="Calibri"/>
                <w:bCs/>
                <w:sz w:val="20"/>
                <w:szCs w:val="20"/>
              </w:rPr>
            </w:pPr>
          </w:p>
          <w:p w14:paraId="33D8F62F" w14:textId="5258312A" w:rsidR="006160F4" w:rsidRPr="00B91776" w:rsidRDefault="006160F4" w:rsidP="006160F4">
            <w:pPr>
              <w:rPr>
                <w:rFonts w:ascii="Calibri" w:hAnsi="Calibri"/>
                <w:bCs/>
                <w:sz w:val="20"/>
                <w:szCs w:val="20"/>
              </w:rPr>
            </w:pPr>
            <w:r w:rsidRPr="00B91776">
              <w:rPr>
                <w:rFonts w:ascii="Calibri" w:hAnsi="Calibri"/>
                <w:bCs/>
                <w:sz w:val="20"/>
                <w:szCs w:val="20"/>
              </w:rPr>
              <w:t>The PDP recently conducted a Public Comment period on its Initial Report, and received multiple thoughtful submissions including many from IGOs</w:t>
            </w:r>
            <w:r w:rsidRPr="006160F4">
              <w:rPr>
                <w:rFonts w:ascii="Calibri" w:hAnsi="Calibri"/>
                <w:bCs/>
                <w:sz w:val="20"/>
                <w:szCs w:val="20"/>
              </w:rPr>
              <w:t xml:space="preserve">. </w:t>
            </w:r>
            <w:r w:rsidRPr="00B91776">
              <w:rPr>
                <w:rFonts w:ascii="Calibri" w:hAnsi="Calibri"/>
                <w:bCs/>
                <w:sz w:val="20"/>
                <w:szCs w:val="20"/>
              </w:rPr>
              <w:t xml:space="preserve">Each comment from the </w:t>
            </w:r>
            <w:r w:rsidRPr="00B91776">
              <w:rPr>
                <w:rFonts w:ascii="Calibri" w:hAnsi="Calibri"/>
                <w:bCs/>
                <w:sz w:val="20"/>
                <w:szCs w:val="20"/>
              </w:rPr>
              <w:lastRenderedPageBreak/>
              <w:t xml:space="preserve">community containing new data or ideas was extensively considered and discussed by the PDP working group, and the PDP leadership </w:t>
            </w:r>
            <w:r w:rsidRPr="00B91776">
              <w:rPr>
                <w:rFonts w:ascii="Calibri" w:hAnsi="Calibri"/>
                <w:bCs/>
                <w:sz w:val="20"/>
                <w:szCs w:val="20"/>
              </w:rPr>
              <w:t>reports that its Initial Report</w:t>
            </w:r>
            <w:r w:rsidRPr="00B91776">
              <w:rPr>
                <w:rFonts w:ascii="Calibri" w:hAnsi="Calibri"/>
                <w:bCs/>
                <w:sz w:val="20"/>
                <w:szCs w:val="20"/>
              </w:rPr>
              <w:t xml:space="preserve"> is likely to be materially amended as a result of taking these comments on board.  </w:t>
            </w:r>
          </w:p>
          <w:p w14:paraId="25694982" w14:textId="77777777" w:rsidR="006160F4" w:rsidRPr="00B91776" w:rsidRDefault="006160F4" w:rsidP="006160F4">
            <w:pPr>
              <w:rPr>
                <w:rFonts w:ascii="Calibri" w:hAnsi="Calibri"/>
                <w:bCs/>
                <w:sz w:val="20"/>
                <w:szCs w:val="20"/>
              </w:rPr>
            </w:pPr>
          </w:p>
          <w:p w14:paraId="5335D14C" w14:textId="77777777" w:rsidR="006160F4" w:rsidRPr="00B91776" w:rsidRDefault="006160F4" w:rsidP="006160F4">
            <w:pPr>
              <w:rPr>
                <w:rFonts w:ascii="Calibri" w:hAnsi="Calibri"/>
                <w:bCs/>
                <w:sz w:val="20"/>
                <w:szCs w:val="20"/>
              </w:rPr>
            </w:pPr>
            <w:r w:rsidRPr="00B91776">
              <w:rPr>
                <w:rFonts w:ascii="Calibri" w:hAnsi="Calibri"/>
                <w:bCs/>
                <w:sz w:val="20"/>
                <w:szCs w:val="20"/>
              </w:rPr>
              <w:t>Previous GAC Advice on this topic included the “IGO Small Group Proposal” from October 2016, which outlined a separate dispute resolution process tailored exclusively for IGO/INGOs. In addition to comments posted to the ICANN Public Comments forum, the PDP also considered the “IGO Small Group Proposal”, and included it in their analysis. But as the PDP nears the conclusion of its work, it is clear to Council that their Final Recommendations will diverge from GAC Advice and the “IGO Small Group Proposal” in at least two respects.  </w:t>
            </w:r>
          </w:p>
          <w:p w14:paraId="52AB3EFA" w14:textId="77777777" w:rsidR="006160F4" w:rsidRPr="00B91776" w:rsidRDefault="006160F4" w:rsidP="006160F4">
            <w:pPr>
              <w:rPr>
                <w:rFonts w:ascii="Calibri" w:hAnsi="Calibri"/>
                <w:bCs/>
                <w:sz w:val="20"/>
                <w:szCs w:val="20"/>
              </w:rPr>
            </w:pPr>
          </w:p>
          <w:p w14:paraId="0E9BEC04" w14:textId="0B1DE03C" w:rsidR="006160F4" w:rsidRPr="00B91776" w:rsidRDefault="006160F4" w:rsidP="006160F4">
            <w:pPr>
              <w:rPr>
                <w:rFonts w:ascii="Calibri" w:hAnsi="Calibri"/>
                <w:bCs/>
                <w:sz w:val="20"/>
                <w:szCs w:val="20"/>
              </w:rPr>
            </w:pPr>
            <w:r w:rsidRPr="00B91776">
              <w:rPr>
                <w:rFonts w:ascii="Calibri" w:hAnsi="Calibri"/>
                <w:bCs/>
                <w:sz w:val="20"/>
                <w:szCs w:val="20"/>
              </w:rPr>
              <w:t>First, the PDP working group does not recommend the creation of a new, separate dispute process solely for the use of IGO, but instead outlines the means by which these organizations can better access existin</w:t>
            </w:r>
            <w:r w:rsidR="00B91776" w:rsidRPr="00B91776">
              <w:rPr>
                <w:rFonts w:ascii="Calibri" w:hAnsi="Calibri"/>
                <w:bCs/>
                <w:sz w:val="20"/>
                <w:szCs w:val="20"/>
              </w:rPr>
              <w:t xml:space="preserve">g processes like UDRP and URS. </w:t>
            </w:r>
            <w:r w:rsidRPr="00B91776">
              <w:rPr>
                <w:rFonts w:ascii="Calibri" w:hAnsi="Calibri"/>
                <w:bCs/>
                <w:sz w:val="20"/>
                <w:szCs w:val="20"/>
              </w:rPr>
              <w:t xml:space="preserve">And secondly, the PDP does not conclude that it is within their (or the GNSO's, or ICANN’s) remit to grant, extend, or restrict the jurisdictional immunity protections of IGOs, or to limit the legal rights of registrants who are party to a dispute with an IGO. </w:t>
            </w:r>
          </w:p>
          <w:p w14:paraId="0EBA1E36" w14:textId="77777777" w:rsidR="006160F4" w:rsidRPr="00B91776" w:rsidRDefault="006160F4" w:rsidP="006160F4">
            <w:pPr>
              <w:rPr>
                <w:rFonts w:ascii="Calibri" w:hAnsi="Calibri"/>
                <w:bCs/>
                <w:sz w:val="20"/>
                <w:szCs w:val="20"/>
              </w:rPr>
            </w:pPr>
          </w:p>
          <w:p w14:paraId="231911C7" w14:textId="40A456C1" w:rsidR="00D559F3" w:rsidRPr="002C32BC" w:rsidRDefault="006160F4" w:rsidP="006160F4">
            <w:pPr>
              <w:rPr>
                <w:rFonts w:ascii="Calibri" w:hAnsi="Calibri"/>
                <w:i/>
                <w:sz w:val="20"/>
                <w:szCs w:val="20"/>
              </w:rPr>
            </w:pPr>
            <w:r w:rsidRPr="00B91776">
              <w:rPr>
                <w:rFonts w:ascii="Calibri" w:hAnsi="Calibri"/>
                <w:bCs/>
                <w:sz w:val="20"/>
                <w:szCs w:val="20"/>
              </w:rPr>
              <w:t xml:space="preserve">The GNSO Council chartered this PDP with the objective of ensuring that IGOs and INGOs have access to low-cost and effective rights protection mechanisms, in order to mitigate abuse of their identities in the DNS and aid in their work serving the public needs of citizens across the </w:t>
            </w:r>
            <w:r w:rsidRPr="00B91776">
              <w:rPr>
                <w:rFonts w:ascii="Calibri" w:hAnsi="Calibri"/>
                <w:bCs/>
                <w:sz w:val="20"/>
                <w:szCs w:val="20"/>
              </w:rPr>
              <w:lastRenderedPageBreak/>
              <w:t>globe, and the PDP working group believes that its Final report will meet that goal.</w:t>
            </w:r>
            <w:r w:rsidR="00B91776" w:rsidRPr="00B91776">
              <w:rPr>
                <w:rFonts w:ascii="Calibri" w:hAnsi="Calibri"/>
                <w:bCs/>
                <w:sz w:val="20"/>
                <w:szCs w:val="20"/>
              </w:rPr>
              <w:t xml:space="preserve"> </w:t>
            </w:r>
            <w:r w:rsidRPr="00B91776">
              <w:rPr>
                <w:rFonts w:ascii="Calibri" w:hAnsi="Calibri"/>
                <w:bCs/>
                <w:sz w:val="20"/>
                <w:szCs w:val="20"/>
              </w:rPr>
              <w:t>We eagerly await publication of the PDP’s recommendations, and further discussions among the Community at ICANN60. </w:t>
            </w:r>
            <w:r>
              <w:rPr>
                <w:i/>
                <w:iCs/>
              </w:rPr>
              <w:t xml:space="preserve"> </w:t>
            </w:r>
          </w:p>
        </w:tc>
      </w:tr>
    </w:tbl>
    <w:p w14:paraId="55EAA7DA" w14:textId="77777777" w:rsidR="007054F2" w:rsidRDefault="007054F2" w:rsidP="007054F2">
      <w:pPr>
        <w:widowControl w:val="0"/>
        <w:rPr>
          <w:rFonts w:ascii="Calibri" w:hAnsi="Calibri"/>
          <w:b/>
          <w:bCs/>
          <w:sz w:val="20"/>
          <w:szCs w:val="20"/>
        </w:rPr>
        <w:sectPr w:rsidR="007054F2">
          <w:footerReference w:type="even" r:id="rId8"/>
          <w:footerReference w:type="default" r:id="rId9"/>
          <w:pgSz w:w="15840" w:h="12240" w:orient="landscape"/>
          <w:pgMar w:top="1800" w:right="1440" w:bottom="1800" w:left="1440" w:header="720" w:footer="720" w:gutter="0"/>
          <w:cols w:space="720"/>
          <w:formProt w:val="0"/>
          <w:bidi/>
          <w:docGrid w:linePitch="240" w:charSpace="-6145"/>
        </w:sect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4154"/>
        <w:gridCol w:w="8883"/>
        <w:tblGridChange w:id="0">
          <w:tblGrid>
            <w:gridCol w:w="4154"/>
            <w:gridCol w:w="8883"/>
          </w:tblGrid>
        </w:tblGridChange>
      </w:tblGrid>
      <w:tr w:rsidR="00496AF1" w:rsidRPr="00BC785C" w14:paraId="248583D1" w14:textId="77777777" w:rsidTr="00496AF1">
        <w:trPr>
          <w:trHeight w:val="234"/>
          <w:tblHeader/>
        </w:trPr>
        <w:tc>
          <w:tcPr>
            <w:tcW w:w="415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14FFE80F" w14:textId="6CECDD17" w:rsidR="00284064" w:rsidRPr="00BC785C" w:rsidRDefault="00284064" w:rsidP="00A06B99">
            <w:pPr>
              <w:widowControl w:val="0"/>
              <w:rPr>
                <w:rFonts w:ascii="Calibri" w:hAnsi="Calibri"/>
                <w:b/>
                <w:bCs/>
                <w:sz w:val="20"/>
                <w:szCs w:val="20"/>
              </w:rPr>
            </w:pPr>
            <w:r w:rsidRPr="004D7506">
              <w:rPr>
                <w:rFonts w:ascii="Calibri" w:hAnsi="Calibri"/>
                <w:b/>
                <w:bCs/>
                <w:sz w:val="20"/>
                <w:szCs w:val="20"/>
              </w:rPr>
              <w:lastRenderedPageBreak/>
              <w:t xml:space="preserve">Follow-Up on Previous </w:t>
            </w:r>
            <w:r>
              <w:rPr>
                <w:rFonts w:ascii="Calibri" w:hAnsi="Calibri"/>
                <w:b/>
                <w:bCs/>
                <w:sz w:val="20"/>
                <w:szCs w:val="20"/>
              </w:rPr>
              <w:t xml:space="preserve">GAC </w:t>
            </w:r>
            <w:r w:rsidRPr="004D7506">
              <w:rPr>
                <w:rFonts w:ascii="Calibri" w:hAnsi="Calibri"/>
                <w:b/>
                <w:bCs/>
                <w:sz w:val="20"/>
                <w:szCs w:val="20"/>
              </w:rPr>
              <w:t>Advice and Other Issues</w:t>
            </w:r>
            <w:r w:rsidRPr="00ED0E70">
              <w:rPr>
                <w:rFonts w:ascii="Calibri" w:hAnsi="Calibri"/>
                <w:b/>
                <w:bCs/>
                <w:sz w:val="20"/>
                <w:szCs w:val="20"/>
              </w:rPr>
              <w:t> </w:t>
            </w:r>
          </w:p>
        </w:tc>
        <w:tc>
          <w:tcPr>
            <w:tcW w:w="8883"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621A42E7" w14:textId="7EBAC2C8" w:rsidR="00284064" w:rsidRPr="00BC785C" w:rsidRDefault="00284064" w:rsidP="00A06B99">
            <w:pPr>
              <w:widowControl w:val="0"/>
              <w:rPr>
                <w:rFonts w:ascii="Calibri" w:hAnsi="Calibri"/>
                <w:b/>
                <w:bCs/>
                <w:i/>
                <w:iCs/>
                <w:sz w:val="20"/>
                <w:szCs w:val="20"/>
              </w:rPr>
            </w:pPr>
            <w:r>
              <w:rPr>
                <w:rFonts w:ascii="Calibri" w:hAnsi="Calibri"/>
                <w:b/>
                <w:bCs/>
                <w:sz w:val="20"/>
                <w:szCs w:val="20"/>
              </w:rPr>
              <w:t>GNSO Response</w:t>
            </w:r>
          </w:p>
        </w:tc>
      </w:tr>
      <w:tr w:rsidR="00496AF1" w:rsidRPr="00F07C39" w14:paraId="6931EDED" w14:textId="77777777" w:rsidTr="00496AF1">
        <w:trPr>
          <w:trHeight w:val="1830"/>
          <w:tblHeader/>
        </w:trPr>
        <w:tc>
          <w:tcPr>
            <w:tcW w:w="41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46AF48C" w14:textId="0D585A12" w:rsidR="00284064" w:rsidRPr="00ED0E70" w:rsidRDefault="00284064" w:rsidP="00A06B99">
            <w:pPr>
              <w:widowControl w:val="0"/>
              <w:rPr>
                <w:rFonts w:ascii="Calibri" w:hAnsi="Calibri"/>
                <w:sz w:val="20"/>
                <w:szCs w:val="20"/>
              </w:rPr>
            </w:pPr>
            <w:r w:rsidRPr="00ED0E70">
              <w:rPr>
                <w:rFonts w:ascii="Calibri" w:hAnsi="Calibri"/>
                <w:b/>
                <w:bCs/>
                <w:sz w:val="20"/>
                <w:szCs w:val="20"/>
              </w:rPr>
              <w:t>4. Geographic Names as Top-Level Domains</w:t>
            </w:r>
            <w:r w:rsidRPr="00284064">
              <w:rPr>
                <w:rFonts w:ascii="Calibri" w:hAnsi="Calibri"/>
                <w:b/>
                <w:bCs/>
                <w:sz w:val="20"/>
                <w:szCs w:val="20"/>
              </w:rPr>
              <w:t> </w:t>
            </w:r>
          </w:p>
          <w:p w14:paraId="6A0FC596" w14:textId="79311652" w:rsidR="00284064" w:rsidRPr="000A6201" w:rsidRDefault="00284064" w:rsidP="00A06B99">
            <w:pPr>
              <w:widowControl w:val="0"/>
              <w:rPr>
                <w:rFonts w:ascii="Calibri" w:hAnsi="Calibri"/>
                <w:sz w:val="20"/>
                <w:szCs w:val="20"/>
              </w:rPr>
            </w:pPr>
            <w:r w:rsidRPr="000A6201">
              <w:rPr>
                <w:rFonts w:ascii="Calibri" w:hAnsi="Calibri"/>
                <w:sz w:val="20"/>
                <w:szCs w:val="20"/>
              </w:rPr>
              <w:t>GAC Members welcomed and participated in the cross-community sessions held at ICANN59 on geographic names at the top level. The GAC considers that any further process of policy review and development should: (a) continue to allow all stakeholder groups to participate equally; (b) take into account the history and rationale of the arrangements currently in place; and (c) apply an evidence-based policy approach to any proposals for future arrangements.</w:t>
            </w:r>
            <w:r w:rsidRPr="00284064">
              <w:rPr>
                <w:rFonts w:ascii="Calibri" w:hAnsi="Calibri"/>
                <w:sz w:val="20"/>
                <w:szCs w:val="20"/>
              </w:rPr>
              <w:t> </w:t>
            </w:r>
            <w:r w:rsidRPr="000A6201">
              <w:rPr>
                <w:rFonts w:ascii="Calibri" w:hAnsi="Calibri"/>
                <w:sz w:val="20"/>
                <w:szCs w:val="20"/>
              </w:rPr>
              <w:t>Regarding the use of geographic names at the top level, the GAC recalls its advice and positions as stated in the following documents:</w:t>
            </w:r>
            <w:r w:rsidRPr="00284064">
              <w:rPr>
                <w:rFonts w:ascii="Calibri" w:hAnsi="Calibri"/>
                <w:sz w:val="20"/>
                <w:szCs w:val="20"/>
              </w:rPr>
              <w:t> </w:t>
            </w:r>
          </w:p>
          <w:p w14:paraId="7A1BE94D" w14:textId="4A1F479F"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 xml:space="preserve">GAC Principles and Guidelines for the Delegation and Administration of Country Code Top Level Domains (2005), paragraphs </w:t>
            </w:r>
            <w:proofErr w:type="gramStart"/>
            <w:r w:rsidRPr="000A6201">
              <w:rPr>
                <w:rFonts w:ascii="Calibri" w:eastAsia="Times New Roman" w:hAnsi="Calibri"/>
                <w:sz w:val="20"/>
                <w:szCs w:val="20"/>
              </w:rPr>
              <w:t>4.1.1. ,</w:t>
            </w:r>
            <w:proofErr w:type="gramEnd"/>
            <w:r w:rsidRPr="000A6201">
              <w:rPr>
                <w:rFonts w:ascii="Calibri" w:eastAsia="Times New Roman" w:hAnsi="Calibri"/>
                <w:sz w:val="20"/>
                <w:szCs w:val="20"/>
              </w:rPr>
              <w:t xml:space="preserve"> 4.1.2. and 8.3.</w:t>
            </w:r>
            <w:r w:rsidRPr="00284064">
              <w:rPr>
                <w:rFonts w:ascii="Calibri" w:eastAsia="Times New Roman" w:hAnsi="Calibri"/>
                <w:sz w:val="20"/>
                <w:szCs w:val="20"/>
              </w:rPr>
              <w:t> </w:t>
            </w:r>
          </w:p>
          <w:p w14:paraId="1BD218B3" w14:textId="2D0B8DCF"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 xml:space="preserve">GAC Principles Regarding New gTLDs (2007), sections </w:t>
            </w:r>
            <w:proofErr w:type="gramStart"/>
            <w:r w:rsidRPr="000A6201">
              <w:rPr>
                <w:rFonts w:ascii="Calibri" w:eastAsia="Times New Roman" w:hAnsi="Calibri"/>
                <w:sz w:val="20"/>
                <w:szCs w:val="20"/>
              </w:rPr>
              <w:t>1.2 ,</w:t>
            </w:r>
            <w:proofErr w:type="gramEnd"/>
            <w:r w:rsidRPr="000A6201">
              <w:rPr>
                <w:rFonts w:ascii="Calibri" w:eastAsia="Times New Roman" w:hAnsi="Calibri"/>
                <w:sz w:val="20"/>
                <w:szCs w:val="20"/>
              </w:rPr>
              <w:t xml:space="preserve"> 2.1 ,2.2, 2.3, 2.4 , 2.7 and 2.8.</w:t>
            </w:r>
            <w:r w:rsidRPr="00284064">
              <w:rPr>
                <w:rFonts w:ascii="Calibri" w:eastAsia="Times New Roman" w:hAnsi="Calibri"/>
                <w:sz w:val="20"/>
                <w:szCs w:val="20"/>
              </w:rPr>
              <w:t> </w:t>
            </w:r>
          </w:p>
          <w:p w14:paraId="660A49E4" w14:textId="78D83677"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GAC Nairobi Communiqué (2010): Application of 2007 Principles.</w:t>
            </w:r>
            <w:r w:rsidRPr="00284064">
              <w:rPr>
                <w:rFonts w:ascii="Calibri" w:eastAsia="Times New Roman" w:hAnsi="Calibri"/>
                <w:sz w:val="20"/>
                <w:szCs w:val="20"/>
              </w:rPr>
              <w:t> </w:t>
            </w:r>
          </w:p>
          <w:p w14:paraId="33C198E1" w14:textId="51D1DAA0"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284064">
              <w:rPr>
                <w:rFonts w:ascii="Calibri" w:eastAsia="Times New Roman" w:hAnsi="Calibri"/>
                <w:sz w:val="20"/>
                <w:szCs w:val="20"/>
              </w:rPr>
              <w:t>G</w:t>
            </w:r>
            <w:r w:rsidRPr="000A6201">
              <w:rPr>
                <w:rFonts w:ascii="Calibri" w:eastAsia="Times New Roman" w:hAnsi="Calibri"/>
                <w:sz w:val="20"/>
                <w:szCs w:val="20"/>
              </w:rPr>
              <w:t>AC Durban Communiqué (2013): Future application of 2007 Principles.</w:t>
            </w:r>
            <w:r w:rsidRPr="00284064">
              <w:rPr>
                <w:rFonts w:ascii="Calibri" w:eastAsia="Times New Roman" w:hAnsi="Calibri"/>
                <w:sz w:val="20"/>
                <w:szCs w:val="20"/>
              </w:rPr>
              <w:t> </w:t>
            </w:r>
          </w:p>
          <w:p w14:paraId="664EE7BA" w14:textId="71E382DA" w:rsidR="00284064" w:rsidRPr="00284064" w:rsidRDefault="00284064" w:rsidP="00A06B99">
            <w:pPr>
              <w:widowControl w:val="0"/>
              <w:numPr>
                <w:ilvl w:val="0"/>
                <w:numId w:val="14"/>
              </w:numPr>
              <w:tabs>
                <w:tab w:val="num" w:pos="720"/>
              </w:tabs>
              <w:rPr>
                <w:rFonts w:ascii="Calibri" w:eastAsia="Times New Roman" w:hAnsi="Calibri"/>
                <w:sz w:val="20"/>
                <w:szCs w:val="20"/>
              </w:rPr>
            </w:pPr>
            <w:r w:rsidRPr="000A6201">
              <w:rPr>
                <w:rFonts w:ascii="Calibri" w:eastAsia="Times New Roman" w:hAnsi="Calibri"/>
                <w:sz w:val="20"/>
                <w:szCs w:val="20"/>
              </w:rPr>
              <w:t>GAC Helsinki Communiqué (2016): 3-letter codes.</w:t>
            </w:r>
            <w:r w:rsidRPr="00284064">
              <w:rPr>
                <w:rFonts w:ascii="Calibri" w:eastAsia="Times New Roman" w:hAnsi="Calibri"/>
                <w:sz w:val="20"/>
                <w:szCs w:val="20"/>
              </w:rPr>
              <w:t> </w:t>
            </w:r>
          </w:p>
        </w:tc>
        <w:tc>
          <w:tcPr>
            <w:tcW w:w="88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9751132" w14:textId="1A2DE499" w:rsidR="00212F1D" w:rsidRDefault="00212F1D" w:rsidP="00A06B99">
            <w:pPr>
              <w:widowControl w:val="0"/>
              <w:rPr>
                <w:rFonts w:ascii="Calibri" w:eastAsia="Times New Roman" w:hAnsi="Calibri"/>
                <w:color w:val="000000"/>
                <w:sz w:val="20"/>
                <w:szCs w:val="20"/>
                <w:shd w:val="clear" w:color="auto" w:fill="FFFFFF"/>
              </w:rPr>
            </w:pPr>
            <w:r>
              <w:rPr>
                <w:rFonts w:ascii="Calibri" w:eastAsia="Times New Roman" w:hAnsi="Calibri"/>
                <w:color w:val="000000"/>
                <w:sz w:val="20"/>
                <w:szCs w:val="20"/>
                <w:shd w:val="clear" w:color="auto" w:fill="FFFFFF"/>
              </w:rPr>
              <w:t>Option A</w:t>
            </w:r>
          </w:p>
          <w:p w14:paraId="0D681BE7" w14:textId="033931DC" w:rsidR="00284064" w:rsidRDefault="00284064" w:rsidP="00A06B99">
            <w:pPr>
              <w:widowControl w:val="0"/>
              <w:rPr>
                <w:rFonts w:ascii="Calibri" w:eastAsia="Times New Roman" w:hAnsi="Calibri"/>
                <w:color w:val="000000"/>
                <w:sz w:val="20"/>
                <w:szCs w:val="20"/>
                <w:shd w:val="clear" w:color="auto" w:fill="FFFFFF"/>
              </w:rPr>
            </w:pPr>
            <w:r w:rsidRPr="00284064">
              <w:rPr>
                <w:rFonts w:ascii="Calibri" w:eastAsia="Times New Roman" w:hAnsi="Calibri"/>
                <w:color w:val="000000"/>
                <w:sz w:val="20"/>
                <w:szCs w:val="20"/>
                <w:shd w:val="clear" w:color="auto" w:fill="FFFFFF"/>
              </w:rPr>
              <w:t xml:space="preserve">The GNSO Council also takes note of the “Geographic Names as Top-Level </w:t>
            </w:r>
            <w:proofErr w:type="gramStart"/>
            <w:r w:rsidRPr="00284064">
              <w:rPr>
                <w:rFonts w:ascii="Calibri" w:eastAsia="Times New Roman" w:hAnsi="Calibri"/>
                <w:color w:val="000000"/>
                <w:sz w:val="20"/>
                <w:szCs w:val="20"/>
                <w:shd w:val="clear" w:color="auto" w:fill="FFFFFF"/>
              </w:rPr>
              <w:t>Domains“ section</w:t>
            </w:r>
            <w:proofErr w:type="gramEnd"/>
            <w:r w:rsidRPr="00284064">
              <w:rPr>
                <w:rFonts w:ascii="Calibri" w:eastAsia="Times New Roman" w:hAnsi="Calibri"/>
                <w:color w:val="000000"/>
                <w:sz w:val="20"/>
                <w:szCs w:val="20"/>
                <w:shd w:val="clear" w:color="auto" w:fill="FFFFFF"/>
              </w:rPr>
              <w:t xml:space="preserve"> of the communiqué restating previous advice and positions. Among those positions are references that imply that certain geographic top-level domains should be addressed by, and only through, a ccNSO PDP. With respect to that position we note (</w:t>
            </w:r>
            <w:proofErr w:type="spellStart"/>
            <w:r w:rsidRPr="00284064">
              <w:rPr>
                <w:rFonts w:ascii="Calibri" w:eastAsia="Times New Roman" w:hAnsi="Calibri"/>
                <w:color w:val="000000"/>
                <w:sz w:val="20"/>
                <w:szCs w:val="20"/>
                <w:shd w:val="clear" w:color="auto" w:fill="FFFFFF"/>
              </w:rPr>
              <w:t>i</w:t>
            </w:r>
            <w:proofErr w:type="spellEnd"/>
            <w:r w:rsidRPr="00284064">
              <w:rPr>
                <w:rFonts w:ascii="Calibri" w:eastAsia="Times New Roman" w:hAnsi="Calibri"/>
                <w:color w:val="000000"/>
                <w:sz w:val="20"/>
                <w:szCs w:val="20"/>
                <w:shd w:val="clear" w:color="auto" w:fill="FFFFFF"/>
              </w:rPr>
              <w:t>) that a ccNSO PDP was not commenced on country and territory names at the top-level, (ii) a Cross Community Working Group on the Use of Country and Territory Names produced a final report in which no recommendations were made on any issues other than the use of two-characters at the top-level, and (iii) these issues are currently within the scope of and charter of the GNSO Policy Develop Process on New gTLD Subsequent Procedures (</w:t>
            </w:r>
            <w:proofErr w:type="spellStart"/>
            <w:r w:rsidRPr="00284064">
              <w:rPr>
                <w:rFonts w:ascii="Calibri" w:eastAsia="Times New Roman" w:hAnsi="Calibri"/>
                <w:color w:val="000000"/>
                <w:sz w:val="20"/>
                <w:szCs w:val="20"/>
                <w:shd w:val="clear" w:color="auto" w:fill="FFFFFF"/>
              </w:rPr>
              <w:t>SubPro</w:t>
            </w:r>
            <w:proofErr w:type="spellEnd"/>
            <w:r w:rsidRPr="00284064">
              <w:rPr>
                <w:rFonts w:ascii="Calibri" w:eastAsia="Times New Roman" w:hAnsi="Calibri"/>
                <w:color w:val="000000"/>
                <w:sz w:val="20"/>
                <w:szCs w:val="20"/>
                <w:shd w:val="clear" w:color="auto" w:fill="FFFFFF"/>
              </w:rPr>
              <w:t xml:space="preserve"> PDP). Our understanding is that the </w:t>
            </w:r>
            <w:proofErr w:type="spellStart"/>
            <w:r w:rsidRPr="00284064">
              <w:rPr>
                <w:rFonts w:ascii="Calibri" w:eastAsia="Times New Roman" w:hAnsi="Calibri"/>
                <w:color w:val="000000"/>
                <w:sz w:val="20"/>
                <w:szCs w:val="20"/>
                <w:shd w:val="clear" w:color="auto" w:fill="FFFFFF"/>
              </w:rPr>
              <w:t>SubPro</w:t>
            </w:r>
            <w:proofErr w:type="spellEnd"/>
            <w:r w:rsidRPr="00284064">
              <w:rPr>
                <w:rFonts w:ascii="Calibri" w:eastAsia="Times New Roman" w:hAnsi="Calibri"/>
                <w:color w:val="000000"/>
                <w:sz w:val="20"/>
                <w:szCs w:val="20"/>
                <w:shd w:val="clear" w:color="auto" w:fill="FFFFFF"/>
              </w:rPr>
              <w:t xml:space="preserve"> PDP will be establishing a new Work Track 5 on Geographic Names at the Top Level and inviting persons from each of the SOs and ACs to participate in the leadership of that Work Track. The GNSO Council encourages participation from the community, including the GAC, in that </w:t>
            </w:r>
            <w:proofErr w:type="spellStart"/>
            <w:r w:rsidRPr="00284064">
              <w:rPr>
                <w:rFonts w:ascii="Calibri" w:eastAsia="Times New Roman" w:hAnsi="Calibri"/>
                <w:color w:val="000000"/>
                <w:sz w:val="20"/>
                <w:szCs w:val="20"/>
                <w:shd w:val="clear" w:color="auto" w:fill="FFFFFF"/>
              </w:rPr>
              <w:t>SubPro</w:t>
            </w:r>
            <w:proofErr w:type="spellEnd"/>
            <w:r w:rsidRPr="00284064">
              <w:rPr>
                <w:rFonts w:ascii="Calibri" w:eastAsia="Times New Roman" w:hAnsi="Calibri"/>
                <w:color w:val="000000"/>
                <w:sz w:val="20"/>
                <w:szCs w:val="20"/>
                <w:shd w:val="clear" w:color="auto" w:fill="FFFFFF"/>
              </w:rPr>
              <w:t xml:space="preserve"> PDP to ensure a multi-stakeholder bottom up solution to this issue.</w:t>
            </w:r>
          </w:p>
          <w:p w14:paraId="7074E5C2" w14:textId="77777777" w:rsidR="00212F1D" w:rsidRDefault="00212F1D" w:rsidP="00A06B99">
            <w:pPr>
              <w:widowControl w:val="0"/>
              <w:rPr>
                <w:rFonts w:ascii="Calibri" w:eastAsia="Times New Roman" w:hAnsi="Calibri"/>
                <w:color w:val="000000"/>
                <w:sz w:val="20"/>
                <w:szCs w:val="20"/>
                <w:shd w:val="clear" w:color="auto" w:fill="FFFFFF"/>
              </w:rPr>
            </w:pPr>
          </w:p>
          <w:p w14:paraId="4F9F4481" w14:textId="77777777" w:rsidR="00212F1D" w:rsidRDefault="00212F1D" w:rsidP="00A06B99">
            <w:pPr>
              <w:widowControl w:val="0"/>
              <w:rPr>
                <w:rFonts w:ascii="Calibri" w:eastAsia="Times New Roman" w:hAnsi="Calibri"/>
                <w:color w:val="000000"/>
                <w:sz w:val="20"/>
                <w:szCs w:val="20"/>
                <w:shd w:val="clear" w:color="auto" w:fill="FFFFFF"/>
              </w:rPr>
            </w:pPr>
            <w:r>
              <w:rPr>
                <w:rFonts w:ascii="Calibri" w:eastAsia="Times New Roman" w:hAnsi="Calibri"/>
                <w:color w:val="000000"/>
                <w:sz w:val="20"/>
                <w:szCs w:val="20"/>
                <w:shd w:val="clear" w:color="auto" w:fill="FFFFFF"/>
              </w:rPr>
              <w:t>Option B</w:t>
            </w:r>
          </w:p>
          <w:p w14:paraId="4FBB8D8B" w14:textId="69AC9F0A" w:rsidR="00CE5F9D" w:rsidRPr="00A06B99" w:rsidRDefault="00165DC6" w:rsidP="00A06B99">
            <w:pPr>
              <w:widowControl w:val="0"/>
              <w:rPr>
                <w:rFonts w:ascii="Calibri" w:eastAsia="Times New Roman" w:hAnsi="Calibri"/>
                <w:color w:val="000000"/>
                <w:sz w:val="20"/>
                <w:szCs w:val="20"/>
                <w:shd w:val="clear" w:color="auto" w:fill="FFFFFF"/>
              </w:rPr>
            </w:pPr>
            <w:r w:rsidRPr="00165DC6">
              <w:rPr>
                <w:rFonts w:ascii="Calibri" w:eastAsia="Times New Roman" w:hAnsi="Calibri"/>
                <w:color w:val="000000"/>
                <w:sz w:val="20"/>
                <w:szCs w:val="20"/>
                <w:shd w:val="clear" w:color="auto" w:fill="FFFFFF"/>
              </w:rPr>
              <w:t xml:space="preserve">The GNSO Council also takes note of the “Geographic Names as Top-Level </w:t>
            </w:r>
            <w:proofErr w:type="gramStart"/>
            <w:r w:rsidRPr="00165DC6">
              <w:rPr>
                <w:rFonts w:ascii="Calibri" w:eastAsia="Times New Roman" w:hAnsi="Calibri"/>
                <w:color w:val="000000"/>
                <w:sz w:val="20"/>
                <w:szCs w:val="20"/>
                <w:shd w:val="clear" w:color="auto" w:fill="FFFFFF"/>
              </w:rPr>
              <w:t>Domains“ section</w:t>
            </w:r>
            <w:proofErr w:type="gramEnd"/>
            <w:r w:rsidRPr="00165DC6">
              <w:rPr>
                <w:rFonts w:ascii="Calibri" w:eastAsia="Times New Roman" w:hAnsi="Calibri"/>
                <w:color w:val="000000"/>
                <w:sz w:val="20"/>
                <w:szCs w:val="20"/>
                <w:shd w:val="clear" w:color="auto" w:fill="FFFFFF"/>
              </w:rPr>
              <w:t xml:space="preserve"> of the communiqué restating previous advice and positions. Among those positions are references that imply that certain geographic top-level domains should be addressed by, </w:t>
            </w:r>
            <w:r>
              <w:rPr>
                <w:rFonts w:ascii="Calibri" w:eastAsia="Times New Roman" w:hAnsi="Calibri"/>
                <w:color w:val="000000"/>
                <w:sz w:val="20"/>
                <w:szCs w:val="20"/>
                <w:shd w:val="clear" w:color="auto" w:fill="FFFFFF"/>
              </w:rPr>
              <w:t>and only through, a ccNSO PDP. </w:t>
            </w:r>
            <w:r w:rsidRPr="00165DC6">
              <w:rPr>
                <w:rFonts w:ascii="Calibri" w:eastAsia="Times New Roman" w:hAnsi="Calibri"/>
                <w:color w:val="000000"/>
                <w:sz w:val="20"/>
                <w:szCs w:val="20"/>
                <w:shd w:val="clear" w:color="auto" w:fill="FFFFFF"/>
              </w:rPr>
              <w:t>With respect to that position we note that (</w:t>
            </w:r>
            <w:proofErr w:type="spellStart"/>
            <w:r w:rsidRPr="00165DC6">
              <w:rPr>
                <w:rFonts w:ascii="Calibri" w:eastAsia="Times New Roman" w:hAnsi="Calibri"/>
                <w:color w:val="000000"/>
                <w:sz w:val="20"/>
                <w:szCs w:val="20"/>
                <w:shd w:val="clear" w:color="auto" w:fill="FFFFFF"/>
              </w:rPr>
              <w:t>i</w:t>
            </w:r>
            <w:proofErr w:type="spellEnd"/>
            <w:r w:rsidRPr="00165DC6">
              <w:rPr>
                <w:rFonts w:ascii="Calibri" w:eastAsia="Times New Roman" w:hAnsi="Calibri"/>
                <w:color w:val="000000"/>
                <w:sz w:val="20"/>
                <w:szCs w:val="20"/>
                <w:shd w:val="clear" w:color="auto" w:fill="FFFFFF"/>
              </w:rPr>
              <w:t>) a Cross Community Working Group on the Use of Country and Territory Names produced a final report in which no recommendations were made on any issues other than the use of two-characters at the top-level, (ii) unless explicitly overruled as happened with IDN ccTLDs, IETF RFC 1591 puts any other TLDs within GNSO remit. These issues are currently within the scope of the charter of the GNSO Policy Development Process on New gTLD Subsequent Procedures (</w:t>
            </w:r>
            <w:proofErr w:type="spellStart"/>
            <w:r w:rsidRPr="00165DC6">
              <w:rPr>
                <w:rFonts w:ascii="Calibri" w:eastAsia="Times New Roman" w:hAnsi="Calibri"/>
                <w:color w:val="000000"/>
                <w:sz w:val="20"/>
                <w:szCs w:val="20"/>
                <w:shd w:val="clear" w:color="auto" w:fill="FFFFFF"/>
              </w:rPr>
              <w:t>SubPro</w:t>
            </w:r>
            <w:proofErr w:type="spellEnd"/>
            <w:r w:rsidRPr="00165DC6">
              <w:rPr>
                <w:rFonts w:ascii="Calibri" w:eastAsia="Times New Roman" w:hAnsi="Calibri"/>
                <w:color w:val="000000"/>
                <w:sz w:val="20"/>
                <w:szCs w:val="20"/>
                <w:shd w:val="clear" w:color="auto" w:fill="FFFFFF"/>
              </w:rPr>
              <w:t xml:space="preserve"> PDP), and those geographic names will only benefit from any protection that those names get from the GNSO policy implementation. Our understanding is that the </w:t>
            </w:r>
            <w:proofErr w:type="spellStart"/>
            <w:r w:rsidRPr="00165DC6">
              <w:rPr>
                <w:rFonts w:ascii="Calibri" w:eastAsia="Times New Roman" w:hAnsi="Calibri"/>
                <w:color w:val="000000"/>
                <w:sz w:val="20"/>
                <w:szCs w:val="20"/>
                <w:shd w:val="clear" w:color="auto" w:fill="FFFFFF"/>
              </w:rPr>
              <w:t>SubPro</w:t>
            </w:r>
            <w:proofErr w:type="spellEnd"/>
            <w:r w:rsidRPr="00165DC6">
              <w:rPr>
                <w:rFonts w:ascii="Calibri" w:eastAsia="Times New Roman" w:hAnsi="Calibri"/>
                <w:color w:val="000000"/>
                <w:sz w:val="20"/>
                <w:szCs w:val="20"/>
                <w:shd w:val="clear" w:color="auto" w:fill="FFFFFF"/>
              </w:rPr>
              <w:t xml:space="preserve"> PDP will be establishing a new Work Track 5 on Geographic Names at the Top Level and inviting persons from each of the SOs and ACs to participate in the leadership of that W</w:t>
            </w:r>
            <w:r w:rsidR="00CE5F9D">
              <w:rPr>
                <w:rFonts w:ascii="Calibri" w:eastAsia="Times New Roman" w:hAnsi="Calibri"/>
                <w:color w:val="000000"/>
                <w:sz w:val="20"/>
                <w:szCs w:val="20"/>
                <w:shd w:val="clear" w:color="auto" w:fill="FFFFFF"/>
              </w:rPr>
              <w:t>ork Track. </w:t>
            </w:r>
            <w:r w:rsidRPr="00165DC6">
              <w:rPr>
                <w:rFonts w:ascii="Calibri" w:eastAsia="Times New Roman" w:hAnsi="Calibri"/>
                <w:color w:val="000000"/>
                <w:sz w:val="20"/>
                <w:szCs w:val="20"/>
                <w:shd w:val="clear" w:color="auto" w:fill="FFFFFF"/>
              </w:rPr>
              <w:t xml:space="preserve">The GNSO Council encourages participation from the community, including governments and country-code operators in that </w:t>
            </w:r>
            <w:proofErr w:type="spellStart"/>
            <w:r w:rsidRPr="00165DC6">
              <w:rPr>
                <w:rFonts w:ascii="Calibri" w:eastAsia="Times New Roman" w:hAnsi="Calibri"/>
                <w:color w:val="000000"/>
                <w:sz w:val="20"/>
                <w:szCs w:val="20"/>
                <w:shd w:val="clear" w:color="auto" w:fill="FFFFFF"/>
              </w:rPr>
              <w:t>SubPro</w:t>
            </w:r>
            <w:proofErr w:type="spellEnd"/>
            <w:r w:rsidRPr="00165DC6">
              <w:rPr>
                <w:rFonts w:ascii="Calibri" w:eastAsia="Times New Roman" w:hAnsi="Calibri"/>
                <w:color w:val="000000"/>
                <w:sz w:val="20"/>
                <w:szCs w:val="20"/>
                <w:shd w:val="clear" w:color="auto" w:fill="FFFFFF"/>
              </w:rPr>
              <w:t xml:space="preserve"> PDP to ensure a multi-stakeholder bottom up solution to this issue, hopefully one that will be harmonic with possible ccNSO PDP and GAC guidance on the </w:t>
            </w:r>
            <w:bookmarkStart w:id="1" w:name="_GoBack"/>
            <w:bookmarkEnd w:id="1"/>
            <w:r w:rsidRPr="00165DC6">
              <w:rPr>
                <w:rFonts w:ascii="Calibri" w:eastAsia="Times New Roman" w:hAnsi="Calibri"/>
                <w:color w:val="000000"/>
                <w:sz w:val="20"/>
                <w:szCs w:val="20"/>
                <w:shd w:val="clear" w:color="auto" w:fill="FFFFFF"/>
              </w:rPr>
              <w:t>matter.</w:t>
            </w:r>
          </w:p>
        </w:tc>
      </w:tr>
    </w:tbl>
    <w:p w14:paraId="2AF01680" w14:textId="2C13DA9D" w:rsidR="00E07E65" w:rsidRPr="00BC785C" w:rsidRDefault="00E07E65" w:rsidP="00284064">
      <w:pPr>
        <w:pageBreakBefore/>
        <w:rPr>
          <w:rFonts w:ascii="Calibri" w:hAnsi="Calibri"/>
          <w:sz w:val="20"/>
          <w:szCs w:val="20"/>
        </w:rPr>
      </w:pPr>
    </w:p>
    <w:sectPr w:rsidR="00E07E65" w:rsidRPr="00BC785C">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F86A" w14:textId="77777777" w:rsidR="000739F7" w:rsidRDefault="000739F7">
      <w:r>
        <w:separator/>
      </w:r>
    </w:p>
  </w:endnote>
  <w:endnote w:type="continuationSeparator" w:id="0">
    <w:p w14:paraId="02597059" w14:textId="77777777" w:rsidR="000739F7" w:rsidRDefault="0007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DF6EB1">
      <w:rPr>
        <w:rStyle w:val="PageNumber"/>
        <w:rFonts w:ascii="Calibri" w:hAnsi="Calibri"/>
        <w:noProof/>
        <w:sz w:val="18"/>
        <w:szCs w:val="18"/>
      </w:rPr>
      <w:t>3</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A2EC" w14:textId="77777777" w:rsidR="000739F7" w:rsidRDefault="000739F7">
      <w:r>
        <w:separator/>
      </w:r>
    </w:p>
  </w:footnote>
  <w:footnote w:type="continuationSeparator" w:id="0">
    <w:p w14:paraId="6AF07B18" w14:textId="77777777" w:rsidR="000739F7" w:rsidRDefault="000739F7">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0E16FE"/>
    <w:multiLevelType w:val="multilevel"/>
    <w:tmpl w:val="A808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9F2"/>
    <w:multiLevelType w:val="multilevel"/>
    <w:tmpl w:val="093A68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0D349AC"/>
    <w:multiLevelType w:val="multilevel"/>
    <w:tmpl w:val="3F2E2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9">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3"/>
  </w:num>
  <w:num w:numId="5">
    <w:abstractNumId w:val="0"/>
  </w:num>
  <w:num w:numId="6">
    <w:abstractNumId w:val="10"/>
  </w:num>
  <w:num w:numId="7">
    <w:abstractNumId w:val="11"/>
  </w:num>
  <w:num w:numId="8">
    <w:abstractNumId w:val="9"/>
  </w:num>
  <w:num w:numId="9">
    <w:abstractNumId w:val="13"/>
  </w:num>
  <w:num w:numId="10">
    <w:abstractNumId w:val="12"/>
  </w:num>
  <w:num w:numId="11">
    <w:abstractNumId w:val="4"/>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1419A"/>
    <w:rsid w:val="000206DC"/>
    <w:rsid w:val="00041C06"/>
    <w:rsid w:val="000739F7"/>
    <w:rsid w:val="00074ECF"/>
    <w:rsid w:val="000A6201"/>
    <w:rsid w:val="000C7A74"/>
    <w:rsid w:val="000F290E"/>
    <w:rsid w:val="00146B6A"/>
    <w:rsid w:val="00165DC6"/>
    <w:rsid w:val="00166F08"/>
    <w:rsid w:val="00184084"/>
    <w:rsid w:val="001D29A4"/>
    <w:rsid w:val="001D779F"/>
    <w:rsid w:val="00212F1D"/>
    <w:rsid w:val="00284064"/>
    <w:rsid w:val="002B7C8E"/>
    <w:rsid w:val="002C32BC"/>
    <w:rsid w:val="002E5680"/>
    <w:rsid w:val="002E7602"/>
    <w:rsid w:val="00334F51"/>
    <w:rsid w:val="00337474"/>
    <w:rsid w:val="00343DDB"/>
    <w:rsid w:val="00351139"/>
    <w:rsid w:val="00352A05"/>
    <w:rsid w:val="00384BBC"/>
    <w:rsid w:val="00396489"/>
    <w:rsid w:val="003C7AC1"/>
    <w:rsid w:val="00437570"/>
    <w:rsid w:val="004443BD"/>
    <w:rsid w:val="0046057F"/>
    <w:rsid w:val="00496AF1"/>
    <w:rsid w:val="004A1FD2"/>
    <w:rsid w:val="004A2ABB"/>
    <w:rsid w:val="004C2CB8"/>
    <w:rsid w:val="004D7506"/>
    <w:rsid w:val="004D75B1"/>
    <w:rsid w:val="004F3B5A"/>
    <w:rsid w:val="00520D82"/>
    <w:rsid w:val="005307BA"/>
    <w:rsid w:val="00535FA2"/>
    <w:rsid w:val="005606DF"/>
    <w:rsid w:val="005829D4"/>
    <w:rsid w:val="005B6C2C"/>
    <w:rsid w:val="006160F4"/>
    <w:rsid w:val="0067270C"/>
    <w:rsid w:val="006835CD"/>
    <w:rsid w:val="006A7D0B"/>
    <w:rsid w:val="006C0A17"/>
    <w:rsid w:val="007054F2"/>
    <w:rsid w:val="00721860"/>
    <w:rsid w:val="0072261A"/>
    <w:rsid w:val="007410AF"/>
    <w:rsid w:val="007D3A29"/>
    <w:rsid w:val="007E551C"/>
    <w:rsid w:val="0087096F"/>
    <w:rsid w:val="008B6D02"/>
    <w:rsid w:val="008E3BD9"/>
    <w:rsid w:val="008F710F"/>
    <w:rsid w:val="00914FB2"/>
    <w:rsid w:val="00942E31"/>
    <w:rsid w:val="009A3740"/>
    <w:rsid w:val="00A06B99"/>
    <w:rsid w:val="00A318F1"/>
    <w:rsid w:val="00AB1BA2"/>
    <w:rsid w:val="00AD5C5B"/>
    <w:rsid w:val="00B50248"/>
    <w:rsid w:val="00B91776"/>
    <w:rsid w:val="00BA69B5"/>
    <w:rsid w:val="00BC18CB"/>
    <w:rsid w:val="00BC785C"/>
    <w:rsid w:val="00C140B9"/>
    <w:rsid w:val="00C37BB7"/>
    <w:rsid w:val="00C906A8"/>
    <w:rsid w:val="00CC6D9B"/>
    <w:rsid w:val="00CC77FE"/>
    <w:rsid w:val="00CD4562"/>
    <w:rsid w:val="00CE5F9D"/>
    <w:rsid w:val="00CE758B"/>
    <w:rsid w:val="00D05132"/>
    <w:rsid w:val="00D559F3"/>
    <w:rsid w:val="00D92785"/>
    <w:rsid w:val="00DB46EA"/>
    <w:rsid w:val="00DB5951"/>
    <w:rsid w:val="00DF6EB1"/>
    <w:rsid w:val="00E07E65"/>
    <w:rsid w:val="00E41B30"/>
    <w:rsid w:val="00E52D31"/>
    <w:rsid w:val="00EB5823"/>
    <w:rsid w:val="00ED0E70"/>
    <w:rsid w:val="00F07C39"/>
    <w:rsid w:val="00F57382"/>
    <w:rsid w:val="00F757CF"/>
    <w:rsid w:val="00FB667A"/>
    <w:rsid w:val="00FC4A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506"/>
    <w:rPr>
      <w:color w:val="auto"/>
      <w:sz w:val="24"/>
      <w:szCs w:val="24"/>
      <w:lang w:val="en-US" w:eastAsia="en-US" w:bidi="ar-SA"/>
    </w:rPr>
  </w:style>
  <w:style w:type="paragraph" w:styleId="Heading1">
    <w:name w:val="heading 1"/>
    <w:basedOn w:val="Normal"/>
    <w:link w:val="Heading1Char"/>
    <w:uiPriority w:val="9"/>
    <w:qFormat/>
    <w:rsid w:val="006C0A1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spacing w:before="100" w:beforeAutospacing="1" w:after="100" w:afterAutospacing="1"/>
    </w:pPr>
    <w:rPr>
      <w:rFonts w:ascii="Times" w:hAnsi="Times"/>
      <w:sz w:val="20"/>
      <w:szCs w:val="20"/>
      <w:lang w:val="en-CA"/>
    </w:rPr>
  </w:style>
  <w:style w:type="paragraph" w:customStyle="1" w:styleId="p1">
    <w:name w:val="p1"/>
    <w:basedOn w:val="Normal"/>
    <w:rsid w:val="008E3BD9"/>
    <w:rPr>
      <w:rFonts w:ascii="Helvetica" w:hAnsi="Helvetica"/>
      <w:sz w:val="18"/>
      <w:szCs w:val="18"/>
    </w:rPr>
  </w:style>
  <w:style w:type="paragraph" w:styleId="Revision">
    <w:name w:val="Revision"/>
    <w:hidden/>
    <w:uiPriority w:val="99"/>
    <w:semiHidden/>
    <w:rsid w:val="00B91776"/>
    <w:rPr>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7401">
      <w:bodyDiv w:val="1"/>
      <w:marLeft w:val="0"/>
      <w:marRight w:val="0"/>
      <w:marTop w:val="0"/>
      <w:marBottom w:val="0"/>
      <w:divBdr>
        <w:top w:val="none" w:sz="0" w:space="0" w:color="auto"/>
        <w:left w:val="none" w:sz="0" w:space="0" w:color="auto"/>
        <w:bottom w:val="none" w:sz="0" w:space="0" w:color="auto"/>
        <w:right w:val="none" w:sz="0" w:space="0" w:color="auto"/>
      </w:divBdr>
    </w:div>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291179818">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438185909">
      <w:bodyDiv w:val="1"/>
      <w:marLeft w:val="0"/>
      <w:marRight w:val="0"/>
      <w:marTop w:val="0"/>
      <w:marBottom w:val="0"/>
      <w:divBdr>
        <w:top w:val="none" w:sz="0" w:space="0" w:color="auto"/>
        <w:left w:val="none" w:sz="0" w:space="0" w:color="auto"/>
        <w:bottom w:val="none" w:sz="0" w:space="0" w:color="auto"/>
        <w:right w:val="none" w:sz="0" w:space="0" w:color="auto"/>
      </w:divBdr>
    </w:div>
    <w:div w:id="457800468">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90562185">
      <w:bodyDiv w:val="1"/>
      <w:marLeft w:val="0"/>
      <w:marRight w:val="0"/>
      <w:marTop w:val="0"/>
      <w:marBottom w:val="0"/>
      <w:divBdr>
        <w:top w:val="none" w:sz="0" w:space="0" w:color="auto"/>
        <w:left w:val="none" w:sz="0" w:space="0" w:color="auto"/>
        <w:bottom w:val="none" w:sz="0" w:space="0" w:color="auto"/>
        <w:right w:val="none" w:sz="0" w:space="0" w:color="auto"/>
      </w:divBdr>
      <w:divsChild>
        <w:div w:id="147410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158287">
              <w:marLeft w:val="0"/>
              <w:marRight w:val="0"/>
              <w:marTop w:val="0"/>
              <w:marBottom w:val="0"/>
              <w:divBdr>
                <w:top w:val="none" w:sz="0" w:space="0" w:color="auto"/>
                <w:left w:val="none" w:sz="0" w:space="0" w:color="auto"/>
                <w:bottom w:val="none" w:sz="0" w:space="0" w:color="auto"/>
                <w:right w:val="none" w:sz="0" w:space="0" w:color="auto"/>
              </w:divBdr>
              <w:divsChild>
                <w:div w:id="1156410291">
                  <w:marLeft w:val="0"/>
                  <w:marRight w:val="0"/>
                  <w:marTop w:val="0"/>
                  <w:marBottom w:val="0"/>
                  <w:divBdr>
                    <w:top w:val="none" w:sz="0" w:space="0" w:color="auto"/>
                    <w:left w:val="none" w:sz="0" w:space="0" w:color="auto"/>
                    <w:bottom w:val="none" w:sz="0" w:space="0" w:color="auto"/>
                    <w:right w:val="none" w:sz="0" w:space="0" w:color="auto"/>
                  </w:divBdr>
                  <w:divsChild>
                    <w:div w:id="47730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49153">
                          <w:marLeft w:val="0"/>
                          <w:marRight w:val="0"/>
                          <w:marTop w:val="0"/>
                          <w:marBottom w:val="0"/>
                          <w:divBdr>
                            <w:top w:val="none" w:sz="0" w:space="0" w:color="auto"/>
                            <w:left w:val="none" w:sz="0" w:space="0" w:color="auto"/>
                            <w:bottom w:val="none" w:sz="0" w:space="0" w:color="auto"/>
                            <w:right w:val="none" w:sz="0" w:space="0" w:color="auto"/>
                          </w:divBdr>
                          <w:divsChild>
                            <w:div w:id="487064522">
                              <w:marLeft w:val="0"/>
                              <w:marRight w:val="0"/>
                              <w:marTop w:val="0"/>
                              <w:marBottom w:val="0"/>
                              <w:divBdr>
                                <w:top w:val="none" w:sz="0" w:space="0" w:color="auto"/>
                                <w:left w:val="none" w:sz="0" w:space="0" w:color="auto"/>
                                <w:bottom w:val="none" w:sz="0" w:space="0" w:color="auto"/>
                                <w:right w:val="none" w:sz="0" w:space="0" w:color="auto"/>
                              </w:divBdr>
                              <w:divsChild>
                                <w:div w:id="51200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80166">
                                      <w:marLeft w:val="0"/>
                                      <w:marRight w:val="0"/>
                                      <w:marTop w:val="0"/>
                                      <w:marBottom w:val="0"/>
                                      <w:divBdr>
                                        <w:top w:val="none" w:sz="0" w:space="0" w:color="auto"/>
                                        <w:left w:val="none" w:sz="0" w:space="0" w:color="auto"/>
                                        <w:bottom w:val="none" w:sz="0" w:space="0" w:color="auto"/>
                                        <w:right w:val="none" w:sz="0" w:space="0" w:color="auto"/>
                                      </w:divBdr>
                                      <w:divsChild>
                                        <w:div w:id="963272712">
                                          <w:marLeft w:val="0"/>
                                          <w:marRight w:val="0"/>
                                          <w:marTop w:val="0"/>
                                          <w:marBottom w:val="0"/>
                                          <w:divBdr>
                                            <w:top w:val="none" w:sz="0" w:space="0" w:color="auto"/>
                                            <w:left w:val="none" w:sz="0" w:space="0" w:color="auto"/>
                                            <w:bottom w:val="none" w:sz="0" w:space="0" w:color="auto"/>
                                            <w:right w:val="none" w:sz="0" w:space="0" w:color="auto"/>
                                          </w:divBdr>
                                          <w:divsChild>
                                            <w:div w:id="1335306628">
                                              <w:marLeft w:val="0"/>
                                              <w:marRight w:val="0"/>
                                              <w:marTop w:val="0"/>
                                              <w:marBottom w:val="0"/>
                                              <w:divBdr>
                                                <w:top w:val="none" w:sz="0" w:space="0" w:color="auto"/>
                                                <w:left w:val="none" w:sz="0" w:space="0" w:color="auto"/>
                                                <w:bottom w:val="none" w:sz="0" w:space="0" w:color="auto"/>
                                                <w:right w:val="none" w:sz="0" w:space="0" w:color="auto"/>
                                              </w:divBdr>
                                              <w:divsChild>
                                                <w:div w:id="1702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52230553">
      <w:bodyDiv w:val="1"/>
      <w:marLeft w:val="0"/>
      <w:marRight w:val="0"/>
      <w:marTop w:val="0"/>
      <w:marBottom w:val="0"/>
      <w:divBdr>
        <w:top w:val="none" w:sz="0" w:space="0" w:color="auto"/>
        <w:left w:val="none" w:sz="0" w:space="0" w:color="auto"/>
        <w:bottom w:val="none" w:sz="0" w:space="0" w:color="auto"/>
        <w:right w:val="none" w:sz="0" w:space="0" w:color="auto"/>
      </w:divBdr>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21253815">
      <w:bodyDiv w:val="1"/>
      <w:marLeft w:val="0"/>
      <w:marRight w:val="0"/>
      <w:marTop w:val="0"/>
      <w:marBottom w:val="0"/>
      <w:divBdr>
        <w:top w:val="none" w:sz="0" w:space="0" w:color="auto"/>
        <w:left w:val="none" w:sz="0" w:space="0" w:color="auto"/>
        <w:bottom w:val="none" w:sz="0" w:space="0" w:color="auto"/>
        <w:right w:val="none" w:sz="0" w:space="0" w:color="auto"/>
      </w:divBdr>
    </w:div>
    <w:div w:id="922682160">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077363270">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326594860">
      <w:bodyDiv w:val="1"/>
      <w:marLeft w:val="0"/>
      <w:marRight w:val="0"/>
      <w:marTop w:val="0"/>
      <w:marBottom w:val="0"/>
      <w:divBdr>
        <w:top w:val="none" w:sz="0" w:space="0" w:color="auto"/>
        <w:left w:val="none" w:sz="0" w:space="0" w:color="auto"/>
        <w:bottom w:val="none" w:sz="0" w:space="0" w:color="auto"/>
        <w:right w:val="none" w:sz="0" w:space="0" w:color="auto"/>
      </w:divBdr>
    </w:div>
    <w:div w:id="1349678964">
      <w:bodyDiv w:val="1"/>
      <w:marLeft w:val="0"/>
      <w:marRight w:val="0"/>
      <w:marTop w:val="0"/>
      <w:marBottom w:val="0"/>
      <w:divBdr>
        <w:top w:val="none" w:sz="0" w:space="0" w:color="auto"/>
        <w:left w:val="none" w:sz="0" w:space="0" w:color="auto"/>
        <w:bottom w:val="none" w:sz="0" w:space="0" w:color="auto"/>
        <w:right w:val="none" w:sz="0" w:space="0" w:color="auto"/>
      </w:divBdr>
    </w:div>
    <w:div w:id="1365641050">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59%20Communique_Final.pdf?version=2&amp;modificationDate=1498747877729&amp;api=v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1132</Words>
  <Characters>6455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cp:lastPrinted>2015-11-06T19:58:00Z</cp:lastPrinted>
  <dcterms:created xsi:type="dcterms:W3CDTF">2017-07-24T11:54:00Z</dcterms:created>
  <dcterms:modified xsi:type="dcterms:W3CDTF">2017-07-24T11:57:00Z</dcterms:modified>
  <dc:language>de-DE</dc:language>
</cp:coreProperties>
</file>