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965" w:type="dxa"/>
        <w:tblLook w:val="04A0" w:firstRow="1" w:lastRow="0" w:firstColumn="1" w:lastColumn="0" w:noHBand="0" w:noVBand="1"/>
      </w:tblPr>
      <w:tblGrid>
        <w:gridCol w:w="2720"/>
        <w:gridCol w:w="9245"/>
      </w:tblGrid>
      <w:tr w:rsidR="005029FA" w14:paraId="59BDB68A" w14:textId="77777777" w:rsidTr="00A55C9F">
        <w:tc>
          <w:tcPr>
            <w:tcW w:w="11965" w:type="dxa"/>
            <w:gridSpan w:val="2"/>
            <w:shd w:val="clear" w:color="auto" w:fill="E7E6E6" w:themeFill="background2"/>
          </w:tcPr>
          <w:p w14:paraId="34C44BBB" w14:textId="61D453F6" w:rsidR="005029FA" w:rsidRPr="00A55C9F" w:rsidRDefault="00481C40" w:rsidP="005029FA">
            <w:pPr>
              <w:jc w:val="center"/>
              <w:rPr>
                <w:b/>
              </w:rPr>
            </w:pPr>
            <w:r w:rsidRPr="00A55C9F">
              <w:rPr>
                <w:b/>
              </w:rPr>
              <w:t xml:space="preserve">Expedited Policy Development Process </w:t>
            </w:r>
            <w:r w:rsidR="004413D1" w:rsidRPr="00A55C9F">
              <w:rPr>
                <w:b/>
              </w:rPr>
              <w:t>Initiation Request</w:t>
            </w:r>
          </w:p>
        </w:tc>
      </w:tr>
      <w:tr w:rsidR="00861D61" w14:paraId="10903FDD" w14:textId="77777777" w:rsidTr="00A55C9F">
        <w:tc>
          <w:tcPr>
            <w:tcW w:w="2720" w:type="dxa"/>
            <w:shd w:val="clear" w:color="auto" w:fill="E7E6E6" w:themeFill="background2"/>
          </w:tcPr>
          <w:p w14:paraId="5E10AB4A" w14:textId="430B7228" w:rsidR="005029FA" w:rsidRPr="00A55C9F" w:rsidRDefault="00F83160" w:rsidP="00F83160">
            <w:pPr>
              <w:pStyle w:val="ListParagraph"/>
              <w:numPr>
                <w:ilvl w:val="0"/>
                <w:numId w:val="1"/>
              </w:numPr>
              <w:rPr>
                <w:b/>
              </w:rPr>
            </w:pPr>
            <w:r w:rsidRPr="00A55C9F">
              <w:rPr>
                <w:b/>
              </w:rPr>
              <w:t>Name of Council Member/ SG / C</w:t>
            </w:r>
          </w:p>
        </w:tc>
        <w:tc>
          <w:tcPr>
            <w:tcW w:w="9245" w:type="dxa"/>
          </w:tcPr>
          <w:p w14:paraId="408829F2" w14:textId="77777777" w:rsidR="005029FA" w:rsidRDefault="005029FA"/>
        </w:tc>
      </w:tr>
      <w:tr w:rsidR="00861D61" w14:paraId="635E975F" w14:textId="77777777" w:rsidTr="00A55C9F">
        <w:tc>
          <w:tcPr>
            <w:tcW w:w="2720" w:type="dxa"/>
            <w:shd w:val="clear" w:color="auto" w:fill="E7E6E6" w:themeFill="background2"/>
          </w:tcPr>
          <w:p w14:paraId="08EEB92F" w14:textId="369DAE8A" w:rsidR="005029FA" w:rsidRPr="00A55C9F" w:rsidRDefault="00F83160" w:rsidP="00F83160">
            <w:pPr>
              <w:pStyle w:val="ListParagraph"/>
              <w:numPr>
                <w:ilvl w:val="0"/>
                <w:numId w:val="1"/>
              </w:numPr>
              <w:rPr>
                <w:b/>
              </w:rPr>
            </w:pPr>
            <w:r w:rsidRPr="00A55C9F">
              <w:rPr>
                <w:b/>
              </w:rPr>
              <w:t>Origin of issue (e.g. previously completed PDP)</w:t>
            </w:r>
          </w:p>
        </w:tc>
        <w:tc>
          <w:tcPr>
            <w:tcW w:w="9245" w:type="dxa"/>
          </w:tcPr>
          <w:p w14:paraId="494306E2" w14:textId="3B4E9E2B" w:rsidR="005029FA" w:rsidRDefault="00481C40" w:rsidP="004518B3">
            <w:hyperlink r:id="rId5" w:history="1">
              <w:r w:rsidR="00F83160" w:rsidRPr="00F83160">
                <w:rPr>
                  <w:rStyle w:val="Hyperlink"/>
                </w:rPr>
                <w:t>The Temporary Specification for gTLD Registration Data</w:t>
              </w:r>
            </w:hyperlink>
            <w:r w:rsidR="00F83160">
              <w:t xml:space="preserve"> was adopted by resolution of the ICANN Board of Directors</w:t>
            </w:r>
            <w:r w:rsidR="002028BF">
              <w:t xml:space="preserve"> </w:t>
            </w:r>
            <w:r w:rsidR="00F83160">
              <w:t>on 17 May 2018, pursuant to the requirements for the establishment of</w:t>
            </w:r>
            <w:r w:rsidR="008D59DD">
              <w:t xml:space="preserve"> </w:t>
            </w:r>
            <w:r w:rsidR="00F83160">
              <w:t>Temporary Policies and Temporary Specification or Policies (as such terms are defined in</w:t>
            </w:r>
            <w:r w:rsidR="00636569">
              <w:t xml:space="preserve"> </w:t>
            </w:r>
            <w:r w:rsidR="00F83160">
              <w:t xml:space="preserve">ICANN’s registry agreements and registrar accreditation agreements). </w:t>
            </w:r>
            <w:r w:rsidR="001839BB">
              <w:t xml:space="preserve">Following adoption of a Temporary Policy, </w:t>
            </w:r>
            <w:r w:rsidR="001839BB" w:rsidRPr="001839BB">
              <w:t>the Board shall immediately implement the Consensus Policy development process set forth in ICANN's Bylaws.</w:t>
            </w:r>
          </w:p>
        </w:tc>
      </w:tr>
      <w:tr w:rsidR="00861D61" w14:paraId="286A08DE" w14:textId="77777777" w:rsidTr="00A55C9F">
        <w:tc>
          <w:tcPr>
            <w:tcW w:w="2720" w:type="dxa"/>
            <w:shd w:val="clear" w:color="auto" w:fill="E7E6E6" w:themeFill="background2"/>
          </w:tcPr>
          <w:p w14:paraId="3EE1F9AB" w14:textId="75342F9A" w:rsidR="005029FA" w:rsidRPr="00A55C9F" w:rsidRDefault="00F83160" w:rsidP="000E6D13">
            <w:pPr>
              <w:pStyle w:val="ListParagraph"/>
              <w:numPr>
                <w:ilvl w:val="0"/>
                <w:numId w:val="1"/>
              </w:numPr>
              <w:rPr>
                <w:b/>
              </w:rPr>
            </w:pPr>
            <w:r w:rsidRPr="00A55C9F">
              <w:rPr>
                <w:b/>
              </w:rPr>
              <w:t>Scope of the effort (detailed description of the issue or question that the EPDP is expected to address);</w:t>
            </w:r>
          </w:p>
        </w:tc>
        <w:tc>
          <w:tcPr>
            <w:tcW w:w="9245" w:type="dxa"/>
          </w:tcPr>
          <w:p w14:paraId="7E33ED02" w14:textId="662C42C3" w:rsidR="005029FA" w:rsidRDefault="005029FA" w:rsidP="008921C6"/>
        </w:tc>
      </w:tr>
      <w:tr w:rsidR="00861D61" w14:paraId="5EBFBA40" w14:textId="77777777" w:rsidTr="00A55C9F">
        <w:tc>
          <w:tcPr>
            <w:tcW w:w="2720" w:type="dxa"/>
            <w:tcBorders>
              <w:bottom w:val="single" w:sz="4" w:space="0" w:color="auto"/>
            </w:tcBorders>
            <w:shd w:val="clear" w:color="auto" w:fill="E7E6E6" w:themeFill="background2"/>
          </w:tcPr>
          <w:p w14:paraId="06E2F123" w14:textId="4B0A27E1" w:rsidR="00016B94" w:rsidRPr="00A55C9F" w:rsidRDefault="00016B94" w:rsidP="00A55C9F">
            <w:pPr>
              <w:pStyle w:val="ListParagraph"/>
              <w:numPr>
                <w:ilvl w:val="0"/>
                <w:numId w:val="1"/>
              </w:numPr>
              <w:rPr>
                <w:b/>
              </w:rPr>
            </w:pPr>
            <w:r w:rsidRPr="00A55C9F">
              <w:rPr>
                <w:b/>
              </w:rPr>
              <w:t xml:space="preserve">Description of how this issue meets the criteria for an EPDP, i.e. how the EPDP will address either (1) a narrowly defined policy issue that was identified and scoped after either the adoption of a GNSO policy recommendation by the ICANN Board or the implementation of such an adopted recommendation; or (2) new or additional policy recommendations on a specific GNSO policy issue that had </w:t>
            </w:r>
            <w:r w:rsidRPr="00A55C9F">
              <w:rPr>
                <w:b/>
              </w:rPr>
              <w:lastRenderedPageBreak/>
              <w:t>been scoped previously as part of a PDP that was not completed or other similar effort, including relevant supporting information;</w:t>
            </w:r>
          </w:p>
        </w:tc>
        <w:tc>
          <w:tcPr>
            <w:tcW w:w="9245" w:type="dxa"/>
          </w:tcPr>
          <w:p w14:paraId="119FC034" w14:textId="77777777" w:rsidR="0036424A" w:rsidRDefault="00881394" w:rsidP="00F87217">
            <w:r>
              <w:lastRenderedPageBreak/>
              <w:t>The</w:t>
            </w:r>
            <w:r w:rsidR="00792C8E">
              <w:t xml:space="preserve"> recently-adopted</w:t>
            </w:r>
            <w:r>
              <w:t xml:space="preserve"> </w:t>
            </w:r>
            <w:hyperlink r:id="rId6" w:history="1">
              <w:r w:rsidRPr="00F83160">
                <w:rPr>
                  <w:rStyle w:val="Hyperlink"/>
                </w:rPr>
                <w:t>Temporary Specification for gTLD Registration Data</w:t>
              </w:r>
            </w:hyperlink>
            <w:r>
              <w:t xml:space="preserve"> establishes temporary requirements to allow ICANN and gTLD registry operators and registrars to continue to comply with existing ICANN contractual requirements and community-developed policies in light of the G</w:t>
            </w:r>
            <w:r w:rsidR="00882D19">
              <w:t xml:space="preserve">eneral </w:t>
            </w:r>
            <w:r>
              <w:t>D</w:t>
            </w:r>
            <w:r w:rsidR="00882D19">
              <w:t xml:space="preserve">ata </w:t>
            </w:r>
            <w:r>
              <w:t>P</w:t>
            </w:r>
            <w:r w:rsidR="00882D19">
              <w:t xml:space="preserve">rotection </w:t>
            </w:r>
            <w:r>
              <w:t>R</w:t>
            </w:r>
            <w:r w:rsidR="00882D19">
              <w:t>egulation (GDPR)</w:t>
            </w:r>
            <w:r>
              <w:t xml:space="preserve">. </w:t>
            </w:r>
            <w:r w:rsidR="00F87217">
              <w:t>Consistent with the requirements in the Registry and Registrar Accreditation Agreements for emergency temporary policies, the Temporary Specification has been tailored as narrowly as</w:t>
            </w:r>
            <w:r w:rsidR="00882D19">
              <w:t xml:space="preserve"> </w:t>
            </w:r>
            <w:r w:rsidR="00F87217">
              <w:t xml:space="preserve">possible to address the requirements of the GDPR. </w:t>
            </w:r>
          </w:p>
          <w:p w14:paraId="415EFE3F" w14:textId="77777777" w:rsidR="0036424A" w:rsidRDefault="0036424A" w:rsidP="00F87217"/>
          <w:p w14:paraId="744C991D" w14:textId="69815853" w:rsidR="0036424A" w:rsidRDefault="0036424A" w:rsidP="00F87217">
            <w:r>
              <w:t xml:space="preserve">The EPDP will address this narrowly-defined policy issue, </w:t>
            </w:r>
            <w:r w:rsidR="00E51282">
              <w:t>which</w:t>
            </w:r>
            <w:r>
              <w:t xml:space="preserve"> was identified and scoped after the adoption of Temporary Specification.</w:t>
            </w:r>
          </w:p>
          <w:p w14:paraId="04574359" w14:textId="77777777" w:rsidR="0036424A" w:rsidRDefault="0036424A" w:rsidP="00F87217"/>
          <w:p w14:paraId="10815283" w14:textId="389D4470" w:rsidR="00881394" w:rsidRDefault="00881394" w:rsidP="00F87217">
            <w:r>
              <w:t>Consistent with ICANN’s stated objective to comply with the GDPR, while maintaining the existing WHOIS system to the greatest extent possible, the Temporary Specification maintains robust collection of Registration Data (including Registrant, Administrative, and Technical contact information), but restricts most Personal Data to layered/tiered access. Users with a legitimate and proportionate purpose for accessing the nonpublic Personal Data will be able to request such access through Registrars and Registry Operators. Users will also maintain the ability to contact the Registrant or Administrative and Technical contacts through an anonymized email or web form. The Temporary Specification</w:t>
            </w:r>
          </w:p>
          <w:p w14:paraId="619928A9" w14:textId="613A010B" w:rsidR="00881394" w:rsidRDefault="00881394" w:rsidP="00881394">
            <w:r>
              <w:t>shall be implemented where required by the GDPR, while providing flexibility to Registry Operators and Registrars to choose to apply the requirements on a global basis where</w:t>
            </w:r>
          </w:p>
          <w:p w14:paraId="27E390E1" w14:textId="77777777" w:rsidR="005029FA" w:rsidRDefault="00881394" w:rsidP="00881394">
            <w:r>
              <w:lastRenderedPageBreak/>
              <w:t>commercially reasonable to do so or where it is not technically feasible to limit application of the requirements to data governed by the GDPR. The Temporary Specification applies to all registrations, without requiring Registrars to differentiate between registrations of legal and natural persons. It also covers data processing arrang</w:t>
            </w:r>
            <w:r w:rsidR="0036424A">
              <w:t xml:space="preserve">ements between and among ICANN, </w:t>
            </w:r>
            <w:r>
              <w:t>Registry Operators, Registrars, and Data Escrow Agents as necessary for compliance with the GDPR.</w:t>
            </w:r>
          </w:p>
          <w:p w14:paraId="6039D6B6" w14:textId="77777777" w:rsidR="00725164" w:rsidRDefault="00725164" w:rsidP="00881394"/>
          <w:p w14:paraId="1A7037BF" w14:textId="17B050B1" w:rsidR="00725164" w:rsidRDefault="00725164" w:rsidP="00881394">
            <w:r>
              <w:t xml:space="preserve">Additionally, given the work </w:t>
            </w:r>
            <w:r w:rsidR="00257694">
              <w:t>leading up to the publication of the</w:t>
            </w:r>
            <w:r>
              <w:t xml:space="preserve"> Issues Report for the </w:t>
            </w:r>
            <w:r w:rsidRPr="00725164">
              <w:t>Next-Generation gTLD Registration Dir</w:t>
            </w:r>
            <w:r w:rsidR="00257694">
              <w:t xml:space="preserve">ectory Services to Replace WHOIS </w:t>
            </w:r>
            <w:r>
              <w:t>and the work that led up to the publication of the Temporary Specification, there is a significant amount of background work and relevant supporting information which supports the criteria for a using the Expedited Policy Development Process.</w:t>
            </w:r>
          </w:p>
          <w:p w14:paraId="4B497FF1" w14:textId="5B34FA39" w:rsidR="00725164" w:rsidRDefault="00725164" w:rsidP="00881394"/>
        </w:tc>
      </w:tr>
      <w:tr w:rsidR="00861D61" w14:paraId="2C9FA573" w14:textId="77777777" w:rsidTr="00A55C9F">
        <w:trPr>
          <w:trHeight w:val="3320"/>
        </w:trPr>
        <w:tc>
          <w:tcPr>
            <w:tcW w:w="2720" w:type="dxa"/>
            <w:tcBorders>
              <w:bottom w:val="single" w:sz="4" w:space="0" w:color="auto"/>
            </w:tcBorders>
            <w:shd w:val="clear" w:color="auto" w:fill="E7E6E6" w:themeFill="background2"/>
          </w:tcPr>
          <w:p w14:paraId="7C592195" w14:textId="30D909B0" w:rsidR="005029FA" w:rsidRPr="00A55C9F" w:rsidRDefault="00413806" w:rsidP="00413806">
            <w:pPr>
              <w:pStyle w:val="ListParagraph"/>
              <w:numPr>
                <w:ilvl w:val="0"/>
                <w:numId w:val="1"/>
              </w:numPr>
              <w:rPr>
                <w:b/>
              </w:rPr>
            </w:pPr>
            <w:r w:rsidRPr="00A55C9F">
              <w:rPr>
                <w:b/>
              </w:rPr>
              <w:lastRenderedPageBreak/>
              <w:t>If not provided as part of item d, the opinion of the ICANN General Counsel regarding whether the issue proposed for consideration is properly within the scope of the ICANN’s mission, policy process and more specifically the role of the GNSO.</w:t>
            </w:r>
          </w:p>
        </w:tc>
        <w:tc>
          <w:tcPr>
            <w:tcW w:w="9245" w:type="dxa"/>
          </w:tcPr>
          <w:p w14:paraId="2F20366F" w14:textId="4B98F8E2" w:rsidR="00C61C54" w:rsidRDefault="00206E58" w:rsidP="004A1A44">
            <w:pPr>
              <w:rPr>
                <w:rFonts w:eastAsia="Times New Roman" w:cs="Times New Roman"/>
              </w:rPr>
            </w:pPr>
            <w:r>
              <w:rPr>
                <w:rFonts w:eastAsia="Times New Roman" w:cs="Times New Roman"/>
              </w:rPr>
              <w:t>[Request p</w:t>
            </w:r>
            <w:r w:rsidR="00C61C54">
              <w:rPr>
                <w:rFonts w:eastAsia="Times New Roman" w:cs="Times New Roman"/>
              </w:rPr>
              <w:t>rovided to ICANN General Counsel</w:t>
            </w:r>
            <w:r>
              <w:rPr>
                <w:rFonts w:eastAsia="Times New Roman" w:cs="Times New Roman"/>
              </w:rPr>
              <w:t xml:space="preserve">’s Office </w:t>
            </w:r>
            <w:r w:rsidR="004A1A44">
              <w:rPr>
                <w:rFonts w:eastAsia="Times New Roman" w:cs="Times New Roman"/>
              </w:rPr>
              <w:t xml:space="preserve">to </w:t>
            </w:r>
            <w:r w:rsidR="00A55C9F">
              <w:rPr>
                <w:rFonts w:eastAsia="Times New Roman" w:cs="Times New Roman"/>
              </w:rPr>
              <w:t>complete this section</w:t>
            </w:r>
            <w:r w:rsidR="004A1A44">
              <w:rPr>
                <w:rFonts w:eastAsia="Times New Roman" w:cs="Times New Roman"/>
              </w:rPr>
              <w:t>]</w:t>
            </w:r>
          </w:p>
          <w:p w14:paraId="63B07917" w14:textId="77777777" w:rsidR="00C61C54" w:rsidRDefault="00C61C54" w:rsidP="004A1A44">
            <w:pPr>
              <w:rPr>
                <w:rFonts w:eastAsia="Times New Roman" w:cs="Times New Roman"/>
              </w:rPr>
            </w:pPr>
          </w:p>
          <w:p w14:paraId="026A4665" w14:textId="77777777" w:rsidR="005029FA" w:rsidRPr="00882D19" w:rsidRDefault="005029FA" w:rsidP="004A1A44"/>
        </w:tc>
      </w:tr>
      <w:tr w:rsidR="00861D61" w14:paraId="5287E427" w14:textId="77777777" w:rsidTr="00A55C9F">
        <w:trPr>
          <w:trHeight w:val="2402"/>
        </w:trPr>
        <w:tc>
          <w:tcPr>
            <w:tcW w:w="2720" w:type="dxa"/>
            <w:shd w:val="clear" w:color="auto" w:fill="E7E6E6" w:themeFill="background2"/>
          </w:tcPr>
          <w:p w14:paraId="039AFD8E" w14:textId="16A6001A" w:rsidR="005029FA" w:rsidRPr="00A55C9F" w:rsidRDefault="000C3D09" w:rsidP="000C3D09">
            <w:pPr>
              <w:pStyle w:val="ListParagraph"/>
              <w:numPr>
                <w:ilvl w:val="0"/>
                <w:numId w:val="1"/>
              </w:numPr>
              <w:rPr>
                <w:b/>
              </w:rPr>
            </w:pPr>
            <w:r w:rsidRPr="00A55C9F">
              <w:rPr>
                <w:b/>
              </w:rPr>
              <w:t>If not provided as part of item 4, the opinion of ICANN staff and their rationale as to whether the Council should initiate the EPDP on the issue;</w:t>
            </w:r>
          </w:p>
        </w:tc>
        <w:tc>
          <w:tcPr>
            <w:tcW w:w="9245" w:type="dxa"/>
          </w:tcPr>
          <w:p w14:paraId="6BFDDCB7" w14:textId="22265C12" w:rsidR="005029FA" w:rsidRDefault="00E51282">
            <w:r>
              <w:t>N/A (See above.)</w:t>
            </w:r>
            <w:bookmarkStart w:id="0" w:name="_GoBack"/>
            <w:bookmarkEnd w:id="0"/>
          </w:p>
        </w:tc>
      </w:tr>
      <w:tr w:rsidR="00861D61" w14:paraId="0AC3E7B7" w14:textId="77777777" w:rsidTr="00A55C9F">
        <w:trPr>
          <w:trHeight w:val="1250"/>
        </w:trPr>
        <w:tc>
          <w:tcPr>
            <w:tcW w:w="2720" w:type="dxa"/>
            <w:shd w:val="clear" w:color="auto" w:fill="E7E6E6" w:themeFill="background2"/>
          </w:tcPr>
          <w:p w14:paraId="4344E255" w14:textId="1B63A800" w:rsidR="000C3D09" w:rsidRPr="00A55C9F" w:rsidRDefault="000C3D09" w:rsidP="000C3D09">
            <w:pPr>
              <w:pStyle w:val="ListParagraph"/>
              <w:numPr>
                <w:ilvl w:val="0"/>
                <w:numId w:val="1"/>
              </w:numPr>
              <w:rPr>
                <w:b/>
              </w:rPr>
            </w:pPr>
            <w:r w:rsidRPr="00A55C9F">
              <w:rPr>
                <w:b/>
              </w:rPr>
              <w:lastRenderedPageBreak/>
              <w:t>Proposed EPDP mechanism (e.g. WG, DT, individual volunteers);</w:t>
            </w:r>
          </w:p>
        </w:tc>
        <w:tc>
          <w:tcPr>
            <w:tcW w:w="9245" w:type="dxa"/>
          </w:tcPr>
          <w:p w14:paraId="44ABB823" w14:textId="77777777" w:rsidR="000C3D09" w:rsidRDefault="000C3D09" w:rsidP="001E49A8"/>
        </w:tc>
      </w:tr>
      <w:tr w:rsidR="00861D61" w14:paraId="35097091" w14:textId="77777777" w:rsidTr="00A55C9F">
        <w:trPr>
          <w:trHeight w:val="1610"/>
        </w:trPr>
        <w:tc>
          <w:tcPr>
            <w:tcW w:w="2720" w:type="dxa"/>
            <w:tcBorders>
              <w:bottom w:val="single" w:sz="4" w:space="0" w:color="auto"/>
            </w:tcBorders>
            <w:shd w:val="clear" w:color="auto" w:fill="E7E6E6" w:themeFill="background2"/>
          </w:tcPr>
          <w:p w14:paraId="4F522752" w14:textId="6849E31A" w:rsidR="000C3D09" w:rsidRPr="00A55C9F" w:rsidRDefault="000C3D09" w:rsidP="000C3D09">
            <w:pPr>
              <w:pStyle w:val="ListParagraph"/>
              <w:numPr>
                <w:ilvl w:val="0"/>
                <w:numId w:val="1"/>
              </w:numPr>
              <w:rPr>
                <w:b/>
              </w:rPr>
            </w:pPr>
            <w:r w:rsidRPr="00A55C9F">
              <w:rPr>
                <w:b/>
              </w:rPr>
              <w:t>Method of operation, if different from GNSO Working Group Guidelines;</w:t>
            </w:r>
          </w:p>
        </w:tc>
        <w:tc>
          <w:tcPr>
            <w:tcW w:w="9245" w:type="dxa"/>
          </w:tcPr>
          <w:p w14:paraId="1DBB49C3" w14:textId="12C38A06" w:rsidR="000C3D09" w:rsidRDefault="000C3D09"/>
        </w:tc>
      </w:tr>
      <w:tr w:rsidR="00861D61" w14:paraId="02C8CA56" w14:textId="77777777" w:rsidTr="00A55C9F">
        <w:trPr>
          <w:trHeight w:val="2150"/>
        </w:trPr>
        <w:tc>
          <w:tcPr>
            <w:tcW w:w="2720" w:type="dxa"/>
            <w:shd w:val="clear" w:color="auto" w:fill="E7E6E6" w:themeFill="background2"/>
          </w:tcPr>
          <w:p w14:paraId="7B0A2E8F" w14:textId="5E49AA1F" w:rsidR="000C3D09" w:rsidRPr="00A55C9F" w:rsidRDefault="00521841" w:rsidP="00521841">
            <w:pPr>
              <w:pStyle w:val="ListParagraph"/>
              <w:numPr>
                <w:ilvl w:val="0"/>
                <w:numId w:val="1"/>
              </w:numPr>
              <w:rPr>
                <w:b/>
              </w:rPr>
            </w:pPr>
            <w:r w:rsidRPr="00A55C9F">
              <w:rPr>
                <w:b/>
              </w:rPr>
              <w:t>Decision-making methodology for the proposed EPDP mechanism, if different from GNSO Working Group Guidelines;</w:t>
            </w:r>
          </w:p>
        </w:tc>
        <w:tc>
          <w:tcPr>
            <w:tcW w:w="9245" w:type="dxa"/>
          </w:tcPr>
          <w:p w14:paraId="50A91CF5" w14:textId="77777777" w:rsidR="000C3D09" w:rsidRDefault="000C3D09"/>
        </w:tc>
      </w:tr>
      <w:tr w:rsidR="00861D61" w14:paraId="08FCB85C" w14:textId="77777777" w:rsidTr="00A55C9F">
        <w:trPr>
          <w:trHeight w:val="2150"/>
        </w:trPr>
        <w:tc>
          <w:tcPr>
            <w:tcW w:w="2720" w:type="dxa"/>
            <w:shd w:val="clear" w:color="auto" w:fill="E7E6E6" w:themeFill="background2"/>
          </w:tcPr>
          <w:p w14:paraId="1EC8F196" w14:textId="7F2D0DB6" w:rsidR="000C3D09" w:rsidRPr="00A55C9F" w:rsidRDefault="00521841" w:rsidP="000C3D09">
            <w:pPr>
              <w:pStyle w:val="ListParagraph"/>
              <w:numPr>
                <w:ilvl w:val="0"/>
                <w:numId w:val="1"/>
              </w:numPr>
              <w:rPr>
                <w:b/>
              </w:rPr>
            </w:pPr>
            <w:r w:rsidRPr="00A55C9F">
              <w:rPr>
                <w:b/>
              </w:rPr>
              <w:t>Desired completion date and rationale for this date.</w:t>
            </w:r>
          </w:p>
        </w:tc>
        <w:tc>
          <w:tcPr>
            <w:tcW w:w="9245" w:type="dxa"/>
          </w:tcPr>
          <w:p w14:paraId="1DE8D9EA" w14:textId="6BF2ED06" w:rsidR="000C3D09" w:rsidRDefault="00AE05FD">
            <w:r>
              <w:t xml:space="preserve">The desired EPDP Completion date would be before 25 May 2019, as the PDP must be completed within one year of the </w:t>
            </w:r>
            <w:r w:rsidR="00DA54BB">
              <w:t xml:space="preserve">implementation of the </w:t>
            </w:r>
            <w:r>
              <w:t xml:space="preserve">Temporary </w:t>
            </w:r>
            <w:r w:rsidR="00DA54BB">
              <w:t>Specification for gTLD Registration Data</w:t>
            </w:r>
            <w:r>
              <w:t xml:space="preserve">. (Note: </w:t>
            </w:r>
            <w:r w:rsidRPr="00AE05FD">
              <w:t>If the one year period expires or, if during such one year period, the Temporary Policy does not become a Consensus Policy and is not reaffirmed by the Board, Registrar shall no longer be required to comply with or implement such Temporary Policy.</w:t>
            </w:r>
            <w:r>
              <w:t xml:space="preserve"> See, e.g., Registrar Accreditation Agreement, Consensus Policies and Temporary Policies Specification, Section 2.1.1).</w:t>
            </w:r>
          </w:p>
        </w:tc>
      </w:tr>
    </w:tbl>
    <w:p w14:paraId="4F7CBAA6" w14:textId="77777777" w:rsidR="00404709" w:rsidRDefault="00404709"/>
    <w:sectPr w:rsidR="00404709" w:rsidSect="00861D6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9251E"/>
    <w:multiLevelType w:val="hybridMultilevel"/>
    <w:tmpl w:val="2D0E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A2D6C"/>
    <w:multiLevelType w:val="hybridMultilevel"/>
    <w:tmpl w:val="48B01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C7681"/>
    <w:multiLevelType w:val="hybridMultilevel"/>
    <w:tmpl w:val="48B01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9B"/>
    <w:rsid w:val="00016B94"/>
    <w:rsid w:val="000C3D09"/>
    <w:rsid w:val="000E6D13"/>
    <w:rsid w:val="0011689B"/>
    <w:rsid w:val="001839BB"/>
    <w:rsid w:val="001E49A8"/>
    <w:rsid w:val="002028BF"/>
    <w:rsid w:val="00206E58"/>
    <w:rsid w:val="00247CAE"/>
    <w:rsid w:val="00257694"/>
    <w:rsid w:val="00294A9F"/>
    <w:rsid w:val="0036424A"/>
    <w:rsid w:val="00404709"/>
    <w:rsid w:val="00413806"/>
    <w:rsid w:val="00440B65"/>
    <w:rsid w:val="004413D1"/>
    <w:rsid w:val="004518B3"/>
    <w:rsid w:val="00481C40"/>
    <w:rsid w:val="004851C1"/>
    <w:rsid w:val="004A1A44"/>
    <w:rsid w:val="004C08FA"/>
    <w:rsid w:val="00500648"/>
    <w:rsid w:val="005029FA"/>
    <w:rsid w:val="005052F8"/>
    <w:rsid w:val="00521841"/>
    <w:rsid w:val="00636569"/>
    <w:rsid w:val="00725164"/>
    <w:rsid w:val="00792C8E"/>
    <w:rsid w:val="00861D61"/>
    <w:rsid w:val="00881394"/>
    <w:rsid w:val="00882D19"/>
    <w:rsid w:val="008921C6"/>
    <w:rsid w:val="008D3A75"/>
    <w:rsid w:val="008D59DD"/>
    <w:rsid w:val="00A4061B"/>
    <w:rsid w:val="00A55C9F"/>
    <w:rsid w:val="00AA3489"/>
    <w:rsid w:val="00AE05FD"/>
    <w:rsid w:val="00B935A8"/>
    <w:rsid w:val="00BF6C34"/>
    <w:rsid w:val="00C26EDD"/>
    <w:rsid w:val="00C61C54"/>
    <w:rsid w:val="00D10FFE"/>
    <w:rsid w:val="00D73DB7"/>
    <w:rsid w:val="00DA54BB"/>
    <w:rsid w:val="00DC58CE"/>
    <w:rsid w:val="00E51282"/>
    <w:rsid w:val="00F57273"/>
    <w:rsid w:val="00F702EB"/>
    <w:rsid w:val="00F83160"/>
    <w:rsid w:val="00F8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73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160"/>
    <w:pPr>
      <w:ind w:left="720"/>
      <w:contextualSpacing/>
    </w:pPr>
  </w:style>
  <w:style w:type="character" w:styleId="Hyperlink">
    <w:name w:val="Hyperlink"/>
    <w:basedOn w:val="DefaultParagraphFont"/>
    <w:uiPriority w:val="99"/>
    <w:unhideWhenUsed/>
    <w:rsid w:val="00F83160"/>
    <w:rPr>
      <w:color w:val="0563C1" w:themeColor="hyperlink"/>
      <w:u w:val="single"/>
    </w:rPr>
  </w:style>
  <w:style w:type="character" w:styleId="CommentReference">
    <w:name w:val="annotation reference"/>
    <w:basedOn w:val="DefaultParagraphFont"/>
    <w:uiPriority w:val="99"/>
    <w:semiHidden/>
    <w:unhideWhenUsed/>
    <w:rsid w:val="008D3A75"/>
    <w:rPr>
      <w:sz w:val="18"/>
      <w:szCs w:val="18"/>
    </w:rPr>
  </w:style>
  <w:style w:type="paragraph" w:styleId="CommentText">
    <w:name w:val="annotation text"/>
    <w:basedOn w:val="Normal"/>
    <w:link w:val="CommentTextChar"/>
    <w:uiPriority w:val="99"/>
    <w:semiHidden/>
    <w:unhideWhenUsed/>
    <w:rsid w:val="008D3A75"/>
  </w:style>
  <w:style w:type="character" w:customStyle="1" w:styleId="CommentTextChar">
    <w:name w:val="Comment Text Char"/>
    <w:basedOn w:val="DefaultParagraphFont"/>
    <w:link w:val="CommentText"/>
    <w:uiPriority w:val="99"/>
    <w:semiHidden/>
    <w:rsid w:val="008D3A75"/>
  </w:style>
  <w:style w:type="paragraph" w:styleId="CommentSubject">
    <w:name w:val="annotation subject"/>
    <w:basedOn w:val="CommentText"/>
    <w:next w:val="CommentText"/>
    <w:link w:val="CommentSubjectChar"/>
    <w:uiPriority w:val="99"/>
    <w:semiHidden/>
    <w:unhideWhenUsed/>
    <w:rsid w:val="008D3A75"/>
    <w:rPr>
      <w:b/>
      <w:bCs/>
      <w:sz w:val="20"/>
      <w:szCs w:val="20"/>
    </w:rPr>
  </w:style>
  <w:style w:type="character" w:customStyle="1" w:styleId="CommentSubjectChar">
    <w:name w:val="Comment Subject Char"/>
    <w:basedOn w:val="CommentTextChar"/>
    <w:link w:val="CommentSubject"/>
    <w:uiPriority w:val="99"/>
    <w:semiHidden/>
    <w:rsid w:val="008D3A75"/>
    <w:rPr>
      <w:b/>
      <w:bCs/>
      <w:sz w:val="20"/>
      <w:szCs w:val="20"/>
    </w:rPr>
  </w:style>
  <w:style w:type="paragraph" w:styleId="BalloonText">
    <w:name w:val="Balloon Text"/>
    <w:basedOn w:val="Normal"/>
    <w:link w:val="BalloonTextChar"/>
    <w:uiPriority w:val="99"/>
    <w:semiHidden/>
    <w:unhideWhenUsed/>
    <w:rsid w:val="008D3A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3A7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731">
      <w:bodyDiv w:val="1"/>
      <w:marLeft w:val="0"/>
      <w:marRight w:val="0"/>
      <w:marTop w:val="0"/>
      <w:marBottom w:val="0"/>
      <w:divBdr>
        <w:top w:val="none" w:sz="0" w:space="0" w:color="auto"/>
        <w:left w:val="none" w:sz="0" w:space="0" w:color="auto"/>
        <w:bottom w:val="none" w:sz="0" w:space="0" w:color="auto"/>
        <w:right w:val="none" w:sz="0" w:space="0" w:color="auto"/>
      </w:divBdr>
    </w:div>
    <w:div w:id="44112596">
      <w:bodyDiv w:val="1"/>
      <w:marLeft w:val="0"/>
      <w:marRight w:val="0"/>
      <w:marTop w:val="0"/>
      <w:marBottom w:val="0"/>
      <w:divBdr>
        <w:top w:val="none" w:sz="0" w:space="0" w:color="auto"/>
        <w:left w:val="none" w:sz="0" w:space="0" w:color="auto"/>
        <w:bottom w:val="none" w:sz="0" w:space="0" w:color="auto"/>
        <w:right w:val="none" w:sz="0" w:space="0" w:color="auto"/>
      </w:divBdr>
    </w:div>
    <w:div w:id="99032767">
      <w:bodyDiv w:val="1"/>
      <w:marLeft w:val="0"/>
      <w:marRight w:val="0"/>
      <w:marTop w:val="0"/>
      <w:marBottom w:val="0"/>
      <w:divBdr>
        <w:top w:val="none" w:sz="0" w:space="0" w:color="auto"/>
        <w:left w:val="none" w:sz="0" w:space="0" w:color="auto"/>
        <w:bottom w:val="none" w:sz="0" w:space="0" w:color="auto"/>
        <w:right w:val="none" w:sz="0" w:space="0" w:color="auto"/>
      </w:divBdr>
    </w:div>
    <w:div w:id="100734614">
      <w:bodyDiv w:val="1"/>
      <w:marLeft w:val="0"/>
      <w:marRight w:val="0"/>
      <w:marTop w:val="0"/>
      <w:marBottom w:val="0"/>
      <w:divBdr>
        <w:top w:val="none" w:sz="0" w:space="0" w:color="auto"/>
        <w:left w:val="none" w:sz="0" w:space="0" w:color="auto"/>
        <w:bottom w:val="none" w:sz="0" w:space="0" w:color="auto"/>
        <w:right w:val="none" w:sz="0" w:space="0" w:color="auto"/>
      </w:divBdr>
    </w:div>
    <w:div w:id="237374463">
      <w:bodyDiv w:val="1"/>
      <w:marLeft w:val="0"/>
      <w:marRight w:val="0"/>
      <w:marTop w:val="0"/>
      <w:marBottom w:val="0"/>
      <w:divBdr>
        <w:top w:val="none" w:sz="0" w:space="0" w:color="auto"/>
        <w:left w:val="none" w:sz="0" w:space="0" w:color="auto"/>
        <w:bottom w:val="none" w:sz="0" w:space="0" w:color="auto"/>
        <w:right w:val="none" w:sz="0" w:space="0" w:color="auto"/>
      </w:divBdr>
    </w:div>
    <w:div w:id="266037955">
      <w:bodyDiv w:val="1"/>
      <w:marLeft w:val="0"/>
      <w:marRight w:val="0"/>
      <w:marTop w:val="0"/>
      <w:marBottom w:val="0"/>
      <w:divBdr>
        <w:top w:val="none" w:sz="0" w:space="0" w:color="auto"/>
        <w:left w:val="none" w:sz="0" w:space="0" w:color="auto"/>
        <w:bottom w:val="none" w:sz="0" w:space="0" w:color="auto"/>
        <w:right w:val="none" w:sz="0" w:space="0" w:color="auto"/>
      </w:divBdr>
    </w:div>
    <w:div w:id="306134830">
      <w:bodyDiv w:val="1"/>
      <w:marLeft w:val="0"/>
      <w:marRight w:val="0"/>
      <w:marTop w:val="0"/>
      <w:marBottom w:val="0"/>
      <w:divBdr>
        <w:top w:val="none" w:sz="0" w:space="0" w:color="auto"/>
        <w:left w:val="none" w:sz="0" w:space="0" w:color="auto"/>
        <w:bottom w:val="none" w:sz="0" w:space="0" w:color="auto"/>
        <w:right w:val="none" w:sz="0" w:space="0" w:color="auto"/>
      </w:divBdr>
    </w:div>
    <w:div w:id="376322186">
      <w:bodyDiv w:val="1"/>
      <w:marLeft w:val="0"/>
      <w:marRight w:val="0"/>
      <w:marTop w:val="0"/>
      <w:marBottom w:val="0"/>
      <w:divBdr>
        <w:top w:val="none" w:sz="0" w:space="0" w:color="auto"/>
        <w:left w:val="none" w:sz="0" w:space="0" w:color="auto"/>
        <w:bottom w:val="none" w:sz="0" w:space="0" w:color="auto"/>
        <w:right w:val="none" w:sz="0" w:space="0" w:color="auto"/>
      </w:divBdr>
    </w:div>
    <w:div w:id="607851710">
      <w:bodyDiv w:val="1"/>
      <w:marLeft w:val="0"/>
      <w:marRight w:val="0"/>
      <w:marTop w:val="0"/>
      <w:marBottom w:val="0"/>
      <w:divBdr>
        <w:top w:val="none" w:sz="0" w:space="0" w:color="auto"/>
        <w:left w:val="none" w:sz="0" w:space="0" w:color="auto"/>
        <w:bottom w:val="none" w:sz="0" w:space="0" w:color="auto"/>
        <w:right w:val="none" w:sz="0" w:space="0" w:color="auto"/>
      </w:divBdr>
    </w:div>
    <w:div w:id="684132548">
      <w:bodyDiv w:val="1"/>
      <w:marLeft w:val="0"/>
      <w:marRight w:val="0"/>
      <w:marTop w:val="0"/>
      <w:marBottom w:val="0"/>
      <w:divBdr>
        <w:top w:val="none" w:sz="0" w:space="0" w:color="auto"/>
        <w:left w:val="none" w:sz="0" w:space="0" w:color="auto"/>
        <w:bottom w:val="none" w:sz="0" w:space="0" w:color="auto"/>
        <w:right w:val="none" w:sz="0" w:space="0" w:color="auto"/>
      </w:divBdr>
    </w:div>
    <w:div w:id="1046369152">
      <w:bodyDiv w:val="1"/>
      <w:marLeft w:val="0"/>
      <w:marRight w:val="0"/>
      <w:marTop w:val="0"/>
      <w:marBottom w:val="0"/>
      <w:divBdr>
        <w:top w:val="none" w:sz="0" w:space="0" w:color="auto"/>
        <w:left w:val="none" w:sz="0" w:space="0" w:color="auto"/>
        <w:bottom w:val="none" w:sz="0" w:space="0" w:color="auto"/>
        <w:right w:val="none" w:sz="0" w:space="0" w:color="auto"/>
      </w:divBdr>
    </w:div>
    <w:div w:id="1059356016">
      <w:bodyDiv w:val="1"/>
      <w:marLeft w:val="0"/>
      <w:marRight w:val="0"/>
      <w:marTop w:val="0"/>
      <w:marBottom w:val="0"/>
      <w:divBdr>
        <w:top w:val="none" w:sz="0" w:space="0" w:color="auto"/>
        <w:left w:val="none" w:sz="0" w:space="0" w:color="auto"/>
        <w:bottom w:val="none" w:sz="0" w:space="0" w:color="auto"/>
        <w:right w:val="none" w:sz="0" w:space="0" w:color="auto"/>
      </w:divBdr>
    </w:div>
    <w:div w:id="1113750888">
      <w:bodyDiv w:val="1"/>
      <w:marLeft w:val="0"/>
      <w:marRight w:val="0"/>
      <w:marTop w:val="0"/>
      <w:marBottom w:val="0"/>
      <w:divBdr>
        <w:top w:val="none" w:sz="0" w:space="0" w:color="auto"/>
        <w:left w:val="none" w:sz="0" w:space="0" w:color="auto"/>
        <w:bottom w:val="none" w:sz="0" w:space="0" w:color="auto"/>
        <w:right w:val="none" w:sz="0" w:space="0" w:color="auto"/>
      </w:divBdr>
    </w:div>
    <w:div w:id="1298954280">
      <w:bodyDiv w:val="1"/>
      <w:marLeft w:val="0"/>
      <w:marRight w:val="0"/>
      <w:marTop w:val="0"/>
      <w:marBottom w:val="0"/>
      <w:divBdr>
        <w:top w:val="none" w:sz="0" w:space="0" w:color="auto"/>
        <w:left w:val="none" w:sz="0" w:space="0" w:color="auto"/>
        <w:bottom w:val="none" w:sz="0" w:space="0" w:color="auto"/>
        <w:right w:val="none" w:sz="0" w:space="0" w:color="auto"/>
      </w:divBdr>
    </w:div>
    <w:div w:id="1353343481">
      <w:bodyDiv w:val="1"/>
      <w:marLeft w:val="0"/>
      <w:marRight w:val="0"/>
      <w:marTop w:val="0"/>
      <w:marBottom w:val="0"/>
      <w:divBdr>
        <w:top w:val="none" w:sz="0" w:space="0" w:color="auto"/>
        <w:left w:val="none" w:sz="0" w:space="0" w:color="auto"/>
        <w:bottom w:val="none" w:sz="0" w:space="0" w:color="auto"/>
        <w:right w:val="none" w:sz="0" w:space="0" w:color="auto"/>
      </w:divBdr>
    </w:div>
    <w:div w:id="1363019903">
      <w:bodyDiv w:val="1"/>
      <w:marLeft w:val="0"/>
      <w:marRight w:val="0"/>
      <w:marTop w:val="0"/>
      <w:marBottom w:val="0"/>
      <w:divBdr>
        <w:top w:val="none" w:sz="0" w:space="0" w:color="auto"/>
        <w:left w:val="none" w:sz="0" w:space="0" w:color="auto"/>
        <w:bottom w:val="none" w:sz="0" w:space="0" w:color="auto"/>
        <w:right w:val="none" w:sz="0" w:space="0" w:color="auto"/>
      </w:divBdr>
    </w:div>
    <w:div w:id="1422678025">
      <w:bodyDiv w:val="1"/>
      <w:marLeft w:val="0"/>
      <w:marRight w:val="0"/>
      <w:marTop w:val="0"/>
      <w:marBottom w:val="0"/>
      <w:divBdr>
        <w:top w:val="none" w:sz="0" w:space="0" w:color="auto"/>
        <w:left w:val="none" w:sz="0" w:space="0" w:color="auto"/>
        <w:bottom w:val="none" w:sz="0" w:space="0" w:color="auto"/>
        <w:right w:val="none" w:sz="0" w:space="0" w:color="auto"/>
      </w:divBdr>
    </w:div>
    <w:div w:id="1462764644">
      <w:bodyDiv w:val="1"/>
      <w:marLeft w:val="0"/>
      <w:marRight w:val="0"/>
      <w:marTop w:val="0"/>
      <w:marBottom w:val="0"/>
      <w:divBdr>
        <w:top w:val="none" w:sz="0" w:space="0" w:color="auto"/>
        <w:left w:val="none" w:sz="0" w:space="0" w:color="auto"/>
        <w:bottom w:val="none" w:sz="0" w:space="0" w:color="auto"/>
        <w:right w:val="none" w:sz="0" w:space="0" w:color="auto"/>
      </w:divBdr>
    </w:div>
    <w:div w:id="1828399898">
      <w:bodyDiv w:val="1"/>
      <w:marLeft w:val="0"/>
      <w:marRight w:val="0"/>
      <w:marTop w:val="0"/>
      <w:marBottom w:val="0"/>
      <w:divBdr>
        <w:top w:val="none" w:sz="0" w:space="0" w:color="auto"/>
        <w:left w:val="none" w:sz="0" w:space="0" w:color="auto"/>
        <w:bottom w:val="none" w:sz="0" w:space="0" w:color="auto"/>
        <w:right w:val="none" w:sz="0" w:space="0" w:color="auto"/>
      </w:divBdr>
    </w:div>
    <w:div w:id="2028368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files/gtld-registration-data-temp-spec-17may18-en.pdf" TargetMode="External"/><Relationship Id="rId5" Type="http://schemas.openxmlformats.org/officeDocument/2006/relationships/hyperlink" Target="https://www.icann.org/en/system/files/files/gtld-registration-data-temp-spec-17may18-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4304</Characters>
  <Application>Microsoft Office Word</Application>
  <DocSecurity>0</DocSecurity>
  <Lines>137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Konings</cp:lastModifiedBy>
  <cp:revision>4</cp:revision>
  <dcterms:created xsi:type="dcterms:W3CDTF">2018-06-12T22:47:00Z</dcterms:created>
  <dcterms:modified xsi:type="dcterms:W3CDTF">2018-06-12T22:58:00Z</dcterms:modified>
  <cp:category/>
</cp:coreProperties>
</file>