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0F8" w:rsidRPr="00931233" w:rsidRDefault="007A00F8" w:rsidP="007A00F8">
      <w:pPr>
        <w:pStyle w:val="Heading1"/>
        <w:spacing w:before="0" w:line="240" w:lineRule="auto"/>
        <w:jc w:val="center"/>
        <w:rPr>
          <w:rFonts w:cstheme="minorBidi"/>
          <w:b/>
          <w:bCs/>
          <w:sz w:val="40"/>
          <w:szCs w:val="40"/>
        </w:rPr>
      </w:pPr>
      <w:r w:rsidRPr="00931233">
        <w:rPr>
          <w:rFonts w:cstheme="minorBidi"/>
          <w:b/>
          <w:bCs/>
          <w:sz w:val="40"/>
          <w:szCs w:val="40"/>
        </w:rPr>
        <w:t xml:space="preserve">Update on the </w:t>
      </w:r>
      <w:r w:rsidR="00964E32">
        <w:rPr>
          <w:rFonts w:cstheme="minorBidi"/>
          <w:b/>
          <w:bCs/>
          <w:sz w:val="40"/>
          <w:szCs w:val="40"/>
        </w:rPr>
        <w:t>Internationalized Domain Name (IDN)</w:t>
      </w:r>
      <w:r w:rsidRPr="00931233">
        <w:rPr>
          <w:rFonts w:cstheme="minorBidi"/>
          <w:b/>
          <w:bCs/>
          <w:sz w:val="40"/>
          <w:szCs w:val="40"/>
        </w:rPr>
        <w:t xml:space="preserve"> Program</w:t>
      </w:r>
      <w:r w:rsidR="0054463B">
        <w:rPr>
          <w:rFonts w:cstheme="minorBidi"/>
          <w:b/>
          <w:bCs/>
          <w:sz w:val="40"/>
          <w:szCs w:val="40"/>
        </w:rPr>
        <w:t xml:space="preserve"> for GNSO</w:t>
      </w:r>
    </w:p>
    <w:p w:rsidR="007A00F8" w:rsidRPr="00AB44C0" w:rsidRDefault="00FF3EA4" w:rsidP="007A00F8">
      <w:pPr>
        <w:spacing w:after="0" w:line="240" w:lineRule="auto"/>
        <w:jc w:val="center"/>
        <w:rPr>
          <w:rFonts w:asciiTheme="majorHAnsi" w:hAnsiTheme="majorHAnsi"/>
          <w:i/>
          <w:iCs/>
          <w:color w:val="4F81BD" w:themeColor="accent1"/>
          <w:sz w:val="24"/>
          <w:szCs w:val="24"/>
        </w:rPr>
      </w:pPr>
      <w:r w:rsidRPr="00AB44C0">
        <w:rPr>
          <w:rFonts w:asciiTheme="majorHAnsi" w:hAnsiTheme="majorHAnsi"/>
          <w:i/>
          <w:iCs/>
          <w:color w:val="4F81BD" w:themeColor="accent1"/>
          <w:sz w:val="24"/>
          <w:szCs w:val="24"/>
        </w:rPr>
        <w:t>ICANN 6</w:t>
      </w:r>
      <w:r w:rsidR="00786823" w:rsidRPr="00AB44C0">
        <w:rPr>
          <w:rFonts w:asciiTheme="majorHAnsi" w:hAnsiTheme="majorHAnsi"/>
          <w:i/>
          <w:iCs/>
          <w:color w:val="4F81BD" w:themeColor="accent1"/>
          <w:sz w:val="24"/>
          <w:szCs w:val="24"/>
        </w:rPr>
        <w:t>3</w:t>
      </w:r>
      <w:r w:rsidR="007A00F8" w:rsidRPr="00AB44C0">
        <w:rPr>
          <w:rFonts w:asciiTheme="majorHAnsi" w:hAnsiTheme="majorHAnsi"/>
          <w:i/>
          <w:iCs/>
          <w:color w:val="4F81BD" w:themeColor="accent1"/>
          <w:sz w:val="24"/>
          <w:szCs w:val="24"/>
        </w:rPr>
        <w:t xml:space="preserve">, </w:t>
      </w:r>
      <w:r w:rsidR="00786823" w:rsidRPr="00AB44C0">
        <w:rPr>
          <w:rFonts w:asciiTheme="majorHAnsi" w:hAnsiTheme="majorHAnsi"/>
          <w:i/>
          <w:iCs/>
          <w:color w:val="4F81BD" w:themeColor="accent1"/>
          <w:sz w:val="24"/>
          <w:szCs w:val="24"/>
        </w:rPr>
        <w:t>Barcelona</w:t>
      </w:r>
    </w:p>
    <w:p w:rsidR="007A00F8" w:rsidRDefault="0059564E" w:rsidP="007A00F8">
      <w:pPr>
        <w:spacing w:after="0" w:line="240" w:lineRule="auto"/>
        <w:jc w:val="center"/>
        <w:rPr>
          <w:rFonts w:asciiTheme="majorHAnsi" w:hAnsiTheme="majorHAnsi"/>
          <w:i/>
          <w:iCs/>
          <w:sz w:val="24"/>
          <w:szCs w:val="24"/>
        </w:rPr>
      </w:pPr>
      <w:r>
        <w:rPr>
          <w:rFonts w:asciiTheme="majorHAnsi" w:hAnsiTheme="majorHAnsi"/>
          <w:i/>
          <w:iCs/>
          <w:sz w:val="24"/>
          <w:szCs w:val="24"/>
        </w:rPr>
        <w:t>12</w:t>
      </w:r>
      <w:r w:rsidR="00786823">
        <w:rPr>
          <w:rFonts w:asciiTheme="majorHAnsi" w:hAnsiTheme="majorHAnsi"/>
          <w:i/>
          <w:iCs/>
          <w:sz w:val="24"/>
          <w:szCs w:val="24"/>
        </w:rPr>
        <w:t xml:space="preserve"> October </w:t>
      </w:r>
      <w:r w:rsidR="00FF3EA4">
        <w:rPr>
          <w:rFonts w:asciiTheme="majorHAnsi" w:hAnsiTheme="majorHAnsi"/>
          <w:i/>
          <w:iCs/>
          <w:sz w:val="24"/>
          <w:szCs w:val="24"/>
        </w:rPr>
        <w:t>2018</w:t>
      </w:r>
    </w:p>
    <w:p w:rsidR="007A00F8" w:rsidRPr="00931233" w:rsidRDefault="007A00F8" w:rsidP="007A00F8">
      <w:pPr>
        <w:spacing w:after="0" w:line="240" w:lineRule="auto"/>
        <w:rPr>
          <w:rFonts w:asciiTheme="majorHAnsi" w:hAnsiTheme="majorHAnsi"/>
          <w:sz w:val="24"/>
          <w:szCs w:val="24"/>
        </w:rPr>
      </w:pPr>
    </w:p>
    <w:p w:rsidR="007A00F8" w:rsidRPr="00931233" w:rsidRDefault="007C17AB" w:rsidP="003717E6">
      <w:pPr>
        <w:rPr>
          <w:rFonts w:asciiTheme="majorHAnsi" w:hAnsiTheme="majorHAnsi"/>
          <w:sz w:val="24"/>
          <w:szCs w:val="24"/>
        </w:rPr>
      </w:pPr>
      <w:r w:rsidRPr="00931233">
        <w:rPr>
          <w:rFonts w:asciiTheme="majorHAnsi" w:hAnsiTheme="majorHAnsi"/>
          <w:sz w:val="24"/>
          <w:szCs w:val="24"/>
        </w:rPr>
        <w:t xml:space="preserve">There are multiple </w:t>
      </w:r>
      <w:r w:rsidR="00374CD2">
        <w:rPr>
          <w:rFonts w:asciiTheme="majorHAnsi" w:hAnsiTheme="majorHAnsi"/>
          <w:sz w:val="24"/>
          <w:szCs w:val="24"/>
        </w:rPr>
        <w:t xml:space="preserve">ongoing </w:t>
      </w:r>
      <w:r w:rsidRPr="00931233">
        <w:rPr>
          <w:rFonts w:asciiTheme="majorHAnsi" w:hAnsiTheme="majorHAnsi"/>
          <w:sz w:val="24"/>
          <w:szCs w:val="24"/>
        </w:rPr>
        <w:t xml:space="preserve">projects under the </w:t>
      </w:r>
      <w:r w:rsidR="007A00F8" w:rsidRPr="00931233">
        <w:rPr>
          <w:rFonts w:asciiTheme="majorHAnsi" w:hAnsiTheme="majorHAnsi"/>
          <w:sz w:val="24"/>
          <w:szCs w:val="24"/>
        </w:rPr>
        <w:t>IDN Program</w:t>
      </w:r>
      <w:r w:rsidR="00755DA8">
        <w:rPr>
          <w:rFonts w:asciiTheme="majorHAnsi" w:hAnsiTheme="majorHAnsi"/>
          <w:sz w:val="24"/>
          <w:szCs w:val="24"/>
        </w:rPr>
        <w:t xml:space="preserve"> at ICANN</w:t>
      </w:r>
      <w:r w:rsidR="007A00F8" w:rsidRPr="00931233">
        <w:rPr>
          <w:rFonts w:asciiTheme="majorHAnsi" w:hAnsiTheme="majorHAnsi"/>
          <w:sz w:val="24"/>
          <w:szCs w:val="24"/>
        </w:rPr>
        <w:t xml:space="preserve">.  </w:t>
      </w:r>
      <w:r w:rsidR="00755DA8">
        <w:rPr>
          <w:rFonts w:asciiTheme="majorHAnsi" w:hAnsiTheme="majorHAnsi"/>
          <w:sz w:val="24"/>
          <w:szCs w:val="24"/>
        </w:rPr>
        <w:t xml:space="preserve">Some of the relevant work and its status is summarized below.  You are also encouraged to participate in the </w:t>
      </w:r>
      <w:r w:rsidR="00755DA8" w:rsidRPr="00374CD2">
        <w:rPr>
          <w:rFonts w:asciiTheme="majorHAnsi" w:hAnsiTheme="majorHAnsi"/>
          <w:b/>
          <w:bCs/>
          <w:sz w:val="24"/>
          <w:szCs w:val="24"/>
        </w:rPr>
        <w:t>IDN Program Update</w:t>
      </w:r>
      <w:r w:rsidR="00755DA8">
        <w:rPr>
          <w:rFonts w:asciiTheme="majorHAnsi" w:hAnsiTheme="majorHAnsi"/>
          <w:sz w:val="24"/>
          <w:szCs w:val="24"/>
        </w:rPr>
        <w:t xml:space="preserve"> session at ICANN63 for additional details.  </w:t>
      </w:r>
    </w:p>
    <w:p w:rsidR="00755DA8" w:rsidRPr="00931233" w:rsidRDefault="00755DA8" w:rsidP="00755DA8">
      <w:pPr>
        <w:pStyle w:val="Heading2"/>
        <w:rPr>
          <w:sz w:val="28"/>
          <w:szCs w:val="28"/>
        </w:rPr>
      </w:pPr>
      <w:r w:rsidRPr="00931233">
        <w:rPr>
          <w:sz w:val="28"/>
          <w:szCs w:val="28"/>
        </w:rPr>
        <w:t xml:space="preserve">IDN </w:t>
      </w:r>
      <w:r>
        <w:rPr>
          <w:sz w:val="28"/>
          <w:szCs w:val="28"/>
        </w:rPr>
        <w:t>Top-Level Domain</w:t>
      </w:r>
      <w:r w:rsidRPr="00931233">
        <w:rPr>
          <w:sz w:val="28"/>
          <w:szCs w:val="28"/>
        </w:rPr>
        <w:t xml:space="preserve"> </w:t>
      </w:r>
      <w:r>
        <w:rPr>
          <w:sz w:val="28"/>
          <w:szCs w:val="28"/>
        </w:rPr>
        <w:t xml:space="preserve">(TLD) </w:t>
      </w:r>
      <w:r w:rsidRPr="00931233">
        <w:rPr>
          <w:sz w:val="28"/>
          <w:szCs w:val="28"/>
        </w:rPr>
        <w:t>Program</w:t>
      </w:r>
    </w:p>
    <w:p w:rsidR="0075702C" w:rsidRDefault="00374CD2" w:rsidP="00374CD2">
      <w:pPr>
        <w:spacing w:after="120"/>
        <w:rPr>
          <w:rFonts w:asciiTheme="majorHAnsi" w:hAnsiTheme="majorHAnsi"/>
          <w:sz w:val="24"/>
          <w:szCs w:val="24"/>
        </w:rPr>
      </w:pPr>
      <w:r>
        <w:rPr>
          <w:rFonts w:asciiTheme="majorHAnsi" w:hAnsiTheme="majorHAnsi"/>
          <w:sz w:val="24"/>
          <w:szCs w:val="24"/>
        </w:rPr>
        <w:t>IDN TLD program</w:t>
      </w:r>
      <w:r w:rsidR="00755DA8" w:rsidRPr="00931233">
        <w:rPr>
          <w:rFonts w:asciiTheme="majorHAnsi" w:hAnsiTheme="majorHAnsi"/>
          <w:sz w:val="24"/>
          <w:szCs w:val="24"/>
        </w:rPr>
        <w:t xml:space="preserve"> include</w:t>
      </w:r>
      <w:r>
        <w:rPr>
          <w:rFonts w:asciiTheme="majorHAnsi" w:hAnsiTheme="majorHAnsi"/>
          <w:sz w:val="24"/>
          <w:szCs w:val="24"/>
        </w:rPr>
        <w:t>s</w:t>
      </w:r>
      <w:r w:rsidR="00755DA8" w:rsidRPr="00931233">
        <w:rPr>
          <w:rFonts w:asciiTheme="majorHAnsi" w:hAnsiTheme="majorHAnsi"/>
          <w:sz w:val="24"/>
          <w:szCs w:val="24"/>
        </w:rPr>
        <w:t xml:space="preserve"> the following</w:t>
      </w:r>
      <w:r>
        <w:rPr>
          <w:rFonts w:asciiTheme="majorHAnsi" w:hAnsiTheme="majorHAnsi"/>
          <w:sz w:val="24"/>
          <w:szCs w:val="24"/>
        </w:rPr>
        <w:t xml:space="preserve"> projects</w:t>
      </w:r>
      <w:r w:rsidR="00755DA8" w:rsidRPr="00931233">
        <w:rPr>
          <w:rFonts w:asciiTheme="majorHAnsi" w:hAnsiTheme="majorHAnsi"/>
          <w:sz w:val="24"/>
          <w:szCs w:val="24"/>
        </w:rPr>
        <w:t>:</w:t>
      </w:r>
      <w:r w:rsidR="00755DA8">
        <w:rPr>
          <w:rFonts w:asciiTheme="majorHAnsi" w:hAnsiTheme="majorHAnsi"/>
          <w:sz w:val="24"/>
          <w:szCs w:val="24"/>
        </w:rPr>
        <w:t xml:space="preserve"> (</w:t>
      </w:r>
      <w:proofErr w:type="spellStart"/>
      <w:r w:rsidR="00755DA8">
        <w:rPr>
          <w:rFonts w:asciiTheme="majorHAnsi" w:hAnsiTheme="majorHAnsi"/>
          <w:sz w:val="24"/>
          <w:szCs w:val="24"/>
        </w:rPr>
        <w:t>i</w:t>
      </w:r>
      <w:proofErr w:type="spellEnd"/>
      <w:r w:rsidR="00755DA8">
        <w:rPr>
          <w:rFonts w:asciiTheme="majorHAnsi" w:hAnsiTheme="majorHAnsi"/>
          <w:sz w:val="24"/>
          <w:szCs w:val="24"/>
        </w:rPr>
        <w:t xml:space="preserve">) </w:t>
      </w:r>
      <w:r w:rsidR="00755DA8" w:rsidRPr="00931233">
        <w:rPr>
          <w:rFonts w:asciiTheme="majorHAnsi" w:hAnsiTheme="majorHAnsi"/>
          <w:sz w:val="24"/>
          <w:szCs w:val="24"/>
        </w:rPr>
        <w:t xml:space="preserve">Root Zone </w:t>
      </w:r>
      <w:r w:rsidR="00755DA8">
        <w:rPr>
          <w:rFonts w:asciiTheme="majorHAnsi" w:hAnsiTheme="majorHAnsi"/>
          <w:sz w:val="24"/>
          <w:szCs w:val="24"/>
        </w:rPr>
        <w:t>Label Generation Rules (RZ-LGR)</w:t>
      </w:r>
      <w:r w:rsidR="00755DA8" w:rsidRPr="00931233">
        <w:rPr>
          <w:rFonts w:asciiTheme="majorHAnsi" w:hAnsiTheme="majorHAnsi"/>
          <w:sz w:val="24"/>
          <w:szCs w:val="24"/>
        </w:rPr>
        <w:t xml:space="preserve"> Development</w:t>
      </w:r>
      <w:r w:rsidR="00755DA8">
        <w:rPr>
          <w:rFonts w:asciiTheme="majorHAnsi" w:hAnsiTheme="majorHAnsi"/>
          <w:sz w:val="24"/>
          <w:szCs w:val="24"/>
        </w:rPr>
        <w:t xml:space="preserve">, (ii) </w:t>
      </w:r>
      <w:r w:rsidR="00755DA8" w:rsidRPr="00931233">
        <w:rPr>
          <w:rFonts w:asciiTheme="majorHAnsi" w:hAnsiTheme="majorHAnsi"/>
          <w:sz w:val="24"/>
          <w:szCs w:val="24"/>
        </w:rPr>
        <w:t>LGR Toolset Development</w:t>
      </w:r>
      <w:r w:rsidR="00755DA8">
        <w:rPr>
          <w:rFonts w:asciiTheme="majorHAnsi" w:hAnsiTheme="majorHAnsi"/>
          <w:sz w:val="24"/>
          <w:szCs w:val="24"/>
        </w:rPr>
        <w:t xml:space="preserve">, and (iii) </w:t>
      </w:r>
      <w:r w:rsidR="00755DA8" w:rsidRPr="00931233">
        <w:rPr>
          <w:rFonts w:asciiTheme="majorHAnsi" w:hAnsiTheme="majorHAnsi"/>
          <w:sz w:val="24"/>
          <w:szCs w:val="24"/>
        </w:rPr>
        <w:t>IDN Variant TLD Implementation</w:t>
      </w:r>
      <w:r w:rsidR="00755DA8">
        <w:rPr>
          <w:rFonts w:asciiTheme="majorHAnsi" w:hAnsiTheme="majorHAnsi"/>
          <w:sz w:val="24"/>
          <w:szCs w:val="24"/>
        </w:rPr>
        <w:t xml:space="preserve">.  </w:t>
      </w:r>
      <w:r w:rsidR="00EA3608">
        <w:rPr>
          <w:rFonts w:asciiTheme="majorHAnsi" w:hAnsiTheme="majorHAnsi"/>
          <w:b/>
          <w:bCs/>
          <w:sz w:val="24"/>
          <w:szCs w:val="24"/>
        </w:rPr>
        <w:t>Maximal Starting Repertoire</w:t>
      </w:r>
      <w:r w:rsidR="008D44B5" w:rsidRPr="00931233">
        <w:rPr>
          <w:rFonts w:asciiTheme="majorHAnsi" w:hAnsiTheme="majorHAnsi"/>
          <w:sz w:val="24"/>
          <w:szCs w:val="24"/>
        </w:rPr>
        <w:t xml:space="preserve"> </w:t>
      </w:r>
      <w:r w:rsidR="007A00F8" w:rsidRPr="00931233">
        <w:rPr>
          <w:rFonts w:asciiTheme="majorHAnsi" w:hAnsiTheme="majorHAnsi"/>
          <w:sz w:val="24"/>
          <w:szCs w:val="24"/>
        </w:rPr>
        <w:t>(</w:t>
      </w:r>
      <w:hyperlink r:id="rId7" w:history="1">
        <w:r w:rsidR="00EA3608">
          <w:rPr>
            <w:rStyle w:val="Hyperlink"/>
            <w:rFonts w:asciiTheme="majorHAnsi" w:hAnsiTheme="majorHAnsi"/>
            <w:sz w:val="24"/>
            <w:szCs w:val="24"/>
          </w:rPr>
          <w:t>MSR</w:t>
        </w:r>
      </w:hyperlink>
      <w:r w:rsidR="007A00F8" w:rsidRPr="00931233">
        <w:rPr>
          <w:rFonts w:asciiTheme="majorHAnsi" w:hAnsiTheme="majorHAnsi"/>
          <w:sz w:val="24"/>
          <w:szCs w:val="24"/>
        </w:rPr>
        <w:t>)</w:t>
      </w:r>
      <w:r w:rsidR="001E377A">
        <w:rPr>
          <w:rFonts w:asciiTheme="majorHAnsi" w:hAnsiTheme="majorHAnsi"/>
          <w:sz w:val="24"/>
          <w:szCs w:val="24"/>
        </w:rPr>
        <w:t xml:space="preserve"> </w:t>
      </w:r>
      <w:r w:rsidR="00E578E0">
        <w:rPr>
          <w:rFonts w:asciiTheme="majorHAnsi" w:hAnsiTheme="majorHAnsi"/>
          <w:sz w:val="24"/>
          <w:szCs w:val="24"/>
        </w:rPr>
        <w:t xml:space="preserve">is the starting point for developing Root Zone Label Generation Rules (RZ-LGR).  Third version of MSR </w:t>
      </w:r>
      <w:r w:rsidR="0075702C">
        <w:rPr>
          <w:rFonts w:asciiTheme="majorHAnsi" w:hAnsiTheme="majorHAnsi"/>
          <w:sz w:val="24"/>
          <w:szCs w:val="24"/>
        </w:rPr>
        <w:t xml:space="preserve">has been </w:t>
      </w:r>
      <w:r w:rsidR="0075702C" w:rsidRPr="0075702C">
        <w:rPr>
          <w:rFonts w:asciiTheme="majorHAnsi" w:hAnsiTheme="majorHAnsi"/>
          <w:sz w:val="24"/>
          <w:szCs w:val="24"/>
        </w:rPr>
        <w:t>published</w:t>
      </w:r>
      <w:r w:rsidR="0075702C">
        <w:rPr>
          <w:rFonts w:asciiTheme="majorHAnsi" w:hAnsiTheme="majorHAnsi"/>
          <w:sz w:val="24"/>
          <w:szCs w:val="24"/>
        </w:rPr>
        <w:t xml:space="preserve"> after </w:t>
      </w:r>
      <w:hyperlink r:id="rId8" w:history="1">
        <w:r w:rsidR="0075702C" w:rsidRPr="0075702C">
          <w:rPr>
            <w:rStyle w:val="Hyperlink"/>
            <w:rFonts w:asciiTheme="majorHAnsi" w:hAnsiTheme="majorHAnsi"/>
            <w:sz w:val="24"/>
            <w:szCs w:val="24"/>
          </w:rPr>
          <w:t>public comment</w:t>
        </w:r>
      </w:hyperlink>
      <w:r w:rsidR="00682455">
        <w:rPr>
          <w:rFonts w:asciiTheme="majorHAnsi" w:hAnsiTheme="majorHAnsi"/>
          <w:sz w:val="24"/>
          <w:szCs w:val="24"/>
        </w:rPr>
        <w:t>, which covers 28 scripts.  The community has organized into various Generation Panels (GPs) for the different scripts and actively involved in developing the rules for determining valid and unique labels for the top-level domains</w:t>
      </w:r>
      <w:r>
        <w:rPr>
          <w:rFonts w:asciiTheme="majorHAnsi" w:hAnsiTheme="majorHAnsi"/>
          <w:sz w:val="24"/>
          <w:szCs w:val="24"/>
        </w:rPr>
        <w:t xml:space="preserve"> using the MSR</w:t>
      </w:r>
      <w:r w:rsidR="00682455">
        <w:rPr>
          <w:rFonts w:asciiTheme="majorHAnsi" w:hAnsiTheme="majorHAnsi"/>
          <w:sz w:val="24"/>
          <w:szCs w:val="24"/>
        </w:rPr>
        <w:t xml:space="preserve">.  These rules are called the </w:t>
      </w:r>
      <w:r w:rsidR="00682455" w:rsidRPr="00964E32">
        <w:rPr>
          <w:rFonts w:asciiTheme="majorHAnsi" w:hAnsiTheme="majorHAnsi"/>
          <w:b/>
          <w:bCs/>
          <w:sz w:val="24"/>
          <w:szCs w:val="24"/>
        </w:rPr>
        <w:t>Root Zone Label Generation Rules</w:t>
      </w:r>
      <w:r w:rsidR="00682455">
        <w:rPr>
          <w:rFonts w:asciiTheme="majorHAnsi" w:hAnsiTheme="majorHAnsi"/>
          <w:sz w:val="24"/>
          <w:szCs w:val="24"/>
        </w:rPr>
        <w:t xml:space="preserve"> (</w:t>
      </w:r>
      <w:hyperlink r:id="rId9" w:history="1">
        <w:r w:rsidR="00682455" w:rsidRPr="00964E32">
          <w:rPr>
            <w:rStyle w:val="Hyperlink"/>
            <w:rFonts w:asciiTheme="majorHAnsi" w:hAnsiTheme="majorHAnsi"/>
            <w:sz w:val="24"/>
            <w:szCs w:val="24"/>
          </w:rPr>
          <w:t>RZ-LGR</w:t>
        </w:r>
      </w:hyperlink>
      <w:r w:rsidR="00682455">
        <w:rPr>
          <w:rFonts w:asciiTheme="majorHAnsi" w:hAnsiTheme="majorHAnsi"/>
          <w:sz w:val="24"/>
          <w:szCs w:val="24"/>
        </w:rPr>
        <w:t>).  The status of the work by GPs is summarized in the</w:t>
      </w:r>
      <w:r w:rsidR="00FB1664">
        <w:rPr>
          <w:rFonts w:asciiTheme="majorHAnsi" w:hAnsiTheme="majorHAnsi"/>
          <w:sz w:val="24"/>
          <w:szCs w:val="24"/>
        </w:rPr>
        <w:t xml:space="preserve"> infographic below.  A total of</w:t>
      </w:r>
      <w:r>
        <w:rPr>
          <w:rFonts w:asciiTheme="majorHAnsi" w:hAnsiTheme="majorHAnsi"/>
          <w:sz w:val="24"/>
          <w:szCs w:val="24"/>
        </w:rPr>
        <w:t xml:space="preserve"> 18 GPs have already </w:t>
      </w:r>
      <w:r w:rsidR="00FB1664">
        <w:rPr>
          <w:rFonts w:asciiTheme="majorHAnsi" w:hAnsiTheme="majorHAnsi"/>
          <w:sz w:val="24"/>
          <w:szCs w:val="24"/>
        </w:rPr>
        <w:t xml:space="preserve">finalized and </w:t>
      </w:r>
      <w:hyperlink r:id="rId10" w:history="1">
        <w:r w:rsidRPr="00FB1664">
          <w:rPr>
            <w:rStyle w:val="Hyperlink"/>
            <w:rFonts w:asciiTheme="majorHAnsi" w:hAnsiTheme="majorHAnsi"/>
            <w:sz w:val="24"/>
            <w:szCs w:val="24"/>
          </w:rPr>
          <w:t>published</w:t>
        </w:r>
      </w:hyperlink>
      <w:r>
        <w:rPr>
          <w:rFonts w:asciiTheme="majorHAnsi" w:hAnsiTheme="majorHAnsi"/>
          <w:sz w:val="24"/>
          <w:szCs w:val="24"/>
        </w:rPr>
        <w:t xml:space="preserve"> their RZ-LGR proposals.  </w:t>
      </w:r>
      <w:bookmarkStart w:id="0" w:name="_GoBack"/>
      <w:bookmarkEnd w:id="0"/>
    </w:p>
    <w:p w:rsidR="007D6751" w:rsidRDefault="00E27B10" w:rsidP="00A45836">
      <w:pPr>
        <w:spacing w:after="120"/>
        <w:rPr>
          <w:rFonts w:asciiTheme="majorHAnsi" w:hAnsiTheme="majorHAnsi"/>
          <w:sz w:val="24"/>
          <w:szCs w:val="24"/>
        </w:rPr>
      </w:pPr>
      <w:r>
        <w:rPr>
          <w:noProof/>
        </w:rPr>
        <w:drawing>
          <wp:inline distT="0" distB="0" distL="0" distR="0" wp14:anchorId="2CD6D264" wp14:editId="0CA3FD1B">
            <wp:extent cx="5943600" cy="3629025"/>
            <wp:effectExtent l="0" t="0" r="0" b="0"/>
            <wp:docPr id="4" name="Picture 3">
              <a:extLst xmlns:a="http://schemas.openxmlformats.org/drawingml/2006/main">
                <a:ext uri="{FF2B5EF4-FFF2-40B4-BE49-F238E27FC236}">
                  <a16:creationId xmlns:a16="http://schemas.microsoft.com/office/drawing/2014/main" id="{9937CB7F-9375-42B7-808C-B1763E19FD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937CB7F-9375-42B7-808C-B1763E19FDEC}"/>
                        </a:ext>
                      </a:extLst>
                    </pic:cNvPr>
                    <pic:cNvPicPr>
                      <a:picLocks noChangeAspect="1"/>
                    </pic:cNvPicPr>
                  </pic:nvPicPr>
                  <pic:blipFill>
                    <a:blip r:embed="rId11"/>
                    <a:stretch>
                      <a:fillRect/>
                    </a:stretch>
                  </pic:blipFill>
                  <pic:spPr>
                    <a:xfrm>
                      <a:off x="0" y="0"/>
                      <a:ext cx="5943600" cy="3629025"/>
                    </a:xfrm>
                    <a:prstGeom prst="rect">
                      <a:avLst/>
                    </a:prstGeom>
                  </pic:spPr>
                </pic:pic>
              </a:graphicData>
            </a:graphic>
          </wp:inline>
        </w:drawing>
      </w:r>
    </w:p>
    <w:p w:rsidR="008D44B5" w:rsidRPr="00931233" w:rsidRDefault="008D44B5" w:rsidP="00B87376">
      <w:pPr>
        <w:spacing w:after="120"/>
        <w:rPr>
          <w:rFonts w:asciiTheme="majorHAnsi" w:hAnsiTheme="majorHAnsi"/>
          <w:sz w:val="24"/>
          <w:szCs w:val="24"/>
        </w:rPr>
      </w:pPr>
      <w:r w:rsidRPr="00931233">
        <w:rPr>
          <w:rFonts w:asciiTheme="majorHAnsi" w:hAnsiTheme="majorHAnsi"/>
          <w:sz w:val="24"/>
          <w:szCs w:val="24"/>
        </w:rPr>
        <w:lastRenderedPageBreak/>
        <w:t>The</w:t>
      </w:r>
      <w:r w:rsidR="00FC7B82">
        <w:rPr>
          <w:rFonts w:asciiTheme="majorHAnsi" w:hAnsiTheme="majorHAnsi"/>
          <w:sz w:val="24"/>
          <w:szCs w:val="24"/>
        </w:rPr>
        <w:t xml:space="preserve"> </w:t>
      </w:r>
      <w:r w:rsidR="00E27B10">
        <w:rPr>
          <w:rFonts w:asciiTheme="majorHAnsi" w:hAnsiTheme="majorHAnsi"/>
          <w:sz w:val="24"/>
          <w:szCs w:val="24"/>
        </w:rPr>
        <w:t>third</w:t>
      </w:r>
      <w:r w:rsidR="00FC7B82">
        <w:rPr>
          <w:rFonts w:asciiTheme="majorHAnsi" w:hAnsiTheme="majorHAnsi"/>
          <w:sz w:val="24"/>
          <w:szCs w:val="24"/>
        </w:rPr>
        <w:t xml:space="preserve"> </w:t>
      </w:r>
      <w:r w:rsidR="00E578E0">
        <w:rPr>
          <w:rFonts w:asciiTheme="majorHAnsi" w:hAnsiTheme="majorHAnsi"/>
          <w:sz w:val="24"/>
          <w:szCs w:val="24"/>
        </w:rPr>
        <w:t>release</w:t>
      </w:r>
      <w:r w:rsidR="00FC7B82">
        <w:rPr>
          <w:rFonts w:asciiTheme="majorHAnsi" w:hAnsiTheme="majorHAnsi"/>
          <w:sz w:val="24"/>
          <w:szCs w:val="24"/>
        </w:rPr>
        <w:t xml:space="preserve"> of</w:t>
      </w:r>
      <w:r w:rsidRPr="00931233">
        <w:rPr>
          <w:rFonts w:asciiTheme="majorHAnsi" w:hAnsiTheme="majorHAnsi"/>
          <w:sz w:val="24"/>
          <w:szCs w:val="24"/>
        </w:rPr>
        <w:t xml:space="preserve"> </w:t>
      </w:r>
      <w:r w:rsidRPr="006A42EB">
        <w:rPr>
          <w:rFonts w:asciiTheme="majorHAnsi" w:hAnsiTheme="majorHAnsi"/>
          <w:b/>
          <w:bCs/>
          <w:sz w:val="24"/>
          <w:szCs w:val="24"/>
        </w:rPr>
        <w:t>LGR Toolset</w:t>
      </w:r>
      <w:r w:rsidRPr="00931233">
        <w:rPr>
          <w:rFonts w:asciiTheme="majorHAnsi" w:hAnsiTheme="majorHAnsi"/>
          <w:sz w:val="24"/>
          <w:szCs w:val="24"/>
        </w:rPr>
        <w:t xml:space="preserve"> </w:t>
      </w:r>
      <w:r w:rsidR="0082120A">
        <w:rPr>
          <w:rFonts w:asciiTheme="majorHAnsi" w:hAnsiTheme="majorHAnsi"/>
          <w:sz w:val="24"/>
          <w:szCs w:val="24"/>
        </w:rPr>
        <w:t>has been</w:t>
      </w:r>
      <w:r w:rsidR="00F169CA">
        <w:rPr>
          <w:rFonts w:asciiTheme="majorHAnsi" w:hAnsiTheme="majorHAnsi"/>
          <w:sz w:val="24"/>
          <w:szCs w:val="24"/>
        </w:rPr>
        <w:t xml:space="preserve"> deployed after testing.  </w:t>
      </w:r>
      <w:r w:rsidR="00E578E0">
        <w:rPr>
          <w:rFonts w:asciiTheme="majorHAnsi" w:hAnsiTheme="majorHAnsi"/>
          <w:sz w:val="24"/>
          <w:szCs w:val="24"/>
        </w:rPr>
        <w:t>In addition to the existing functions to create, use and manage LGRs, t</w:t>
      </w:r>
      <w:r w:rsidR="00F169CA">
        <w:rPr>
          <w:rFonts w:asciiTheme="majorHAnsi" w:hAnsiTheme="majorHAnsi"/>
          <w:sz w:val="24"/>
          <w:szCs w:val="24"/>
        </w:rPr>
        <w:t xml:space="preserve">his </w:t>
      </w:r>
      <w:r w:rsidR="00E578E0">
        <w:rPr>
          <w:rFonts w:asciiTheme="majorHAnsi" w:hAnsiTheme="majorHAnsi"/>
          <w:sz w:val="24"/>
          <w:szCs w:val="24"/>
        </w:rPr>
        <w:t xml:space="preserve">version </w:t>
      </w:r>
      <w:r w:rsidR="00E27B10">
        <w:rPr>
          <w:rFonts w:asciiTheme="majorHAnsi" w:hAnsiTheme="majorHAnsi"/>
          <w:sz w:val="24"/>
          <w:szCs w:val="24"/>
        </w:rPr>
        <w:t>allows to harmonize variant sets across multiple LGRs and supports MSR-3 and all Unicode versions till 10.0</w:t>
      </w:r>
      <w:r w:rsidR="00FC7B82">
        <w:rPr>
          <w:rFonts w:asciiTheme="majorHAnsi" w:hAnsiTheme="majorHAnsi"/>
          <w:sz w:val="24"/>
          <w:szCs w:val="24"/>
        </w:rPr>
        <w:t xml:space="preserve">.  </w:t>
      </w:r>
      <w:r w:rsidRPr="00931233">
        <w:rPr>
          <w:rFonts w:asciiTheme="majorHAnsi" w:hAnsiTheme="majorHAnsi"/>
          <w:sz w:val="24"/>
          <w:szCs w:val="24"/>
        </w:rPr>
        <w:t xml:space="preserve"> </w:t>
      </w:r>
      <w:r w:rsidR="00FC7B82">
        <w:rPr>
          <w:rFonts w:asciiTheme="majorHAnsi" w:hAnsiTheme="majorHAnsi"/>
          <w:sz w:val="24"/>
          <w:szCs w:val="24"/>
        </w:rPr>
        <w:t xml:space="preserve">The </w:t>
      </w:r>
      <w:hyperlink r:id="rId12" w:history="1">
        <w:r w:rsidR="00964E32">
          <w:rPr>
            <w:rStyle w:val="Hyperlink"/>
            <w:rFonts w:asciiTheme="majorHAnsi" w:hAnsiTheme="majorHAnsi"/>
            <w:sz w:val="24"/>
            <w:szCs w:val="24"/>
          </w:rPr>
          <w:t>LGR t</w:t>
        </w:r>
        <w:r w:rsidR="00FC7B82" w:rsidRPr="00597EAD">
          <w:rPr>
            <w:rStyle w:val="Hyperlink"/>
            <w:rFonts w:asciiTheme="majorHAnsi" w:hAnsiTheme="majorHAnsi"/>
            <w:sz w:val="24"/>
            <w:szCs w:val="24"/>
          </w:rPr>
          <w:t>ool</w:t>
        </w:r>
      </w:hyperlink>
      <w:r w:rsidR="00FC7B82">
        <w:rPr>
          <w:rFonts w:asciiTheme="majorHAnsi" w:hAnsiTheme="majorHAnsi"/>
          <w:sz w:val="24"/>
          <w:szCs w:val="24"/>
        </w:rPr>
        <w:t xml:space="preserve"> is</w:t>
      </w:r>
      <w:r w:rsidRPr="00931233">
        <w:rPr>
          <w:rFonts w:asciiTheme="majorHAnsi" w:hAnsiTheme="majorHAnsi"/>
          <w:sz w:val="24"/>
          <w:szCs w:val="24"/>
        </w:rPr>
        <w:t xml:space="preserve"> </w:t>
      </w:r>
      <w:r w:rsidR="00FC7B82">
        <w:rPr>
          <w:rFonts w:asciiTheme="majorHAnsi" w:hAnsiTheme="majorHAnsi"/>
          <w:sz w:val="24"/>
          <w:szCs w:val="24"/>
        </w:rPr>
        <w:t>available</w:t>
      </w:r>
      <w:r w:rsidRPr="00931233">
        <w:rPr>
          <w:rFonts w:asciiTheme="majorHAnsi" w:hAnsiTheme="majorHAnsi"/>
          <w:sz w:val="24"/>
          <w:szCs w:val="24"/>
        </w:rPr>
        <w:t xml:space="preserve"> </w:t>
      </w:r>
      <w:r w:rsidRPr="00597EAD">
        <w:rPr>
          <w:rFonts w:asciiTheme="majorHAnsi" w:hAnsiTheme="majorHAnsi"/>
          <w:sz w:val="24"/>
          <w:szCs w:val="24"/>
        </w:rPr>
        <w:t>online</w:t>
      </w:r>
      <w:r w:rsidRPr="00931233">
        <w:rPr>
          <w:rFonts w:asciiTheme="majorHAnsi" w:hAnsiTheme="majorHAnsi"/>
          <w:sz w:val="24"/>
          <w:szCs w:val="24"/>
        </w:rPr>
        <w:t xml:space="preserve"> </w:t>
      </w:r>
      <w:r w:rsidR="00FC7B82" w:rsidRPr="00931233">
        <w:rPr>
          <w:rFonts w:asciiTheme="majorHAnsi" w:hAnsiTheme="majorHAnsi"/>
          <w:sz w:val="24"/>
          <w:szCs w:val="24"/>
        </w:rPr>
        <w:t>and</w:t>
      </w:r>
      <w:r w:rsidR="00FC7B82">
        <w:rPr>
          <w:rFonts w:asciiTheme="majorHAnsi" w:hAnsiTheme="majorHAnsi"/>
          <w:sz w:val="24"/>
          <w:szCs w:val="24"/>
        </w:rPr>
        <w:t xml:space="preserve"> </w:t>
      </w:r>
      <w:r w:rsidR="006A42EB">
        <w:rPr>
          <w:rFonts w:asciiTheme="majorHAnsi" w:hAnsiTheme="majorHAnsi"/>
          <w:sz w:val="24"/>
          <w:szCs w:val="24"/>
        </w:rPr>
        <w:t xml:space="preserve">also </w:t>
      </w:r>
      <w:r w:rsidR="00FC7B82">
        <w:rPr>
          <w:rFonts w:asciiTheme="majorHAnsi" w:hAnsiTheme="majorHAnsi"/>
          <w:sz w:val="24"/>
          <w:szCs w:val="24"/>
        </w:rPr>
        <w:t xml:space="preserve">released </w:t>
      </w:r>
      <w:r w:rsidR="006A42EB">
        <w:rPr>
          <w:rFonts w:asciiTheme="majorHAnsi" w:hAnsiTheme="majorHAnsi"/>
          <w:sz w:val="24"/>
          <w:szCs w:val="24"/>
        </w:rPr>
        <w:t>as</w:t>
      </w:r>
      <w:r w:rsidRPr="00931233">
        <w:rPr>
          <w:rFonts w:asciiTheme="majorHAnsi" w:hAnsiTheme="majorHAnsi"/>
          <w:sz w:val="24"/>
          <w:szCs w:val="24"/>
        </w:rPr>
        <w:t xml:space="preserve"> open source for the community to use.  A detailed user guide for the tool has </w:t>
      </w:r>
      <w:r w:rsidR="0082120A">
        <w:rPr>
          <w:rFonts w:asciiTheme="majorHAnsi" w:hAnsiTheme="majorHAnsi"/>
          <w:sz w:val="24"/>
          <w:szCs w:val="24"/>
        </w:rPr>
        <w:t xml:space="preserve">also </w:t>
      </w:r>
      <w:r w:rsidRPr="00931233">
        <w:rPr>
          <w:rFonts w:asciiTheme="majorHAnsi" w:hAnsiTheme="majorHAnsi"/>
          <w:sz w:val="24"/>
          <w:szCs w:val="24"/>
        </w:rPr>
        <w:t xml:space="preserve">been published.  </w:t>
      </w:r>
      <w:r w:rsidR="00E27B10">
        <w:rPr>
          <w:rFonts w:asciiTheme="majorHAnsi" w:hAnsiTheme="majorHAnsi"/>
          <w:sz w:val="24"/>
          <w:szCs w:val="24"/>
        </w:rPr>
        <w:t xml:space="preserve"> </w:t>
      </w:r>
    </w:p>
    <w:p w:rsidR="008D44B5" w:rsidRPr="00931233" w:rsidRDefault="00964E32" w:rsidP="0082120A">
      <w:pPr>
        <w:spacing w:after="120"/>
        <w:rPr>
          <w:rFonts w:asciiTheme="majorHAnsi" w:hAnsiTheme="majorHAnsi"/>
          <w:sz w:val="24"/>
          <w:szCs w:val="24"/>
        </w:rPr>
      </w:pPr>
      <w:r>
        <w:rPr>
          <w:rFonts w:asciiTheme="majorHAnsi" w:hAnsiTheme="majorHAnsi"/>
          <w:sz w:val="24"/>
          <w:szCs w:val="24"/>
        </w:rPr>
        <w:t>To allow for variant labels for the IDN TLDs, m</w:t>
      </w:r>
      <w:r w:rsidR="005C144D">
        <w:rPr>
          <w:rFonts w:asciiTheme="majorHAnsi" w:hAnsiTheme="majorHAnsi"/>
          <w:sz w:val="24"/>
          <w:szCs w:val="24"/>
        </w:rPr>
        <w:t xml:space="preserve">ultiple </w:t>
      </w:r>
      <w:r w:rsidR="00E578E0">
        <w:rPr>
          <w:rFonts w:asciiTheme="majorHAnsi" w:hAnsiTheme="majorHAnsi"/>
          <w:sz w:val="24"/>
          <w:szCs w:val="24"/>
        </w:rPr>
        <w:t>reports</w:t>
      </w:r>
      <w:r w:rsidR="005C144D">
        <w:rPr>
          <w:rFonts w:asciiTheme="majorHAnsi" w:hAnsiTheme="majorHAnsi"/>
          <w:sz w:val="24"/>
          <w:szCs w:val="24"/>
        </w:rPr>
        <w:t xml:space="preserve"> </w:t>
      </w:r>
      <w:r w:rsidR="00E578E0">
        <w:rPr>
          <w:rFonts w:asciiTheme="majorHAnsi" w:hAnsiTheme="majorHAnsi"/>
          <w:sz w:val="24"/>
          <w:szCs w:val="24"/>
        </w:rPr>
        <w:t>covering recommendations and their analysis for</w:t>
      </w:r>
      <w:r w:rsidR="005C144D">
        <w:rPr>
          <w:rFonts w:asciiTheme="majorHAnsi" w:hAnsiTheme="majorHAnsi"/>
          <w:sz w:val="24"/>
          <w:szCs w:val="24"/>
        </w:rPr>
        <w:t xml:space="preserve"> the implementation of </w:t>
      </w:r>
      <w:r w:rsidR="008D44B5" w:rsidRPr="006A42EB">
        <w:rPr>
          <w:rFonts w:asciiTheme="majorHAnsi" w:hAnsiTheme="majorHAnsi"/>
          <w:b/>
          <w:bCs/>
          <w:sz w:val="24"/>
          <w:szCs w:val="24"/>
        </w:rPr>
        <w:t>IDN Variant TLDs</w:t>
      </w:r>
      <w:r w:rsidR="008D44B5" w:rsidRPr="00931233">
        <w:rPr>
          <w:rFonts w:asciiTheme="majorHAnsi" w:hAnsiTheme="majorHAnsi"/>
          <w:sz w:val="24"/>
          <w:szCs w:val="24"/>
        </w:rPr>
        <w:t xml:space="preserve"> </w:t>
      </w:r>
      <w:r w:rsidR="00E578E0">
        <w:rPr>
          <w:rFonts w:asciiTheme="majorHAnsi" w:hAnsiTheme="majorHAnsi"/>
          <w:sz w:val="24"/>
          <w:szCs w:val="24"/>
        </w:rPr>
        <w:t>were</w:t>
      </w:r>
      <w:r w:rsidR="00597EAD">
        <w:rPr>
          <w:rFonts w:asciiTheme="majorHAnsi" w:hAnsiTheme="majorHAnsi"/>
          <w:sz w:val="24"/>
          <w:szCs w:val="24"/>
        </w:rPr>
        <w:t xml:space="preserve"> </w:t>
      </w:r>
      <w:r w:rsidR="000909DE">
        <w:rPr>
          <w:rFonts w:asciiTheme="majorHAnsi" w:hAnsiTheme="majorHAnsi"/>
          <w:sz w:val="24"/>
          <w:szCs w:val="24"/>
        </w:rPr>
        <w:t>released</w:t>
      </w:r>
      <w:r w:rsidR="00597EAD">
        <w:rPr>
          <w:rFonts w:asciiTheme="majorHAnsi" w:hAnsiTheme="majorHAnsi"/>
          <w:sz w:val="24"/>
          <w:szCs w:val="24"/>
        </w:rPr>
        <w:t xml:space="preserve"> for </w:t>
      </w:r>
      <w:hyperlink r:id="rId13" w:history="1">
        <w:r w:rsidR="00597EAD" w:rsidRPr="000909DE">
          <w:rPr>
            <w:rStyle w:val="Hyperlink"/>
            <w:rFonts w:asciiTheme="majorHAnsi" w:hAnsiTheme="majorHAnsi"/>
            <w:sz w:val="24"/>
            <w:szCs w:val="24"/>
          </w:rPr>
          <w:t>public comment</w:t>
        </w:r>
      </w:hyperlink>
      <w:r w:rsidR="00597EAD">
        <w:rPr>
          <w:rFonts w:asciiTheme="majorHAnsi" w:hAnsiTheme="majorHAnsi"/>
          <w:sz w:val="24"/>
          <w:szCs w:val="24"/>
        </w:rPr>
        <w:t xml:space="preserve">.  The feedback from the community </w:t>
      </w:r>
      <w:r w:rsidR="008A1A52">
        <w:rPr>
          <w:rFonts w:asciiTheme="majorHAnsi" w:hAnsiTheme="majorHAnsi"/>
          <w:sz w:val="24"/>
          <w:szCs w:val="24"/>
        </w:rPr>
        <w:t>is being</w:t>
      </w:r>
      <w:r w:rsidR="0082120A">
        <w:rPr>
          <w:rFonts w:asciiTheme="majorHAnsi" w:hAnsiTheme="majorHAnsi"/>
          <w:sz w:val="24"/>
          <w:szCs w:val="24"/>
        </w:rPr>
        <w:t xml:space="preserve"> synthesized.  The</w:t>
      </w:r>
      <w:r w:rsidR="008A1A52">
        <w:rPr>
          <w:rFonts w:asciiTheme="majorHAnsi" w:hAnsiTheme="majorHAnsi"/>
          <w:sz w:val="24"/>
          <w:szCs w:val="24"/>
        </w:rPr>
        <w:t>se</w:t>
      </w:r>
      <w:r w:rsidR="0082120A">
        <w:rPr>
          <w:rFonts w:asciiTheme="majorHAnsi" w:hAnsiTheme="majorHAnsi"/>
          <w:sz w:val="24"/>
          <w:szCs w:val="24"/>
        </w:rPr>
        <w:t xml:space="preserve"> reports will be updated based on the </w:t>
      </w:r>
      <w:r w:rsidR="008A1A52">
        <w:rPr>
          <w:rFonts w:asciiTheme="majorHAnsi" w:hAnsiTheme="majorHAnsi"/>
          <w:sz w:val="24"/>
          <w:szCs w:val="24"/>
        </w:rPr>
        <w:t>input from the community</w:t>
      </w:r>
      <w:r w:rsidR="0082120A">
        <w:rPr>
          <w:rFonts w:asciiTheme="majorHAnsi" w:hAnsiTheme="majorHAnsi"/>
          <w:sz w:val="24"/>
          <w:szCs w:val="24"/>
        </w:rPr>
        <w:t xml:space="preserve"> and presented to </w:t>
      </w:r>
      <w:r w:rsidR="008A1A52">
        <w:rPr>
          <w:rFonts w:asciiTheme="majorHAnsi" w:hAnsiTheme="majorHAnsi"/>
          <w:sz w:val="24"/>
          <w:szCs w:val="24"/>
        </w:rPr>
        <w:t xml:space="preserve">the </w:t>
      </w:r>
      <w:r w:rsidR="0082120A">
        <w:rPr>
          <w:rFonts w:asciiTheme="majorHAnsi" w:hAnsiTheme="majorHAnsi"/>
          <w:sz w:val="24"/>
          <w:szCs w:val="24"/>
        </w:rPr>
        <w:t>ICANN Board for further consideration during ICANN64 in Kobe, Japan.</w:t>
      </w:r>
    </w:p>
    <w:p w:rsidR="00416C9C" w:rsidRDefault="001D512B" w:rsidP="00416C9C">
      <w:pPr>
        <w:pStyle w:val="Heading2"/>
        <w:rPr>
          <w:sz w:val="28"/>
          <w:szCs w:val="28"/>
        </w:rPr>
      </w:pPr>
      <w:r w:rsidRPr="00931233">
        <w:rPr>
          <w:sz w:val="28"/>
          <w:szCs w:val="28"/>
        </w:rPr>
        <w:t>IDN Implementation Guidelines</w:t>
      </w:r>
    </w:p>
    <w:p w:rsidR="009422A3" w:rsidRDefault="008A1A52" w:rsidP="00416C9C">
      <w:pPr>
        <w:rPr>
          <w:rFonts w:asciiTheme="majorHAnsi" w:hAnsiTheme="majorHAnsi"/>
          <w:sz w:val="24"/>
          <w:szCs w:val="24"/>
        </w:rPr>
      </w:pPr>
      <w:r>
        <w:rPr>
          <w:rFonts w:asciiTheme="majorHAnsi" w:hAnsiTheme="majorHAnsi"/>
          <w:sz w:val="24"/>
          <w:szCs w:val="24"/>
        </w:rPr>
        <w:t>IDN</w:t>
      </w:r>
      <w:r w:rsidR="001D512B" w:rsidRPr="00416C9C">
        <w:rPr>
          <w:rFonts w:asciiTheme="majorHAnsi" w:hAnsiTheme="majorHAnsi"/>
          <w:sz w:val="24"/>
          <w:szCs w:val="24"/>
        </w:rPr>
        <w:t xml:space="preserve"> Guidelines are for the second level IDN regi</w:t>
      </w:r>
      <w:r w:rsidR="009422A3" w:rsidRPr="00416C9C">
        <w:rPr>
          <w:rFonts w:asciiTheme="majorHAnsi" w:hAnsiTheme="majorHAnsi"/>
          <w:sz w:val="24"/>
          <w:szCs w:val="24"/>
        </w:rPr>
        <w:t>stration policies and practices, d</w:t>
      </w:r>
      <w:r w:rsidR="001D512B" w:rsidRPr="00416C9C">
        <w:rPr>
          <w:rFonts w:asciiTheme="majorHAnsi" w:hAnsiTheme="majorHAnsi"/>
          <w:sz w:val="24"/>
          <w:szCs w:val="24"/>
        </w:rPr>
        <w:t>esigned to address end-user confusion</w:t>
      </w:r>
      <w:r w:rsidR="009422A3" w:rsidRPr="00416C9C">
        <w:rPr>
          <w:rFonts w:asciiTheme="majorHAnsi" w:hAnsiTheme="majorHAnsi"/>
          <w:sz w:val="24"/>
          <w:szCs w:val="24"/>
        </w:rPr>
        <w:t>.  These are contractually binding for the</w:t>
      </w:r>
      <w:r w:rsidR="001D512B" w:rsidRPr="00416C9C">
        <w:rPr>
          <w:rFonts w:asciiTheme="majorHAnsi" w:hAnsiTheme="majorHAnsi"/>
          <w:sz w:val="24"/>
          <w:szCs w:val="24"/>
        </w:rPr>
        <w:t xml:space="preserve"> gTLD registries and registrars offering IDNs at the second level</w:t>
      </w:r>
      <w:r w:rsidR="009422A3" w:rsidRPr="00416C9C">
        <w:rPr>
          <w:rFonts w:asciiTheme="majorHAnsi" w:hAnsiTheme="majorHAnsi"/>
          <w:sz w:val="24"/>
          <w:szCs w:val="24"/>
        </w:rPr>
        <w:t xml:space="preserve">.  </w:t>
      </w:r>
      <w:r w:rsidR="00B87376" w:rsidRPr="00416C9C">
        <w:rPr>
          <w:rFonts w:asciiTheme="majorHAnsi" w:hAnsiTheme="majorHAnsi"/>
          <w:sz w:val="24"/>
          <w:szCs w:val="24"/>
        </w:rPr>
        <w:t>The Guidelines</w:t>
      </w:r>
      <w:r w:rsidR="009422A3" w:rsidRPr="00416C9C">
        <w:rPr>
          <w:rFonts w:asciiTheme="majorHAnsi" w:hAnsiTheme="majorHAnsi"/>
          <w:sz w:val="24"/>
          <w:szCs w:val="24"/>
        </w:rPr>
        <w:t xml:space="preserve"> were last updated in 2011.  At ICANN 50, the GNSO community asked to update these </w:t>
      </w:r>
      <w:r w:rsidR="00B87376" w:rsidRPr="00416C9C">
        <w:rPr>
          <w:rFonts w:asciiTheme="majorHAnsi" w:hAnsiTheme="majorHAnsi"/>
          <w:sz w:val="24"/>
          <w:szCs w:val="24"/>
        </w:rPr>
        <w:t xml:space="preserve">Guidelines </w:t>
      </w:r>
      <w:r w:rsidR="009422A3" w:rsidRPr="00416C9C">
        <w:rPr>
          <w:rFonts w:asciiTheme="majorHAnsi" w:hAnsiTheme="majorHAnsi"/>
          <w:sz w:val="24"/>
          <w:szCs w:val="24"/>
        </w:rPr>
        <w:t xml:space="preserve">to incorporate the IDN development since 2011.  </w:t>
      </w:r>
      <w:r w:rsidR="00416C9C" w:rsidRPr="00416C9C">
        <w:rPr>
          <w:rFonts w:asciiTheme="majorHAnsi" w:hAnsiTheme="majorHAnsi"/>
          <w:sz w:val="24"/>
          <w:szCs w:val="24"/>
        </w:rPr>
        <w:t>A</w:t>
      </w:r>
      <w:r w:rsidR="00A80FC2" w:rsidRPr="00416C9C">
        <w:rPr>
          <w:rFonts w:asciiTheme="majorHAnsi" w:hAnsiTheme="majorHAnsi"/>
          <w:sz w:val="24"/>
          <w:szCs w:val="24"/>
        </w:rPr>
        <w:t xml:space="preserve"> working group</w:t>
      </w:r>
      <w:r w:rsidR="00416C9C">
        <w:rPr>
          <w:rFonts w:asciiTheme="majorHAnsi" w:hAnsiTheme="majorHAnsi"/>
          <w:sz w:val="24"/>
          <w:szCs w:val="24"/>
        </w:rPr>
        <w:t xml:space="preserve"> was formed, which</w:t>
      </w:r>
      <w:r w:rsidR="00A80FC2" w:rsidRPr="00416C9C">
        <w:rPr>
          <w:rFonts w:asciiTheme="majorHAnsi" w:hAnsiTheme="majorHAnsi"/>
          <w:sz w:val="24"/>
          <w:szCs w:val="24"/>
        </w:rPr>
        <w:t xml:space="preserve"> </w:t>
      </w:r>
      <w:r w:rsidR="00416C9C">
        <w:rPr>
          <w:rFonts w:asciiTheme="majorHAnsi" w:hAnsiTheme="majorHAnsi"/>
          <w:sz w:val="24"/>
          <w:szCs w:val="24"/>
        </w:rPr>
        <w:t xml:space="preserve">finalized and </w:t>
      </w:r>
      <w:hyperlink r:id="rId14" w:history="1">
        <w:r w:rsidR="00416C9C" w:rsidRPr="00416C9C">
          <w:rPr>
            <w:rStyle w:val="Hyperlink"/>
            <w:rFonts w:asciiTheme="majorHAnsi" w:hAnsiTheme="majorHAnsi"/>
            <w:sz w:val="24"/>
            <w:szCs w:val="24"/>
          </w:rPr>
          <w:t>published</w:t>
        </w:r>
      </w:hyperlink>
      <w:r w:rsidR="00416C9C">
        <w:rPr>
          <w:rFonts w:asciiTheme="majorHAnsi" w:hAnsiTheme="majorHAnsi"/>
          <w:sz w:val="24"/>
          <w:szCs w:val="24"/>
        </w:rPr>
        <w:t xml:space="preserve"> version 4.0 of IDN Guidelines in May 2018.  ICANN org is currently analyzing the requirements on gTLD registries and registrars put by these guidelines and aims to present them to the ICANN Board in January 2019 for approval.  </w:t>
      </w:r>
    </w:p>
    <w:p w:rsidR="00280C4B" w:rsidRPr="00931233" w:rsidRDefault="00280C4B" w:rsidP="00280C4B">
      <w:pPr>
        <w:pStyle w:val="Heading2"/>
        <w:rPr>
          <w:sz w:val="28"/>
          <w:szCs w:val="28"/>
        </w:rPr>
      </w:pPr>
      <w:r w:rsidRPr="00931233">
        <w:rPr>
          <w:sz w:val="28"/>
          <w:szCs w:val="28"/>
        </w:rPr>
        <w:t>Communication and Outreach</w:t>
      </w:r>
    </w:p>
    <w:p w:rsidR="00543439" w:rsidRPr="00543439" w:rsidRDefault="00543439" w:rsidP="00543439">
      <w:pPr>
        <w:rPr>
          <w:rFonts w:asciiTheme="majorHAnsi" w:hAnsiTheme="majorHAnsi"/>
          <w:sz w:val="24"/>
          <w:szCs w:val="24"/>
        </w:rPr>
      </w:pPr>
      <w:r w:rsidRPr="00543439">
        <w:rPr>
          <w:rFonts w:asciiTheme="majorHAnsi" w:hAnsiTheme="majorHAnsi"/>
          <w:sz w:val="24"/>
          <w:szCs w:val="24"/>
        </w:rPr>
        <w:t>IDN Program has been regularly reaching out to the community to update it on the progress being made and to involve them in the IDN Program work. IDN program undertook the following direct outreach since ICANN 61: (</w:t>
      </w:r>
      <w:proofErr w:type="spellStart"/>
      <w:r w:rsidRPr="00543439">
        <w:rPr>
          <w:rFonts w:asciiTheme="majorHAnsi" w:hAnsiTheme="majorHAnsi"/>
          <w:sz w:val="24"/>
          <w:szCs w:val="24"/>
        </w:rPr>
        <w:t>i</w:t>
      </w:r>
      <w:proofErr w:type="spellEnd"/>
      <w:r w:rsidRPr="00543439">
        <w:rPr>
          <w:rFonts w:asciiTheme="majorHAnsi" w:hAnsiTheme="majorHAnsi"/>
          <w:sz w:val="24"/>
          <w:szCs w:val="24"/>
        </w:rPr>
        <w:t>) Neo-B</w:t>
      </w:r>
      <w:r>
        <w:rPr>
          <w:rFonts w:asciiTheme="majorHAnsi" w:hAnsiTheme="majorHAnsi"/>
          <w:sz w:val="24"/>
          <w:szCs w:val="24"/>
        </w:rPr>
        <w:t>rahmi GP F2F meeting, April 2018</w:t>
      </w:r>
      <w:r w:rsidRPr="00543439">
        <w:rPr>
          <w:rFonts w:asciiTheme="majorHAnsi" w:hAnsiTheme="majorHAnsi"/>
          <w:sz w:val="24"/>
          <w:szCs w:val="24"/>
        </w:rPr>
        <w:t>, India, (ii) Myanmar GP kick off meeting, June 2018, Myanmar (iii) Neo-Brahmi GP F2F meeting for Bangla script</w:t>
      </w:r>
      <w:r>
        <w:rPr>
          <w:rFonts w:asciiTheme="majorHAnsi" w:hAnsiTheme="majorHAnsi"/>
          <w:sz w:val="24"/>
          <w:szCs w:val="24"/>
        </w:rPr>
        <w:t>, July 2018</w:t>
      </w:r>
      <w:r w:rsidRPr="00543439">
        <w:rPr>
          <w:rFonts w:asciiTheme="majorHAnsi" w:hAnsiTheme="majorHAnsi"/>
          <w:sz w:val="24"/>
          <w:szCs w:val="24"/>
        </w:rPr>
        <w:t>, Bangladesh, (iv) Africa DNS Forum, July 2018, Cotonou Benin, (v) APTLD74, September, Uzbekistan, (vi) Latin GP F2F meeting, October 2018, Belgium (vii) ICANN - WATRA - ITU Workshop, October 2018, Burkina Faso.</w:t>
      </w:r>
    </w:p>
    <w:p w:rsidR="00543439" w:rsidRPr="00543439" w:rsidRDefault="00543439" w:rsidP="00543439">
      <w:pPr>
        <w:tabs>
          <w:tab w:val="num" w:pos="720"/>
        </w:tabs>
        <w:rPr>
          <w:rFonts w:asciiTheme="majorHAnsi" w:hAnsiTheme="majorHAnsi"/>
          <w:sz w:val="24"/>
          <w:szCs w:val="24"/>
          <w:lang w:val="en-SG"/>
        </w:rPr>
      </w:pPr>
      <w:r w:rsidRPr="00543439">
        <w:rPr>
          <w:rFonts w:asciiTheme="majorHAnsi" w:hAnsiTheme="majorHAnsi"/>
          <w:sz w:val="24"/>
          <w:szCs w:val="24"/>
        </w:rPr>
        <w:t xml:space="preserve">In addition, the IDN Program continues to hold update sessions at ICANN meetings and publish its activities at IDN web pages at </w:t>
      </w:r>
      <w:hyperlink r:id="rId15" w:history="1">
        <w:r w:rsidRPr="00543439">
          <w:rPr>
            <w:rStyle w:val="Hyperlink"/>
            <w:rFonts w:asciiTheme="majorHAnsi" w:hAnsiTheme="majorHAnsi"/>
            <w:sz w:val="24"/>
            <w:szCs w:val="24"/>
          </w:rPr>
          <w:t>icann.org/</w:t>
        </w:r>
      </w:hyperlink>
      <w:hyperlink r:id="rId16" w:history="1">
        <w:r w:rsidRPr="00543439">
          <w:rPr>
            <w:rStyle w:val="Hyperlink"/>
            <w:rFonts w:asciiTheme="majorHAnsi" w:hAnsiTheme="majorHAnsi"/>
            <w:sz w:val="24"/>
            <w:szCs w:val="24"/>
          </w:rPr>
          <w:t>idn</w:t>
        </w:r>
      </w:hyperlink>
      <w:r w:rsidRPr="00543439">
        <w:rPr>
          <w:rFonts w:asciiTheme="majorHAnsi" w:hAnsiTheme="majorHAnsi"/>
          <w:sz w:val="24"/>
          <w:szCs w:val="24"/>
        </w:rPr>
        <w:t xml:space="preserve">.  </w:t>
      </w:r>
      <w:r w:rsidR="0082120A">
        <w:rPr>
          <w:rFonts w:asciiTheme="majorHAnsi" w:hAnsiTheme="majorHAnsi"/>
          <w:sz w:val="24"/>
          <w:szCs w:val="24"/>
        </w:rPr>
        <w:t xml:space="preserve">For queries about IDN Program, email to </w:t>
      </w:r>
      <w:hyperlink r:id="rId17" w:history="1">
        <w:r w:rsidR="0082120A" w:rsidRPr="00557CB0">
          <w:rPr>
            <w:rStyle w:val="Hyperlink"/>
            <w:rFonts w:asciiTheme="majorHAnsi" w:hAnsiTheme="majorHAnsi"/>
            <w:sz w:val="24"/>
            <w:szCs w:val="24"/>
          </w:rPr>
          <w:t>IDNProgram@icann.org</w:t>
        </w:r>
      </w:hyperlink>
      <w:r w:rsidR="0082120A">
        <w:rPr>
          <w:rFonts w:asciiTheme="majorHAnsi" w:hAnsiTheme="majorHAnsi"/>
          <w:sz w:val="24"/>
          <w:szCs w:val="24"/>
        </w:rPr>
        <w:t xml:space="preserve">. </w:t>
      </w:r>
    </w:p>
    <w:p w:rsidR="00280C4B" w:rsidRPr="00416C9C" w:rsidRDefault="00280C4B" w:rsidP="00416C9C">
      <w:pPr>
        <w:rPr>
          <w:rFonts w:asciiTheme="majorHAnsi" w:hAnsiTheme="majorHAnsi"/>
          <w:b/>
          <w:bCs/>
          <w:sz w:val="24"/>
          <w:szCs w:val="24"/>
        </w:rPr>
      </w:pPr>
    </w:p>
    <w:sectPr w:rsidR="00280C4B" w:rsidRPr="00416C9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FAF" w:rsidRDefault="00412FAF" w:rsidP="00DD68A2">
      <w:pPr>
        <w:spacing w:after="0" w:line="240" w:lineRule="auto"/>
      </w:pPr>
      <w:r>
        <w:separator/>
      </w:r>
    </w:p>
  </w:endnote>
  <w:endnote w:type="continuationSeparator" w:id="0">
    <w:p w:rsidR="00412FAF" w:rsidRDefault="00412FAF" w:rsidP="00DD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16858"/>
      <w:docPartObj>
        <w:docPartGallery w:val="Page Numbers (Bottom of Page)"/>
        <w:docPartUnique/>
      </w:docPartObj>
    </w:sdtPr>
    <w:sdtEndPr/>
    <w:sdtContent>
      <w:p w:rsidR="00EB1FF2" w:rsidRDefault="00EB1FF2">
        <w:pPr>
          <w:pStyle w:val="Footer"/>
          <w:jc w:val="center"/>
        </w:pPr>
        <w:r>
          <w:fldChar w:fldCharType="begin"/>
        </w:r>
        <w:r>
          <w:instrText xml:space="preserve"> PAGE   \* MERGEFORMAT </w:instrText>
        </w:r>
        <w:r>
          <w:fldChar w:fldCharType="separate"/>
        </w:r>
        <w:r w:rsidR="00D53F64">
          <w:rPr>
            <w:noProof/>
          </w:rPr>
          <w:t>4</w:t>
        </w:r>
        <w:r>
          <w:rPr>
            <w:noProof/>
          </w:rPr>
          <w:fldChar w:fldCharType="end"/>
        </w:r>
      </w:p>
    </w:sdtContent>
  </w:sdt>
  <w:p w:rsidR="00EB1FF2" w:rsidRDefault="00EB1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FAF" w:rsidRDefault="00412FAF" w:rsidP="00DD68A2">
      <w:pPr>
        <w:spacing w:after="0" w:line="240" w:lineRule="auto"/>
      </w:pPr>
      <w:r>
        <w:separator/>
      </w:r>
    </w:p>
  </w:footnote>
  <w:footnote w:type="continuationSeparator" w:id="0">
    <w:p w:rsidR="00412FAF" w:rsidRDefault="00412FAF" w:rsidP="00DD6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F3400"/>
    <w:multiLevelType w:val="hybridMultilevel"/>
    <w:tmpl w:val="58EA7732"/>
    <w:lvl w:ilvl="0" w:tplc="68DAF430">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445C0D"/>
    <w:multiLevelType w:val="hybridMultilevel"/>
    <w:tmpl w:val="2E746358"/>
    <w:lvl w:ilvl="0" w:tplc="B4049C8A">
      <w:start w:val="1"/>
      <w:numFmt w:val="bullet"/>
      <w:lvlText w:val=""/>
      <w:lvlJc w:val="left"/>
      <w:pPr>
        <w:tabs>
          <w:tab w:val="num" w:pos="720"/>
        </w:tabs>
        <w:ind w:left="720" w:hanging="360"/>
      </w:pPr>
      <w:rPr>
        <w:rFonts w:ascii="Wingdings" w:hAnsi="Wingdings" w:hint="default"/>
      </w:rPr>
    </w:lvl>
    <w:lvl w:ilvl="1" w:tplc="FB92C494">
      <w:numFmt w:val="bullet"/>
      <w:lvlText w:val="o"/>
      <w:lvlJc w:val="left"/>
      <w:pPr>
        <w:tabs>
          <w:tab w:val="num" w:pos="1440"/>
        </w:tabs>
        <w:ind w:left="1440" w:hanging="360"/>
      </w:pPr>
      <w:rPr>
        <w:rFonts w:ascii="Courier New" w:hAnsi="Courier New" w:hint="default"/>
      </w:rPr>
    </w:lvl>
    <w:lvl w:ilvl="2" w:tplc="D6AE92B6" w:tentative="1">
      <w:start w:val="1"/>
      <w:numFmt w:val="bullet"/>
      <w:lvlText w:val=""/>
      <w:lvlJc w:val="left"/>
      <w:pPr>
        <w:tabs>
          <w:tab w:val="num" w:pos="2160"/>
        </w:tabs>
        <w:ind w:left="2160" w:hanging="360"/>
      </w:pPr>
      <w:rPr>
        <w:rFonts w:ascii="Wingdings" w:hAnsi="Wingdings" w:hint="default"/>
      </w:rPr>
    </w:lvl>
    <w:lvl w:ilvl="3" w:tplc="F7565B50" w:tentative="1">
      <w:start w:val="1"/>
      <w:numFmt w:val="bullet"/>
      <w:lvlText w:val=""/>
      <w:lvlJc w:val="left"/>
      <w:pPr>
        <w:tabs>
          <w:tab w:val="num" w:pos="2880"/>
        </w:tabs>
        <w:ind w:left="2880" w:hanging="360"/>
      </w:pPr>
      <w:rPr>
        <w:rFonts w:ascii="Wingdings" w:hAnsi="Wingdings" w:hint="default"/>
      </w:rPr>
    </w:lvl>
    <w:lvl w:ilvl="4" w:tplc="601ED008" w:tentative="1">
      <w:start w:val="1"/>
      <w:numFmt w:val="bullet"/>
      <w:lvlText w:val=""/>
      <w:lvlJc w:val="left"/>
      <w:pPr>
        <w:tabs>
          <w:tab w:val="num" w:pos="3600"/>
        </w:tabs>
        <w:ind w:left="3600" w:hanging="360"/>
      </w:pPr>
      <w:rPr>
        <w:rFonts w:ascii="Wingdings" w:hAnsi="Wingdings" w:hint="default"/>
      </w:rPr>
    </w:lvl>
    <w:lvl w:ilvl="5" w:tplc="37D205C6" w:tentative="1">
      <w:start w:val="1"/>
      <w:numFmt w:val="bullet"/>
      <w:lvlText w:val=""/>
      <w:lvlJc w:val="left"/>
      <w:pPr>
        <w:tabs>
          <w:tab w:val="num" w:pos="4320"/>
        </w:tabs>
        <w:ind w:left="4320" w:hanging="360"/>
      </w:pPr>
      <w:rPr>
        <w:rFonts w:ascii="Wingdings" w:hAnsi="Wingdings" w:hint="default"/>
      </w:rPr>
    </w:lvl>
    <w:lvl w:ilvl="6" w:tplc="C8AE6C88" w:tentative="1">
      <w:start w:val="1"/>
      <w:numFmt w:val="bullet"/>
      <w:lvlText w:val=""/>
      <w:lvlJc w:val="left"/>
      <w:pPr>
        <w:tabs>
          <w:tab w:val="num" w:pos="5040"/>
        </w:tabs>
        <w:ind w:left="5040" w:hanging="360"/>
      </w:pPr>
      <w:rPr>
        <w:rFonts w:ascii="Wingdings" w:hAnsi="Wingdings" w:hint="default"/>
      </w:rPr>
    </w:lvl>
    <w:lvl w:ilvl="7" w:tplc="0226BF14" w:tentative="1">
      <w:start w:val="1"/>
      <w:numFmt w:val="bullet"/>
      <w:lvlText w:val=""/>
      <w:lvlJc w:val="left"/>
      <w:pPr>
        <w:tabs>
          <w:tab w:val="num" w:pos="5760"/>
        </w:tabs>
        <w:ind w:left="5760" w:hanging="360"/>
      </w:pPr>
      <w:rPr>
        <w:rFonts w:ascii="Wingdings" w:hAnsi="Wingdings" w:hint="default"/>
      </w:rPr>
    </w:lvl>
    <w:lvl w:ilvl="8" w:tplc="1624DF8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00F8"/>
    <w:rsid w:val="000449DF"/>
    <w:rsid w:val="000909DE"/>
    <w:rsid w:val="00131EAF"/>
    <w:rsid w:val="00136DC2"/>
    <w:rsid w:val="001641D3"/>
    <w:rsid w:val="00171CC7"/>
    <w:rsid w:val="001832B5"/>
    <w:rsid w:val="00183487"/>
    <w:rsid w:val="00191278"/>
    <w:rsid w:val="001D512B"/>
    <w:rsid w:val="001E377A"/>
    <w:rsid w:val="00224783"/>
    <w:rsid w:val="002528CE"/>
    <w:rsid w:val="0027012F"/>
    <w:rsid w:val="00280C4B"/>
    <w:rsid w:val="002A4A05"/>
    <w:rsid w:val="0031353C"/>
    <w:rsid w:val="003413A2"/>
    <w:rsid w:val="003717E6"/>
    <w:rsid w:val="00374CD2"/>
    <w:rsid w:val="003A0ECA"/>
    <w:rsid w:val="003A2640"/>
    <w:rsid w:val="003A3672"/>
    <w:rsid w:val="003B6D48"/>
    <w:rsid w:val="003F394E"/>
    <w:rsid w:val="003F4AAF"/>
    <w:rsid w:val="004063BC"/>
    <w:rsid w:val="00412FAF"/>
    <w:rsid w:val="00416C9C"/>
    <w:rsid w:val="00446E27"/>
    <w:rsid w:val="004702B2"/>
    <w:rsid w:val="00492FE9"/>
    <w:rsid w:val="004F4147"/>
    <w:rsid w:val="00543439"/>
    <w:rsid w:val="0054463B"/>
    <w:rsid w:val="0059564E"/>
    <w:rsid w:val="00597EAD"/>
    <w:rsid w:val="005B2917"/>
    <w:rsid w:val="005C144D"/>
    <w:rsid w:val="005F1E68"/>
    <w:rsid w:val="00626D86"/>
    <w:rsid w:val="00631ADA"/>
    <w:rsid w:val="00682455"/>
    <w:rsid w:val="006A315E"/>
    <w:rsid w:val="006A42EB"/>
    <w:rsid w:val="006A7B5E"/>
    <w:rsid w:val="006D06E2"/>
    <w:rsid w:val="00713702"/>
    <w:rsid w:val="007374D4"/>
    <w:rsid w:val="00755DA8"/>
    <w:rsid w:val="0075702C"/>
    <w:rsid w:val="00786823"/>
    <w:rsid w:val="007A00F8"/>
    <w:rsid w:val="007A0D9E"/>
    <w:rsid w:val="007C17AB"/>
    <w:rsid w:val="007C72EE"/>
    <w:rsid w:val="007C7620"/>
    <w:rsid w:val="007D6751"/>
    <w:rsid w:val="007E12B5"/>
    <w:rsid w:val="007E7DCA"/>
    <w:rsid w:val="0082120A"/>
    <w:rsid w:val="008940C7"/>
    <w:rsid w:val="008A1A52"/>
    <w:rsid w:val="008B3469"/>
    <w:rsid w:val="008D44B5"/>
    <w:rsid w:val="0090345B"/>
    <w:rsid w:val="00931233"/>
    <w:rsid w:val="009422A3"/>
    <w:rsid w:val="0094537F"/>
    <w:rsid w:val="00946E16"/>
    <w:rsid w:val="00953A93"/>
    <w:rsid w:val="00964E32"/>
    <w:rsid w:val="0098741F"/>
    <w:rsid w:val="009A1B6B"/>
    <w:rsid w:val="009D3F21"/>
    <w:rsid w:val="009D6D70"/>
    <w:rsid w:val="009F6375"/>
    <w:rsid w:val="00A45836"/>
    <w:rsid w:val="00A80FC2"/>
    <w:rsid w:val="00AB13EF"/>
    <w:rsid w:val="00AB44C0"/>
    <w:rsid w:val="00AF55DB"/>
    <w:rsid w:val="00B144A3"/>
    <w:rsid w:val="00B250C2"/>
    <w:rsid w:val="00B348CC"/>
    <w:rsid w:val="00B87376"/>
    <w:rsid w:val="00BA1CF4"/>
    <w:rsid w:val="00BB2EEE"/>
    <w:rsid w:val="00BC7805"/>
    <w:rsid w:val="00BF724D"/>
    <w:rsid w:val="00C30B4F"/>
    <w:rsid w:val="00C46846"/>
    <w:rsid w:val="00C65CA2"/>
    <w:rsid w:val="00C85805"/>
    <w:rsid w:val="00D25757"/>
    <w:rsid w:val="00D53F64"/>
    <w:rsid w:val="00DC4347"/>
    <w:rsid w:val="00DD68A2"/>
    <w:rsid w:val="00E00279"/>
    <w:rsid w:val="00E049D9"/>
    <w:rsid w:val="00E05797"/>
    <w:rsid w:val="00E27B10"/>
    <w:rsid w:val="00E460A1"/>
    <w:rsid w:val="00E51001"/>
    <w:rsid w:val="00E55E52"/>
    <w:rsid w:val="00E578E0"/>
    <w:rsid w:val="00EA3608"/>
    <w:rsid w:val="00EB1FF2"/>
    <w:rsid w:val="00EF2F7A"/>
    <w:rsid w:val="00F11DB5"/>
    <w:rsid w:val="00F169CA"/>
    <w:rsid w:val="00F209F4"/>
    <w:rsid w:val="00F261C4"/>
    <w:rsid w:val="00FA1A78"/>
    <w:rsid w:val="00FA2D73"/>
    <w:rsid w:val="00FB1664"/>
    <w:rsid w:val="00FC7B82"/>
    <w:rsid w:val="00FF1564"/>
    <w:rsid w:val="00FF3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D15B"/>
  <w15:docId w15:val="{F07541C2-75F7-4D91-BA10-B22360AE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0F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A00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0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A00F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A00F8"/>
    <w:pPr>
      <w:ind w:left="720"/>
      <w:contextualSpacing/>
    </w:pPr>
  </w:style>
  <w:style w:type="paragraph" w:styleId="Header">
    <w:name w:val="header"/>
    <w:basedOn w:val="Normal"/>
    <w:link w:val="HeaderChar"/>
    <w:uiPriority w:val="99"/>
    <w:semiHidden/>
    <w:unhideWhenUsed/>
    <w:rsid w:val="00DD68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8A2"/>
  </w:style>
  <w:style w:type="paragraph" w:styleId="Footer">
    <w:name w:val="footer"/>
    <w:basedOn w:val="Normal"/>
    <w:link w:val="FooterChar"/>
    <w:uiPriority w:val="99"/>
    <w:unhideWhenUsed/>
    <w:rsid w:val="00DD6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8A2"/>
  </w:style>
  <w:style w:type="character" w:styleId="Hyperlink">
    <w:name w:val="Hyperlink"/>
    <w:basedOn w:val="DefaultParagraphFont"/>
    <w:uiPriority w:val="99"/>
    <w:unhideWhenUsed/>
    <w:rsid w:val="006D06E2"/>
    <w:rPr>
      <w:color w:val="0000FF" w:themeColor="hyperlink"/>
      <w:u w:val="single"/>
    </w:rPr>
  </w:style>
  <w:style w:type="character" w:styleId="FollowedHyperlink">
    <w:name w:val="FollowedHyperlink"/>
    <w:basedOn w:val="DefaultParagraphFont"/>
    <w:uiPriority w:val="99"/>
    <w:semiHidden/>
    <w:unhideWhenUsed/>
    <w:rsid w:val="001E377A"/>
    <w:rPr>
      <w:color w:val="800080" w:themeColor="followedHyperlink"/>
      <w:u w:val="single"/>
    </w:rPr>
  </w:style>
  <w:style w:type="character" w:styleId="UnresolvedMention">
    <w:name w:val="Unresolved Mention"/>
    <w:basedOn w:val="DefaultParagraphFont"/>
    <w:uiPriority w:val="99"/>
    <w:semiHidden/>
    <w:unhideWhenUsed/>
    <w:rsid w:val="001E37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8906">
      <w:bodyDiv w:val="1"/>
      <w:marLeft w:val="0"/>
      <w:marRight w:val="0"/>
      <w:marTop w:val="0"/>
      <w:marBottom w:val="0"/>
      <w:divBdr>
        <w:top w:val="none" w:sz="0" w:space="0" w:color="auto"/>
        <w:left w:val="none" w:sz="0" w:space="0" w:color="auto"/>
        <w:bottom w:val="none" w:sz="0" w:space="0" w:color="auto"/>
        <w:right w:val="none" w:sz="0" w:space="0" w:color="auto"/>
      </w:divBdr>
      <w:divsChild>
        <w:div w:id="87384101">
          <w:marLeft w:val="446"/>
          <w:marRight w:val="0"/>
          <w:marTop w:val="400"/>
          <w:marBottom w:val="0"/>
          <w:divBdr>
            <w:top w:val="none" w:sz="0" w:space="0" w:color="auto"/>
            <w:left w:val="none" w:sz="0" w:space="0" w:color="auto"/>
            <w:bottom w:val="none" w:sz="0" w:space="0" w:color="auto"/>
            <w:right w:val="none" w:sz="0" w:space="0" w:color="auto"/>
          </w:divBdr>
        </w:div>
        <w:div w:id="1516770730">
          <w:marLeft w:val="1267"/>
          <w:marRight w:val="0"/>
          <w:marTop w:val="100"/>
          <w:marBottom w:val="0"/>
          <w:divBdr>
            <w:top w:val="none" w:sz="0" w:space="0" w:color="auto"/>
            <w:left w:val="none" w:sz="0" w:space="0" w:color="auto"/>
            <w:bottom w:val="none" w:sz="0" w:space="0" w:color="auto"/>
            <w:right w:val="none" w:sz="0" w:space="0" w:color="auto"/>
          </w:divBdr>
        </w:div>
        <w:div w:id="1307197610">
          <w:marLeft w:val="1267"/>
          <w:marRight w:val="0"/>
          <w:marTop w:val="100"/>
          <w:marBottom w:val="0"/>
          <w:divBdr>
            <w:top w:val="none" w:sz="0" w:space="0" w:color="auto"/>
            <w:left w:val="none" w:sz="0" w:space="0" w:color="auto"/>
            <w:bottom w:val="none" w:sz="0" w:space="0" w:color="auto"/>
            <w:right w:val="none" w:sz="0" w:space="0" w:color="auto"/>
          </w:divBdr>
        </w:div>
        <w:div w:id="1726949764">
          <w:marLeft w:val="1267"/>
          <w:marRight w:val="0"/>
          <w:marTop w:val="100"/>
          <w:marBottom w:val="0"/>
          <w:divBdr>
            <w:top w:val="none" w:sz="0" w:space="0" w:color="auto"/>
            <w:left w:val="none" w:sz="0" w:space="0" w:color="auto"/>
            <w:bottom w:val="none" w:sz="0" w:space="0" w:color="auto"/>
            <w:right w:val="none" w:sz="0" w:space="0" w:color="auto"/>
          </w:divBdr>
        </w:div>
        <w:div w:id="794448817">
          <w:marLeft w:val="1267"/>
          <w:marRight w:val="0"/>
          <w:marTop w:val="100"/>
          <w:marBottom w:val="0"/>
          <w:divBdr>
            <w:top w:val="none" w:sz="0" w:space="0" w:color="auto"/>
            <w:left w:val="none" w:sz="0" w:space="0" w:color="auto"/>
            <w:bottom w:val="none" w:sz="0" w:space="0" w:color="auto"/>
            <w:right w:val="none" w:sz="0" w:space="0" w:color="auto"/>
          </w:divBdr>
        </w:div>
        <w:div w:id="1468010311">
          <w:marLeft w:val="446"/>
          <w:marRight w:val="0"/>
          <w:marTop w:val="400"/>
          <w:marBottom w:val="0"/>
          <w:divBdr>
            <w:top w:val="none" w:sz="0" w:space="0" w:color="auto"/>
            <w:left w:val="none" w:sz="0" w:space="0" w:color="auto"/>
            <w:bottom w:val="none" w:sz="0" w:space="0" w:color="auto"/>
            <w:right w:val="none" w:sz="0" w:space="0" w:color="auto"/>
          </w:divBdr>
        </w:div>
        <w:div w:id="1466241166">
          <w:marLeft w:val="446"/>
          <w:marRight w:val="0"/>
          <w:marTop w:val="400"/>
          <w:marBottom w:val="0"/>
          <w:divBdr>
            <w:top w:val="none" w:sz="0" w:space="0" w:color="auto"/>
            <w:left w:val="none" w:sz="0" w:space="0" w:color="auto"/>
            <w:bottom w:val="none" w:sz="0" w:space="0" w:color="auto"/>
            <w:right w:val="none" w:sz="0" w:space="0" w:color="auto"/>
          </w:divBdr>
        </w:div>
        <w:div w:id="1800880652">
          <w:marLeft w:val="446"/>
          <w:marRight w:val="0"/>
          <w:marTop w:val="400"/>
          <w:marBottom w:val="0"/>
          <w:divBdr>
            <w:top w:val="none" w:sz="0" w:space="0" w:color="auto"/>
            <w:left w:val="none" w:sz="0" w:space="0" w:color="auto"/>
            <w:bottom w:val="none" w:sz="0" w:space="0" w:color="auto"/>
            <w:right w:val="none" w:sz="0" w:space="0" w:color="auto"/>
          </w:divBdr>
        </w:div>
        <w:div w:id="52892270">
          <w:marLeft w:val="446"/>
          <w:marRight w:val="0"/>
          <w:marTop w:val="400"/>
          <w:marBottom w:val="0"/>
          <w:divBdr>
            <w:top w:val="none" w:sz="0" w:space="0" w:color="auto"/>
            <w:left w:val="none" w:sz="0" w:space="0" w:color="auto"/>
            <w:bottom w:val="none" w:sz="0" w:space="0" w:color="auto"/>
            <w:right w:val="none" w:sz="0" w:space="0" w:color="auto"/>
          </w:divBdr>
        </w:div>
      </w:divsChild>
    </w:div>
    <w:div w:id="459954732">
      <w:bodyDiv w:val="1"/>
      <w:marLeft w:val="0"/>
      <w:marRight w:val="0"/>
      <w:marTop w:val="0"/>
      <w:marBottom w:val="0"/>
      <w:divBdr>
        <w:top w:val="none" w:sz="0" w:space="0" w:color="auto"/>
        <w:left w:val="none" w:sz="0" w:space="0" w:color="auto"/>
        <w:bottom w:val="none" w:sz="0" w:space="0" w:color="auto"/>
        <w:right w:val="none" w:sz="0" w:space="0" w:color="auto"/>
      </w:divBdr>
    </w:div>
    <w:div w:id="603728648">
      <w:bodyDiv w:val="1"/>
      <w:marLeft w:val="0"/>
      <w:marRight w:val="0"/>
      <w:marTop w:val="0"/>
      <w:marBottom w:val="0"/>
      <w:divBdr>
        <w:top w:val="none" w:sz="0" w:space="0" w:color="auto"/>
        <w:left w:val="none" w:sz="0" w:space="0" w:color="auto"/>
        <w:bottom w:val="none" w:sz="0" w:space="0" w:color="auto"/>
        <w:right w:val="none" w:sz="0" w:space="0" w:color="auto"/>
      </w:divBdr>
    </w:div>
    <w:div w:id="981498793">
      <w:bodyDiv w:val="1"/>
      <w:marLeft w:val="0"/>
      <w:marRight w:val="0"/>
      <w:marTop w:val="0"/>
      <w:marBottom w:val="0"/>
      <w:divBdr>
        <w:top w:val="none" w:sz="0" w:space="0" w:color="auto"/>
        <w:left w:val="none" w:sz="0" w:space="0" w:color="auto"/>
        <w:bottom w:val="none" w:sz="0" w:space="0" w:color="auto"/>
        <w:right w:val="none" w:sz="0" w:space="0" w:color="auto"/>
      </w:divBdr>
    </w:div>
    <w:div w:id="1277909316">
      <w:bodyDiv w:val="1"/>
      <w:marLeft w:val="0"/>
      <w:marRight w:val="0"/>
      <w:marTop w:val="0"/>
      <w:marBottom w:val="0"/>
      <w:divBdr>
        <w:top w:val="none" w:sz="0" w:space="0" w:color="auto"/>
        <w:left w:val="none" w:sz="0" w:space="0" w:color="auto"/>
        <w:bottom w:val="none" w:sz="0" w:space="0" w:color="auto"/>
        <w:right w:val="none" w:sz="0" w:space="0" w:color="auto"/>
      </w:divBdr>
    </w:div>
    <w:div w:id="144437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msr-3-2018-01-17-en" TargetMode="External"/><Relationship Id="rId13" Type="http://schemas.openxmlformats.org/officeDocument/2006/relationships/hyperlink" Target="https://www.icann.org/public-comments/managing-idn-variant-tlds-2018-07-25-e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ann.org/resources/pages/msr-2015-06-21-en" TargetMode="External"/><Relationship Id="rId12" Type="http://schemas.openxmlformats.org/officeDocument/2006/relationships/hyperlink" Target="https://www.icann.org/resources/pages/lgr-toolset-2015-06-21-en" TargetMode="External"/><Relationship Id="rId17" Type="http://schemas.openxmlformats.org/officeDocument/2006/relationships/hyperlink" Target="mailto:IDNProgram@icann.org" TargetMode="External"/><Relationship Id="rId2" Type="http://schemas.openxmlformats.org/officeDocument/2006/relationships/styles" Target="styles.xml"/><Relationship Id="rId16" Type="http://schemas.openxmlformats.org/officeDocument/2006/relationships/hyperlink" Target="http://www.icann.org/id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icann.org/idn" TargetMode="External"/><Relationship Id="rId10" Type="http://schemas.openxmlformats.org/officeDocument/2006/relationships/hyperlink" Target="https://www.icann.org/resources/pages/lgr-proposals-2015-12-01-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nn.org/resources/pages/root-zone-lgr-2015-06-21-en" TargetMode="External"/><Relationship Id="rId14" Type="http://schemas.openxmlformats.org/officeDocument/2006/relationships/hyperlink" Target="https://www.icann.org/resources/pages/implementation-guideline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Sarmad Hussain</cp:lastModifiedBy>
  <cp:revision>2</cp:revision>
  <dcterms:created xsi:type="dcterms:W3CDTF">2018-10-16T12:14:00Z</dcterms:created>
  <dcterms:modified xsi:type="dcterms:W3CDTF">2018-10-16T12:14:00Z</dcterms:modified>
</cp:coreProperties>
</file>