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header2.xml" ContentType="application/vnd.openxmlformats-officedocument.wordprocessingml.header+xml"/>
  <Override PartName="/word/fontTable.xml" ContentType="application/vnd.openxmlformats-officedocument.wordprocessingml.fontTable+xml"/>
  <Override PartName="/customXml/itemProps2.xml" ContentType="application/vnd.openxmlformats-officedocument.customXmlProperties+xml"/>
  <Override PartName="/word/footer3.xml" ContentType="application/vnd.openxmlformats-officedocument.wordprocessingml.footer+xml"/>
  <Override PartName="/customXml/itemProps1.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styles.xml" ContentType="application/vnd.openxmlformats-officedocument.wordprocessingml.styles+xml"/>
  <Override PartName="/word/footer2.xml" ContentType="application/vnd.openxmlformats-officedocument.wordprocessingml.footer+xml"/>
  <Override PartName="/docProps/custom.xml" ContentType="application/vnd.openxmlformats-officedocument.custom-properties+xml"/>
  <Default Extension="png" ContentType="image/png"/>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C7403" w14:textId="09D9F1CA" w:rsidR="000160F1" w:rsidRDefault="009A3795" w:rsidP="000160F1">
      <w:pPr>
        <w:pStyle w:val="MemoHeading"/>
      </w:pPr>
      <w:r>
        <w:t>MEMORANDUM</w:t>
      </w:r>
    </w:p>
    <w:p w14:paraId="478B6816" w14:textId="77777777" w:rsidR="000160F1" w:rsidRPr="00C13973" w:rsidRDefault="000160F1" w:rsidP="00A03193">
      <w:pPr>
        <w:pStyle w:val="MemoHeading"/>
        <w:spacing w:after="0"/>
      </w:pPr>
    </w:p>
    <w:tbl>
      <w:tblPr>
        <w:tblStyle w:val="TableGrid"/>
        <w:tblW w:w="0" w:type="auto"/>
        <w:tblBorders>
          <w:top w:val="none" w:sz="0" w:space="0" w:color="auto"/>
          <w:left w:val="none" w:sz="0" w:space="0" w:color="auto"/>
          <w:bottom w:val="thick" w:sz="0" w:space="0" w:color="000000"/>
          <w:right w:val="none" w:sz="0" w:space="0" w:color="auto"/>
          <w:insideH w:val="none" w:sz="0" w:space="0" w:color="auto"/>
          <w:insideV w:val="none" w:sz="0" w:space="0" w:color="auto"/>
        </w:tblBorders>
        <w:tblLook w:val="04A0" w:firstRow="1" w:lastRow="0" w:firstColumn="1" w:lastColumn="0" w:noHBand="0" w:noVBand="1"/>
      </w:tblPr>
      <w:tblGrid>
        <w:gridCol w:w="2004"/>
        <w:gridCol w:w="7066"/>
      </w:tblGrid>
      <w:tr w:rsidR="000160F1" w14:paraId="631D6852" w14:textId="77777777" w:rsidTr="009852C1">
        <w:tc>
          <w:tcPr>
            <w:tcW w:w="2004" w:type="dxa"/>
          </w:tcPr>
          <w:p w14:paraId="4A24FB65" w14:textId="77777777" w:rsidR="000160F1" w:rsidRPr="005D7FA5" w:rsidRDefault="009A3795" w:rsidP="003777C5">
            <w:pPr>
              <w:pStyle w:val="BBBodyTextNoSpacing"/>
              <w:rPr>
                <w:b/>
              </w:rPr>
            </w:pPr>
            <w:r>
              <w:rPr>
                <w:b/>
              </w:rPr>
              <w:t>To</w:t>
            </w:r>
            <w:r w:rsidR="000160F1" w:rsidRPr="005D7FA5">
              <w:rPr>
                <w:b/>
              </w:rPr>
              <w:t>:</w:t>
            </w:r>
          </w:p>
        </w:tc>
        <w:tc>
          <w:tcPr>
            <w:tcW w:w="7066" w:type="dxa"/>
          </w:tcPr>
          <w:p w14:paraId="07CD1EA6" w14:textId="77777777" w:rsidR="000160F1" w:rsidRDefault="009A3795" w:rsidP="003777C5">
            <w:pPr>
              <w:pStyle w:val="BBBodyTextNoSpacing"/>
            </w:pPr>
            <w:r>
              <w:t>Internet Corporation for Assigned Names and Numbers, EPDP Team</w:t>
            </w:r>
          </w:p>
        </w:tc>
      </w:tr>
      <w:tr w:rsidR="000160F1" w14:paraId="0C47DD44" w14:textId="77777777" w:rsidTr="009852C1">
        <w:tc>
          <w:tcPr>
            <w:tcW w:w="2004" w:type="dxa"/>
          </w:tcPr>
          <w:p w14:paraId="7A37FD75" w14:textId="77777777" w:rsidR="000160F1" w:rsidRPr="005D7FA5" w:rsidRDefault="009A3795" w:rsidP="003777C5">
            <w:pPr>
              <w:pStyle w:val="BBBodyTextNoSpacing"/>
              <w:rPr>
                <w:b/>
              </w:rPr>
            </w:pPr>
            <w:r>
              <w:rPr>
                <w:b/>
              </w:rPr>
              <w:t>From</w:t>
            </w:r>
            <w:r w:rsidR="000160F1" w:rsidRPr="005D7FA5">
              <w:rPr>
                <w:b/>
              </w:rPr>
              <w:t>:</w:t>
            </w:r>
          </w:p>
        </w:tc>
        <w:tc>
          <w:tcPr>
            <w:tcW w:w="7066" w:type="dxa"/>
          </w:tcPr>
          <w:p w14:paraId="51037261" w14:textId="77777777" w:rsidR="000160F1" w:rsidRDefault="009A3795" w:rsidP="003777C5">
            <w:pPr>
              <w:pStyle w:val="BBBodyTextNoSpacing"/>
            </w:pPr>
            <w:r>
              <w:t>Ruth Boardman &amp; Phil Bradley-Schmieg</w:t>
            </w:r>
          </w:p>
        </w:tc>
      </w:tr>
      <w:tr w:rsidR="000160F1" w14:paraId="6BAB88C9" w14:textId="77777777" w:rsidTr="009852C1">
        <w:tc>
          <w:tcPr>
            <w:tcW w:w="2004" w:type="dxa"/>
          </w:tcPr>
          <w:p w14:paraId="3C002E01" w14:textId="77777777" w:rsidR="000160F1" w:rsidRPr="005D7FA5" w:rsidRDefault="009A3795" w:rsidP="003777C5">
            <w:pPr>
              <w:pStyle w:val="BBBodyTextNoSpacing"/>
              <w:rPr>
                <w:b/>
              </w:rPr>
            </w:pPr>
            <w:r>
              <w:rPr>
                <w:b/>
              </w:rPr>
              <w:t>Date</w:t>
            </w:r>
            <w:r w:rsidR="000160F1" w:rsidRPr="005D7FA5">
              <w:rPr>
                <w:b/>
              </w:rPr>
              <w:t>:</w:t>
            </w:r>
          </w:p>
        </w:tc>
        <w:tc>
          <w:tcPr>
            <w:tcW w:w="7066" w:type="dxa"/>
          </w:tcPr>
          <w:p w14:paraId="6DF1ADF5" w14:textId="589143F5" w:rsidR="000160F1" w:rsidRDefault="00442C80" w:rsidP="003777C5">
            <w:pPr>
              <w:pStyle w:val="BBBodyTextNoSpacing"/>
            </w:pPr>
            <w:r>
              <w:t>9</w:t>
            </w:r>
            <w:r w:rsidR="009F60E2">
              <w:t xml:space="preserve"> April </w:t>
            </w:r>
            <w:r w:rsidR="009A3795">
              <w:t>2021</w:t>
            </w:r>
          </w:p>
        </w:tc>
      </w:tr>
      <w:tr w:rsidR="000160F1" w14:paraId="29E2B580" w14:textId="77777777" w:rsidTr="009852C1">
        <w:tc>
          <w:tcPr>
            <w:tcW w:w="2004" w:type="dxa"/>
          </w:tcPr>
          <w:p w14:paraId="059D7D55" w14:textId="77777777" w:rsidR="000160F1" w:rsidRPr="005D7FA5" w:rsidRDefault="009A3795" w:rsidP="003777C5">
            <w:pPr>
              <w:pStyle w:val="BBBodyTextNoSpacing"/>
              <w:rPr>
                <w:b/>
              </w:rPr>
            </w:pPr>
            <w:r>
              <w:rPr>
                <w:b/>
              </w:rPr>
              <w:t>Subject</w:t>
            </w:r>
            <w:r w:rsidR="000160F1" w:rsidRPr="005D7FA5">
              <w:rPr>
                <w:b/>
              </w:rPr>
              <w:t>:</w:t>
            </w:r>
          </w:p>
        </w:tc>
        <w:tc>
          <w:tcPr>
            <w:tcW w:w="7066" w:type="dxa"/>
          </w:tcPr>
          <w:p w14:paraId="05DDD28A" w14:textId="71F390AB" w:rsidR="000160F1" w:rsidRDefault="009A3795" w:rsidP="003777C5">
            <w:pPr>
              <w:pStyle w:val="BBBodyTextNoSpacing"/>
            </w:pPr>
            <w:r>
              <w:t xml:space="preserve">March 2021 question regarding </w:t>
            </w:r>
            <w:r w:rsidR="00C842D8">
              <w:t xml:space="preserve">options for </w:t>
            </w:r>
            <w:r w:rsidR="00442C80">
              <w:t xml:space="preserve">contact </w:t>
            </w:r>
            <w:r w:rsidR="00C842D8">
              <w:t>address masking</w:t>
            </w:r>
          </w:p>
        </w:tc>
      </w:tr>
      <w:tr w:rsidR="00807CA0" w14:paraId="63E2675E" w14:textId="77777777">
        <w:tc>
          <w:tcPr>
            <w:tcW w:w="0" w:type="auto"/>
          </w:tcPr>
          <w:p w14:paraId="51E019A3" w14:textId="77777777" w:rsidR="00807CA0" w:rsidRDefault="00807CA0"/>
        </w:tc>
        <w:tc>
          <w:tcPr>
            <w:tcW w:w="0" w:type="auto"/>
          </w:tcPr>
          <w:p w14:paraId="1D4464F9" w14:textId="77777777" w:rsidR="00807CA0" w:rsidRDefault="00807CA0"/>
        </w:tc>
      </w:tr>
    </w:tbl>
    <w:p w14:paraId="7FA462DA" w14:textId="77777777" w:rsidR="009852C1" w:rsidRDefault="009852C1" w:rsidP="009852C1">
      <w:pPr>
        <w:pStyle w:val="BodyText"/>
      </w:pPr>
    </w:p>
    <w:p w14:paraId="60714000" w14:textId="69BDD31D" w:rsidR="009852C1" w:rsidRDefault="00193AE4" w:rsidP="00193AE4">
      <w:pPr>
        <w:pStyle w:val="BBHeading0Lower"/>
      </w:pPr>
      <w:bookmarkStart w:id="0" w:name="bmkStartHere"/>
      <w:bookmarkEnd w:id="0"/>
      <w:r>
        <w:t>Background</w:t>
      </w:r>
    </w:p>
    <w:p w14:paraId="76426EF0" w14:textId="0890A74F" w:rsidR="007154F2" w:rsidRDefault="00527385" w:rsidP="00527385">
      <w:pPr>
        <w:pStyle w:val="BBClause1"/>
      </w:pPr>
      <w:bookmarkStart w:id="1" w:name="_Ref68110825"/>
      <w:r>
        <w:t xml:space="preserve">The </w:t>
      </w:r>
      <w:r w:rsidR="004B73A4">
        <w:t>European Data Protection Board (“</w:t>
      </w:r>
      <w:r>
        <w:t>EDPB</w:t>
      </w:r>
      <w:r w:rsidR="004B73A4">
        <w:t>”)</w:t>
      </w:r>
      <w:r>
        <w:t xml:space="preserve">, in </w:t>
      </w:r>
      <w:hyperlink r:id="rId9" w:history="1">
        <w:r w:rsidR="00CE1154">
          <w:rPr>
            <w:rStyle w:val="Hyperlink"/>
          </w:rPr>
          <w:t>a July 2018 letter to Göran Marby</w:t>
        </w:r>
      </w:hyperlink>
      <w:r>
        <w:t>, stated that</w:t>
      </w:r>
      <w:r w:rsidR="007154F2">
        <w:t>:</w:t>
      </w:r>
      <w:bookmarkEnd w:id="1"/>
    </w:p>
    <w:p w14:paraId="31F4013B" w14:textId="3F1583EA" w:rsidR="00334F4C" w:rsidRDefault="00527385" w:rsidP="007154F2">
      <w:pPr>
        <w:pStyle w:val="BBClause1"/>
        <w:numPr>
          <w:ilvl w:val="0"/>
          <w:numId w:val="0"/>
        </w:numPr>
        <w:ind w:left="720"/>
      </w:pPr>
      <w:bookmarkStart w:id="2" w:name="_Hlk68020183"/>
      <w:r w:rsidRPr="00527385">
        <w:t>“</w:t>
      </w:r>
      <w:r w:rsidRPr="007154F2">
        <w:rPr>
          <w:i/>
          <w:iCs/>
          <w:color w:val="365F91" w:themeColor="accent1" w:themeShade="BF"/>
        </w:rPr>
        <w:t>personal data identifying individual employees (or third parties) acting on behalf of the registrant should not be made publicly available by default in the context of WHOIS</w:t>
      </w:r>
      <w:r w:rsidRPr="00527385">
        <w:t>”</w:t>
      </w:r>
      <w:r>
        <w:t>.</w:t>
      </w:r>
    </w:p>
    <w:bookmarkEnd w:id="2"/>
    <w:p w14:paraId="5A2D92FA" w14:textId="2F6D0D4B" w:rsidR="00C10439" w:rsidRDefault="00C10439" w:rsidP="0008692F">
      <w:pPr>
        <w:pStyle w:val="BBClause1"/>
      </w:pPr>
      <w:r>
        <w:t>Against this background</w:t>
      </w:r>
      <w:r w:rsidR="00C842D8">
        <w:t xml:space="preserve"> and building on previous advice you have received in this matter</w:t>
      </w:r>
      <w:r>
        <w:t xml:space="preserve">, you have raised </w:t>
      </w:r>
      <w:r w:rsidR="00C842D8">
        <w:t>the following question</w:t>
      </w:r>
      <w:r>
        <w:t>.</w:t>
      </w:r>
    </w:p>
    <w:tbl>
      <w:tblPr>
        <w:tblStyle w:val="TableGrid"/>
        <w:tblW w:w="0" w:type="auto"/>
        <w:tblLook w:val="04A0" w:firstRow="1" w:lastRow="0" w:firstColumn="1" w:lastColumn="0" w:noHBand="0" w:noVBand="1"/>
      </w:tblPr>
      <w:tblGrid>
        <w:gridCol w:w="9060"/>
      </w:tblGrid>
      <w:tr w:rsidR="0008692F" w14:paraId="1C5791B6" w14:textId="77777777" w:rsidTr="0008692F">
        <w:tc>
          <w:tcPr>
            <w:tcW w:w="9060" w:type="dxa"/>
          </w:tcPr>
          <w:p w14:paraId="57AD06DC" w14:textId="652F91C2" w:rsidR="00442C80" w:rsidRPr="00442C80" w:rsidRDefault="0008692F" w:rsidP="00442C80">
            <w:pPr>
              <w:spacing w:after="240"/>
              <w:rPr>
                <w:rFonts w:ascii="Calibri" w:hAnsi="Calibri"/>
                <w:color w:val="808080" w:themeColor="background1" w:themeShade="80"/>
                <w:sz w:val="24"/>
                <w:szCs w:val="24"/>
                <w:lang w:val="en-US" w:eastAsia="en-GB"/>
              </w:rPr>
            </w:pPr>
            <w:r w:rsidRPr="0024456E">
              <w:rPr>
                <w:b/>
                <w:bCs/>
                <w:i/>
                <w:iCs/>
                <w:color w:val="595959" w:themeColor="text1" w:themeTint="A6"/>
              </w:rPr>
              <w:t>Question presented:</w:t>
            </w:r>
            <w:r w:rsidRPr="0024456E">
              <w:rPr>
                <w:color w:val="595959" w:themeColor="text1" w:themeTint="A6"/>
              </w:rPr>
              <w:t xml:space="preserve"> </w:t>
            </w:r>
            <w:r w:rsidR="00442C80" w:rsidRPr="00442C80">
              <w:rPr>
                <w:color w:val="808080" w:themeColor="background1" w:themeShade="80"/>
                <w:lang w:val="en-US"/>
              </w:rPr>
              <w:t xml:space="preserve">B&amp;B’s </w:t>
            </w:r>
            <w:hyperlink r:id="rId10" w:history="1">
              <w:r w:rsidR="00442C80" w:rsidRPr="00DC6306">
                <w:rPr>
                  <w:rStyle w:val="Hyperlink"/>
                  <w:lang w:val="en-US"/>
                  <w14:textFill>
                    <w14:solidFill>
                      <w14:srgbClr w14:val="0000FF">
                        <w14:lumMod w14:val="50000"/>
                      </w14:srgbClr>
                    </w14:solidFill>
                  </w14:textFill>
                </w:rPr>
                <w:t>Memo dat</w:t>
              </w:r>
              <w:r w:rsidR="00DC6306" w:rsidRPr="00DC6306">
                <w:rPr>
                  <w:rStyle w:val="Hyperlink"/>
                  <w:lang w:val="en-US"/>
                  <w14:textFill>
                    <w14:solidFill>
                      <w14:srgbClr w14:val="0000FF">
                        <w14:lumMod w14:val="50000"/>
                      </w14:srgbClr>
                    </w14:solidFill>
                  </w14:textFill>
                </w:rPr>
                <w:t>ed</w:t>
              </w:r>
              <w:r w:rsidR="00442C80" w:rsidRPr="00DC6306">
                <w:rPr>
                  <w:rStyle w:val="Hyperlink"/>
                  <w:lang w:val="en-US"/>
                  <w14:textFill>
                    <w14:solidFill>
                      <w14:srgbClr w14:val="0000FF">
                        <w14:lumMod w14:val="50000"/>
                      </w14:srgbClr>
                    </w14:solidFill>
                  </w14:textFill>
                </w:rPr>
                <w:t xml:space="preserve"> 4 February 2020 regarding email contact information</w:t>
              </w:r>
            </w:hyperlink>
            <w:r w:rsidR="00442C80" w:rsidRPr="00442C80">
              <w:rPr>
                <w:color w:val="808080" w:themeColor="background1" w:themeShade="80"/>
                <w:lang w:val="en-US"/>
              </w:rPr>
              <w:t xml:space="preserve"> discussed two options: (a) a “pseudonymous email contact” where the same unique string is used for multiple registrations by the data subject; and (b) an “anonymous email contact” where a separate unique email string is used for each such registration.  B&amp;B opined that publication of either (a) or (b) would be treated as publication of personal data on the web because the purpose of making this masked email address available is to allow 3</w:t>
            </w:r>
            <w:r w:rsidR="00442C80" w:rsidRPr="00442C80">
              <w:rPr>
                <w:color w:val="808080" w:themeColor="background1" w:themeShade="80"/>
                <w:vertAlign w:val="superscript"/>
                <w:lang w:val="en-US"/>
              </w:rPr>
              <w:t>rd</w:t>
            </w:r>
            <w:r w:rsidR="00442C80" w:rsidRPr="00442C80">
              <w:rPr>
                <w:color w:val="808080" w:themeColor="background1" w:themeShade="80"/>
                <w:lang w:val="en-US"/>
              </w:rPr>
              <w:t> parties to directly contact the data subject and because third parties with legitimate and proportionate interests would have access to the underlying data.</w:t>
            </w:r>
          </w:p>
          <w:p w14:paraId="23ED047C" w14:textId="77777777" w:rsidR="00442C80" w:rsidRPr="00442C80" w:rsidRDefault="00442C80" w:rsidP="00442C80">
            <w:pPr>
              <w:spacing w:after="240"/>
              <w:rPr>
                <w:color w:val="808080" w:themeColor="background1" w:themeShade="80"/>
                <w:lang w:val="en-US"/>
              </w:rPr>
            </w:pPr>
            <w:r w:rsidRPr="00442C80">
              <w:rPr>
                <w:color w:val="808080" w:themeColor="background1" w:themeShade="80"/>
                <w:lang w:val="en-US"/>
              </w:rPr>
              <w:t>Upon review, the EPDP Legal Team has proposed to describe options (a) and (b) going forward as follows:</w:t>
            </w:r>
          </w:p>
          <w:p w14:paraId="56D1C55D" w14:textId="77777777" w:rsidR="00442C80" w:rsidRPr="00442C80" w:rsidRDefault="00442C80" w:rsidP="00442C80">
            <w:pPr>
              <w:numPr>
                <w:ilvl w:val="0"/>
                <w:numId w:val="23"/>
              </w:numPr>
              <w:spacing w:before="240"/>
              <w:jc w:val="left"/>
              <w:textAlignment w:val="baseline"/>
              <w:rPr>
                <w:rFonts w:eastAsia="Times New Roman"/>
                <w:color w:val="808080" w:themeColor="background1" w:themeShade="80"/>
                <w:lang w:val="en-US"/>
              </w:rPr>
            </w:pPr>
            <w:r w:rsidRPr="00442C80">
              <w:rPr>
                <w:rFonts w:eastAsia="Times New Roman"/>
                <w:color w:val="808080" w:themeColor="background1" w:themeShade="80"/>
                <w:lang w:val="en-US"/>
              </w:rPr>
              <w:t>The phrase "pseudonymous email contact” (option (a)) should be replaced with the phrase "</w:t>
            </w:r>
            <w:r w:rsidRPr="00442C80">
              <w:rPr>
                <w:rFonts w:eastAsia="Times New Roman"/>
                <w:b/>
                <w:bCs/>
                <w:color w:val="808080" w:themeColor="background1" w:themeShade="80"/>
                <w:lang w:val="en-US"/>
              </w:rPr>
              <w:t>Registrant-based email contact</w:t>
            </w:r>
            <w:r w:rsidRPr="00442C80">
              <w:rPr>
                <w:rFonts w:eastAsia="Times New Roman"/>
                <w:color w:val="808080" w:themeColor="background1" w:themeShade="80"/>
                <w:lang w:val="en-US"/>
              </w:rPr>
              <w:t>," defined as: “an email for all domains registered by a unique registrant, </w:t>
            </w:r>
            <w:r w:rsidRPr="00442C80">
              <w:rPr>
                <w:rFonts w:eastAsia="Times New Roman"/>
                <w:i/>
                <w:iCs/>
                <w:color w:val="808080" w:themeColor="background1" w:themeShade="80"/>
                <w:lang w:val="en-US"/>
              </w:rPr>
              <w:t>which is intended to be pseudonymous data when processed by third party users</w:t>
            </w:r>
            <w:r w:rsidRPr="00442C80">
              <w:rPr>
                <w:rFonts w:eastAsia="Times New Roman"/>
                <w:color w:val="808080" w:themeColor="background1" w:themeShade="80"/>
                <w:lang w:val="en-US"/>
              </w:rPr>
              <w:t> (i.e., non-contracted parties). (The question of whether the email should be common across ICANN-accredited Registrars requires a policy determination TBD.)</w:t>
            </w:r>
          </w:p>
          <w:p w14:paraId="488D6317" w14:textId="77777777" w:rsidR="00442C80" w:rsidRPr="00442C80" w:rsidRDefault="00442C80" w:rsidP="00442C80">
            <w:pPr>
              <w:numPr>
                <w:ilvl w:val="0"/>
                <w:numId w:val="23"/>
              </w:numPr>
              <w:spacing w:after="240"/>
              <w:jc w:val="left"/>
              <w:textAlignment w:val="baseline"/>
              <w:rPr>
                <w:rFonts w:eastAsia="Times New Roman"/>
                <w:color w:val="808080" w:themeColor="background1" w:themeShade="80"/>
                <w:lang w:val="en-US"/>
              </w:rPr>
            </w:pPr>
            <w:r w:rsidRPr="00442C80">
              <w:rPr>
                <w:rFonts w:eastAsia="Times New Roman"/>
                <w:color w:val="808080" w:themeColor="background1" w:themeShade="80"/>
                <w:lang w:val="en-US"/>
              </w:rPr>
              <w:t>The phrase "anonymous email contact" (option (b)) should be replaced with the phrase "</w:t>
            </w:r>
            <w:r w:rsidRPr="00442C80">
              <w:rPr>
                <w:rFonts w:eastAsia="Times New Roman"/>
                <w:b/>
                <w:bCs/>
                <w:color w:val="808080" w:themeColor="background1" w:themeShade="80"/>
                <w:lang w:val="en-US"/>
              </w:rPr>
              <w:t>Registration-based email contact</w:t>
            </w:r>
            <w:r w:rsidRPr="00442C80">
              <w:rPr>
                <w:rFonts w:eastAsia="Times New Roman"/>
                <w:color w:val="808080" w:themeColor="background1" w:themeShade="80"/>
                <w:lang w:val="en-US"/>
              </w:rPr>
              <w:t>," defined as “a separate single use email for each domain name registered by a unique registrant, </w:t>
            </w:r>
            <w:r w:rsidRPr="00442C80">
              <w:rPr>
                <w:rFonts w:eastAsia="Times New Roman"/>
                <w:i/>
                <w:iCs/>
                <w:color w:val="808080" w:themeColor="background1" w:themeShade="80"/>
                <w:lang w:val="en-US"/>
              </w:rPr>
              <w:t>which is intended to be virtually or “essentially” anonymous data when processed by third party users</w:t>
            </w:r>
            <w:r w:rsidRPr="00442C80">
              <w:rPr>
                <w:rFonts w:eastAsia="Times New Roman"/>
                <w:color w:val="808080" w:themeColor="background1" w:themeShade="80"/>
                <w:lang w:val="en-US"/>
              </w:rPr>
              <w:t> (i.e., non-contracted parties).”</w:t>
            </w:r>
          </w:p>
          <w:p w14:paraId="731F4F2E" w14:textId="77777777" w:rsidR="00442C80" w:rsidRPr="00442C80" w:rsidRDefault="00442C80" w:rsidP="00442C80">
            <w:pPr>
              <w:spacing w:after="240"/>
              <w:rPr>
                <w:rFonts w:eastAsiaTheme="minorHAnsi"/>
                <w:color w:val="808080" w:themeColor="background1" w:themeShade="80"/>
                <w:lang w:val="en-US"/>
              </w:rPr>
            </w:pPr>
            <w:r w:rsidRPr="00442C80">
              <w:rPr>
                <w:color w:val="808080" w:themeColor="background1" w:themeShade="80"/>
                <w:lang w:val="en-US"/>
              </w:rPr>
              <w:t>In answering the questions below, please assume, for discussion purposes, that third-party users of Registration-based email contact information cannot identify the data subject without disproportionate effort so that the risk of identification appears in reality to be insignificant. </w:t>
            </w:r>
          </w:p>
          <w:p w14:paraId="132D9226" w14:textId="77777777" w:rsidR="00442C80" w:rsidRPr="00442C80" w:rsidRDefault="00442C80" w:rsidP="00442C80">
            <w:pPr>
              <w:numPr>
                <w:ilvl w:val="0"/>
                <w:numId w:val="13"/>
              </w:numPr>
              <w:spacing w:before="240"/>
              <w:jc w:val="left"/>
              <w:textAlignment w:val="baseline"/>
              <w:rPr>
                <w:rFonts w:eastAsia="Times New Roman"/>
                <w:color w:val="808080" w:themeColor="background1" w:themeShade="80"/>
                <w:lang w:val="en-US"/>
              </w:rPr>
            </w:pPr>
            <w:r w:rsidRPr="00442C80">
              <w:rPr>
                <w:rFonts w:eastAsia="Times New Roman"/>
                <w:color w:val="808080" w:themeColor="background1" w:themeShade="80"/>
                <w:lang w:val="en-US"/>
              </w:rPr>
              <w:lastRenderedPageBreak/>
              <w:t>Based on your experience and applicable precedent, please compare the level of risk, likelihood of enforcement actions, fines, counseling, etc. associated with (a) publication on the web or (b) automated disclosure of (i) a Registrant-based email contact on the one hand and (ii) a Registration-based email contact on the other?  In responding to this question please consider:</w:t>
            </w:r>
          </w:p>
          <w:p w14:paraId="564C67C9" w14:textId="77777777" w:rsidR="00442C80" w:rsidRPr="00442C80" w:rsidRDefault="00442C80" w:rsidP="00442C80">
            <w:pPr>
              <w:numPr>
                <w:ilvl w:val="1"/>
                <w:numId w:val="14"/>
              </w:numPr>
              <w:jc w:val="left"/>
              <w:textAlignment w:val="baseline"/>
              <w:rPr>
                <w:rFonts w:eastAsia="Times New Roman"/>
                <w:color w:val="808080" w:themeColor="background1" w:themeShade="80"/>
                <w:lang w:val="en-US"/>
              </w:rPr>
            </w:pPr>
            <w:bookmarkStart w:id="3" w:name="_Hlk68778578"/>
            <w:r w:rsidRPr="00442C80">
              <w:rPr>
                <w:rFonts w:eastAsia="Times New Roman"/>
                <w:color w:val="808080" w:themeColor="background1" w:themeShade="80"/>
                <w:lang w:val="en-US"/>
              </w:rPr>
              <w:t>Whether the assumed fact that the risk of data subject identification by a third party (i.e., non-contracted party) through a Registration-based email contact appears to be insignificant would render such emails effectively “anonymous” with respect to such third parties under the </w:t>
            </w:r>
            <w:r w:rsidRPr="00442C80">
              <w:rPr>
                <w:rFonts w:eastAsia="Times New Roman"/>
                <w:i/>
                <w:iCs/>
                <w:color w:val="808080" w:themeColor="background1" w:themeShade="80"/>
                <w:lang w:val="en-US"/>
              </w:rPr>
              <w:t>Breyer </w:t>
            </w:r>
            <w:r w:rsidRPr="00442C80">
              <w:rPr>
                <w:rFonts w:eastAsia="Times New Roman"/>
                <w:color w:val="808080" w:themeColor="background1" w:themeShade="80"/>
                <w:lang w:val="en-US"/>
              </w:rPr>
              <w:t>standard?</w:t>
            </w:r>
          </w:p>
          <w:bookmarkEnd w:id="3"/>
          <w:p w14:paraId="4C367BC3" w14:textId="77777777" w:rsidR="00442C80" w:rsidRPr="00442C80" w:rsidRDefault="00442C80" w:rsidP="00442C80">
            <w:pPr>
              <w:numPr>
                <w:ilvl w:val="1"/>
                <w:numId w:val="14"/>
              </w:numPr>
              <w:spacing w:after="240"/>
              <w:jc w:val="left"/>
              <w:textAlignment w:val="baseline"/>
              <w:rPr>
                <w:rFonts w:eastAsia="Times New Roman"/>
                <w:color w:val="808080" w:themeColor="background1" w:themeShade="80"/>
                <w:lang w:val="en-US"/>
              </w:rPr>
            </w:pPr>
            <w:r w:rsidRPr="00442C80">
              <w:rPr>
                <w:rFonts w:eastAsia="Times New Roman"/>
                <w:color w:val="808080" w:themeColor="background1" w:themeShade="80"/>
                <w:lang w:val="en-US"/>
              </w:rPr>
              <w:t>If not, how would the choice of email contact (Registrant-based or Registration-based) affect the outcome of the legitimate interests balancing test under Article 6(1)(f)? To what extent would the use of a Registration-based email contact reduce the impact of publication on the interests or fundamental rights and freedoms of the data subject?</w:t>
            </w:r>
          </w:p>
          <w:p w14:paraId="108A1515" w14:textId="4BEA47A0" w:rsidR="0008692F" w:rsidRPr="00DC6306" w:rsidRDefault="00442C80" w:rsidP="0008692F">
            <w:pPr>
              <w:rPr>
                <w:rFonts w:eastAsiaTheme="minorHAnsi"/>
                <w:color w:val="808080" w:themeColor="background1" w:themeShade="80"/>
                <w:lang w:val="en-US"/>
              </w:rPr>
            </w:pPr>
            <w:r w:rsidRPr="00442C80">
              <w:rPr>
                <w:color w:val="808080" w:themeColor="background1" w:themeShade="80"/>
                <w:lang w:val="en-US"/>
              </w:rPr>
              <w:t>Does the answer to these questions change if the primary purpose for publishing a masked email is to support statistical research and analytics, and </w:t>
            </w:r>
            <w:r w:rsidRPr="00442C80">
              <w:rPr>
                <w:color w:val="808080" w:themeColor="background1" w:themeShade="80"/>
                <w:u w:val="single"/>
                <w:lang w:val="en-US"/>
              </w:rPr>
              <w:t>not</w:t>
            </w:r>
            <w:r w:rsidRPr="00442C80">
              <w:rPr>
                <w:color w:val="808080" w:themeColor="background1" w:themeShade="80"/>
                <w:lang w:val="en-US"/>
              </w:rPr>
              <w:t> to communicate with the data subject?</w:t>
            </w:r>
          </w:p>
        </w:tc>
      </w:tr>
    </w:tbl>
    <w:p w14:paraId="508017A2" w14:textId="77777777" w:rsidR="0008692F" w:rsidRDefault="0008692F" w:rsidP="0008692F">
      <w:pPr>
        <w:rPr>
          <w:b/>
          <w:bCs/>
          <w:i/>
          <w:iCs/>
        </w:rPr>
      </w:pPr>
    </w:p>
    <w:p w14:paraId="6DFF4060" w14:textId="1E42C1A0" w:rsidR="00C10439" w:rsidRPr="0008692F" w:rsidRDefault="0008692F" w:rsidP="00C10439">
      <w:pPr>
        <w:pStyle w:val="BBBodyTextIndent1"/>
        <w:ind w:left="0"/>
        <w:rPr>
          <w:i/>
          <w:iCs/>
          <w:u w:val="single"/>
        </w:rPr>
      </w:pPr>
      <w:r w:rsidRPr="0008692F">
        <w:rPr>
          <w:i/>
          <w:iCs/>
          <w:u w:val="single"/>
        </w:rPr>
        <w:t>Analysis</w:t>
      </w:r>
    </w:p>
    <w:p w14:paraId="4478DC3E" w14:textId="479A14FD" w:rsidR="00EC0C18" w:rsidRDefault="00EC0C18" w:rsidP="00C842D8">
      <w:pPr>
        <w:pStyle w:val="BBClause1"/>
      </w:pPr>
      <w:r>
        <w:t xml:space="preserve">Our answer starts by addressing </w:t>
      </w:r>
      <w:r w:rsidR="00C842D8">
        <w:t>your</w:t>
      </w:r>
      <w:r>
        <w:t xml:space="preserve"> sub-question, “</w:t>
      </w:r>
      <w:r w:rsidRPr="00A24ECF">
        <w:rPr>
          <w:i/>
          <w:iCs/>
        </w:rPr>
        <w:t>Whether the assumed fact that the risk of data subject identification by a third party (i.e., non-contracted party) through a Registration-based email contact appears to be insignificant would render such emails effectively “anonymous” with respect to such third parties under the Breyer standard?</w:t>
      </w:r>
      <w:r>
        <w:t>”</w:t>
      </w:r>
      <w:r w:rsidR="00C842D8">
        <w:t xml:space="preserve">, to explain why we consider that the GDPR </w:t>
      </w:r>
      <w:r w:rsidR="00C842D8" w:rsidRPr="00C842D8">
        <w:rPr>
          <w:u w:val="single"/>
        </w:rPr>
        <w:t>would</w:t>
      </w:r>
      <w:r w:rsidR="00C842D8">
        <w:t xml:space="preserve"> remain applicable in a </w:t>
      </w:r>
      <w:r w:rsidR="00C842D8" w:rsidRPr="00C842D8">
        <w:t xml:space="preserve">Registration-based email contact </w:t>
      </w:r>
      <w:r w:rsidR="00C842D8">
        <w:t>scenario.</w:t>
      </w:r>
      <w:r>
        <w:t xml:space="preserve"> </w:t>
      </w:r>
      <w:r w:rsidR="00C842D8">
        <w:t>We</w:t>
      </w:r>
      <w:r>
        <w:t xml:space="preserve"> then turn to the wider GDPR compliance aspects of your question.</w:t>
      </w:r>
    </w:p>
    <w:p w14:paraId="40C5C2EA" w14:textId="0FC958FB" w:rsidR="00EC0C18" w:rsidRPr="009C270E" w:rsidRDefault="00EC0C18" w:rsidP="00EC0C18">
      <w:pPr>
        <w:pStyle w:val="BBClause1"/>
        <w:numPr>
          <w:ilvl w:val="0"/>
          <w:numId w:val="0"/>
        </w:numPr>
        <w:rPr>
          <w:b/>
          <w:bCs/>
          <w:i/>
          <w:iCs/>
        </w:rPr>
      </w:pPr>
      <w:r w:rsidRPr="009C270E">
        <w:rPr>
          <w:b/>
          <w:bCs/>
          <w:i/>
          <w:iCs/>
        </w:rPr>
        <w:t>Anonymity</w:t>
      </w:r>
    </w:p>
    <w:p w14:paraId="5B294F6A" w14:textId="715D72CA" w:rsidR="00620AD1" w:rsidRDefault="00620AD1" w:rsidP="00620AD1">
      <w:pPr>
        <w:pStyle w:val="BBClause1"/>
      </w:pPr>
      <w:r>
        <w:t>We maintain our view</w:t>
      </w:r>
      <w:r w:rsidR="00A24ECF">
        <w:t xml:space="preserve">, expressed in our Memorandum </w:t>
      </w:r>
      <w:r w:rsidR="00A24ECF" w:rsidRPr="005062A4">
        <w:t>dated 4</w:t>
      </w:r>
      <w:r w:rsidR="00A24ECF" w:rsidRPr="005062A4">
        <w:rPr>
          <w:vertAlign w:val="superscript"/>
        </w:rPr>
        <w:t>th</w:t>
      </w:r>
      <w:r w:rsidR="00A24ECF" w:rsidRPr="005062A4">
        <w:t xml:space="preserve"> February 2020,</w:t>
      </w:r>
      <w:r w:rsidRPr="005062A4">
        <w:t xml:space="preserve"> that with either option (Registrant-based or Registration-based email contact), there remains a high likelihood that </w:t>
      </w:r>
      <w:r w:rsidR="004373EA">
        <w:t xml:space="preserve">the </w:t>
      </w:r>
      <w:r w:rsidR="00DE3AD2" w:rsidRPr="005062A4">
        <w:t>publication or automated disclosure of</w:t>
      </w:r>
      <w:r w:rsidR="004373EA">
        <w:t xml:space="preserve"> </w:t>
      </w:r>
      <w:r w:rsidRPr="005062A4">
        <w:t>such email addresses would</w:t>
      </w:r>
      <w:r w:rsidR="00A24ECF" w:rsidRPr="005062A4">
        <w:t xml:space="preserve"> </w:t>
      </w:r>
      <w:r w:rsidRPr="005062A4">
        <w:t>be considered to be the processing of personal data.</w:t>
      </w:r>
    </w:p>
    <w:p w14:paraId="6A587EEF" w14:textId="1841E7E3" w:rsidR="00FF35BB" w:rsidRDefault="00FF35BB" w:rsidP="00442C80">
      <w:pPr>
        <w:pStyle w:val="BBClause1"/>
      </w:pPr>
      <w:r>
        <w:t xml:space="preserve">For the GDPR to apply to the processing of </w:t>
      </w:r>
      <w:r w:rsidR="00895F0A">
        <w:t xml:space="preserve">electronic </w:t>
      </w:r>
      <w:r>
        <w:t>data (</w:t>
      </w:r>
      <w:r w:rsidRPr="006546E1">
        <w:t xml:space="preserve">assuming </w:t>
      </w:r>
      <w:r w:rsidR="00A24ECF" w:rsidRPr="006546E1">
        <w:t>the GDPR’s</w:t>
      </w:r>
      <w:r w:rsidRPr="006546E1">
        <w:t xml:space="preserve"> territoriality test is met, and its subject matter carve</w:t>
      </w:r>
      <w:r w:rsidR="00A24ECF" w:rsidRPr="006546E1">
        <w:t>-</w:t>
      </w:r>
      <w:r w:rsidRPr="006546E1">
        <w:t>outs are not applicable</w:t>
      </w:r>
      <w:r>
        <w:t xml:space="preserve">), </w:t>
      </w:r>
      <w:r w:rsidR="00895F0A">
        <w:t>a two-part test applies</w:t>
      </w:r>
      <w:r w:rsidR="00A24ECF">
        <w:t>:</w:t>
      </w:r>
    </w:p>
    <w:p w14:paraId="1732D13F" w14:textId="25D235A7" w:rsidR="00895F0A" w:rsidRDefault="00895F0A" w:rsidP="00DC6306">
      <w:pPr>
        <w:pStyle w:val="BBClause2"/>
      </w:pPr>
      <w:r>
        <w:t xml:space="preserve">First, there must be processing of information that </w:t>
      </w:r>
      <w:r w:rsidRPr="00895F0A">
        <w:rPr>
          <w:u w:val="single"/>
        </w:rPr>
        <w:t>relates to</w:t>
      </w:r>
      <w:r>
        <w:t xml:space="preserve"> a </w:t>
      </w:r>
      <w:r>
        <w:rPr>
          <w:i/>
          <w:iCs/>
        </w:rPr>
        <w:t>particular</w:t>
      </w:r>
      <w:r>
        <w:t xml:space="preserve"> individual, having regard to the data </w:t>
      </w:r>
      <w:r w:rsidR="00A24ECF">
        <w:t>(and its</w:t>
      </w:r>
      <w:r>
        <w:t xml:space="preserve"> processing’s</w:t>
      </w:r>
      <w:r w:rsidR="00A24ECF">
        <w:t>)</w:t>
      </w:r>
      <w:r>
        <w:t xml:space="preserve"> “</w:t>
      </w:r>
      <w:r w:rsidR="00C13C50" w:rsidRPr="00330A33">
        <w:rPr>
          <w:color w:val="00B0F0"/>
        </w:rPr>
        <w:t xml:space="preserve">content, </w:t>
      </w:r>
      <w:r w:rsidRPr="00330A33">
        <w:rPr>
          <w:color w:val="00B0F0"/>
        </w:rPr>
        <w:t>purpose, or effect</w:t>
      </w:r>
      <w:r>
        <w:t>”</w:t>
      </w:r>
      <w:r w:rsidR="00DE1765">
        <w:t>.  T</w:t>
      </w:r>
      <w:r>
        <w:t xml:space="preserve">his is the </w:t>
      </w:r>
      <w:r w:rsidRPr="006546E1">
        <w:t>“</w:t>
      </w:r>
      <w:r w:rsidRPr="006546E1">
        <w:rPr>
          <w:i/>
          <w:iCs/>
        </w:rPr>
        <w:t>Nowak”</w:t>
      </w:r>
      <w:r w:rsidR="00C13C50">
        <w:rPr>
          <w:rStyle w:val="FootnoteReference"/>
          <w:i/>
          <w:iCs/>
        </w:rPr>
        <w:footnoteReference w:id="1"/>
      </w:r>
      <w:r w:rsidRPr="006546E1">
        <w:t xml:space="preserve"> </w:t>
      </w:r>
      <w:r w:rsidR="00A24ECF" w:rsidRPr="006546E1">
        <w:t>/</w:t>
      </w:r>
      <w:r w:rsidRPr="006546E1">
        <w:t xml:space="preserve"> “relates</w:t>
      </w:r>
      <w:r>
        <w:t xml:space="preserve"> to” test</w:t>
      </w:r>
      <w:r w:rsidR="00DE1765">
        <w:t>.</w:t>
      </w:r>
    </w:p>
    <w:p w14:paraId="74AD3856" w14:textId="007C6478" w:rsidR="00895F0A" w:rsidRDefault="00620AD1" w:rsidP="00DC6306">
      <w:pPr>
        <w:pStyle w:val="BBClause2"/>
      </w:pPr>
      <w:r>
        <w:t>Second, t</w:t>
      </w:r>
      <w:r w:rsidR="00895F0A">
        <w:t xml:space="preserve">hat </w:t>
      </w:r>
      <w:r w:rsidR="00DE1765">
        <w:t xml:space="preserve">particular </w:t>
      </w:r>
      <w:r w:rsidR="00895F0A">
        <w:t>individual must be “identified or identifiable”, which means that there must exist “</w:t>
      </w:r>
      <w:r w:rsidR="004373EA" w:rsidRPr="004373EA">
        <w:t>means reasonably likely to be used, such as singling out, either by the controller or by another person to identify the natural person directly or indirectly</w:t>
      </w:r>
      <w:r w:rsidR="004373EA">
        <w:t>.</w:t>
      </w:r>
      <w:r w:rsidR="00895F0A" w:rsidRPr="006546E1">
        <w:t>”</w:t>
      </w:r>
      <w:r w:rsidR="00DE3AD2" w:rsidRPr="006546E1">
        <w:rPr>
          <w:rStyle w:val="FootnoteReference"/>
        </w:rPr>
        <w:footnoteReference w:id="2"/>
      </w:r>
      <w:r w:rsidR="00895F0A">
        <w:t xml:space="preserve">  </w:t>
      </w:r>
      <w:r w:rsidR="00DE1765">
        <w:t xml:space="preserve">“Identification” does </w:t>
      </w:r>
      <w:r w:rsidR="00DE1765" w:rsidRPr="00DE1765">
        <w:t>not</w:t>
      </w:r>
      <w:r w:rsidR="00DE1765">
        <w:t xml:space="preserve"> </w:t>
      </w:r>
      <w:r w:rsidR="00A24ECF">
        <w:t xml:space="preserve">necessarily </w:t>
      </w:r>
      <w:r w:rsidR="00DE1765">
        <w:t xml:space="preserve">mean finding the real name of </w:t>
      </w:r>
      <w:r w:rsidR="00A24ECF">
        <w:t>a</w:t>
      </w:r>
      <w:r w:rsidR="00DE1765">
        <w:t xml:space="preserve"> person; rather, it has a more general meaning, generally revolving around the ability to </w:t>
      </w:r>
      <w:r w:rsidR="00A24ECF">
        <w:t xml:space="preserve">specifically </w:t>
      </w:r>
      <w:r w:rsidR="00DE1765">
        <w:t>“</w:t>
      </w:r>
      <w:r w:rsidR="00DE1765" w:rsidRPr="006546E1">
        <w:t>single out</w:t>
      </w:r>
      <w:r w:rsidR="00DE1765">
        <w:t>” someone for different treatment</w:t>
      </w:r>
      <w:r w:rsidR="00A24ECF">
        <w:t xml:space="preserve"> </w:t>
      </w:r>
      <w:r w:rsidR="00A24ECF">
        <w:lastRenderedPageBreak/>
        <w:t>(singling out),</w:t>
      </w:r>
      <w:r w:rsidR="004373EA" w:rsidRPr="004373EA">
        <w:rPr>
          <w:rStyle w:val="FootnoteReference"/>
        </w:rPr>
        <w:t xml:space="preserve"> </w:t>
      </w:r>
      <w:r w:rsidR="004373EA">
        <w:rPr>
          <w:rStyle w:val="FootnoteReference"/>
        </w:rPr>
        <w:footnoteReference w:id="3"/>
      </w:r>
      <w:r w:rsidR="00DE1765">
        <w:t xml:space="preserve"> and/or</w:t>
      </w:r>
      <w:r w:rsidR="00A24ECF">
        <w:t xml:space="preserve"> having</w:t>
      </w:r>
      <w:r w:rsidR="00DE1765">
        <w:t xml:space="preserve"> the ability to </w:t>
      </w:r>
      <w:r w:rsidR="00A24ECF">
        <w:t>collect/connect more data</w:t>
      </w:r>
      <w:r w:rsidR="00DE1765">
        <w:t xml:space="preserve"> about them</w:t>
      </w:r>
      <w:r w:rsidR="00A24ECF">
        <w:t xml:space="preserve"> (inference and/or linking)</w:t>
      </w:r>
      <w:r w:rsidR="00DE1765">
        <w:t>.</w:t>
      </w:r>
      <w:r w:rsidR="006546E1">
        <w:rPr>
          <w:rStyle w:val="FootnoteReference"/>
        </w:rPr>
        <w:footnoteReference w:id="4"/>
      </w:r>
      <w:r w:rsidR="00DE1765">
        <w:t xml:space="preserve">  A technical identifier – even one </w:t>
      </w:r>
      <w:r w:rsidR="00A24ECF">
        <w:t xml:space="preserve">that was </w:t>
      </w:r>
      <w:r w:rsidR="00DE1765">
        <w:t xml:space="preserve">randomly generated – can be sufficient for such purposes, </w:t>
      </w:r>
      <w:r w:rsidR="000E05C2">
        <w:t>particularly</w:t>
      </w:r>
      <w:r w:rsidR="00DE1765">
        <w:t xml:space="preserve"> if it is linked with other information about the person that </w:t>
      </w:r>
      <w:r w:rsidR="000E05C2">
        <w:t>makes it easier</w:t>
      </w:r>
      <w:r w:rsidR="00DE1765">
        <w:t xml:space="preserve"> to distinguish them from someone else.</w:t>
      </w:r>
      <w:r w:rsidR="00DE1765">
        <w:rPr>
          <w:rStyle w:val="FootnoteReference"/>
        </w:rPr>
        <w:footnoteReference w:id="5"/>
      </w:r>
      <w:r w:rsidR="00DE1765">
        <w:t xml:space="preserve"> </w:t>
      </w:r>
      <w:r w:rsidR="000E05C2">
        <w:t xml:space="preserve"> </w:t>
      </w:r>
      <w:r w:rsidR="00895F0A" w:rsidRPr="00DE1765">
        <w:t>There</w:t>
      </w:r>
      <w:r w:rsidR="00895F0A">
        <w:t xml:space="preserve"> are no </w:t>
      </w:r>
      <w:r w:rsidR="00DE1765">
        <w:t>“reasonably likely</w:t>
      </w:r>
      <w:r w:rsidR="00895F0A">
        <w:t xml:space="preserve"> means</w:t>
      </w:r>
      <w:r w:rsidR="00DE1765">
        <w:t>”</w:t>
      </w:r>
      <w:r w:rsidR="00895F0A">
        <w:t xml:space="preserve"> </w:t>
      </w:r>
      <w:r w:rsidR="00DE1765">
        <w:t>o</w:t>
      </w:r>
      <w:r w:rsidR="00895F0A">
        <w:t xml:space="preserve">f reidentification </w:t>
      </w:r>
      <w:r w:rsidR="00DE1765">
        <w:t xml:space="preserve">if such activity </w:t>
      </w:r>
      <w:r w:rsidR="00895F0A">
        <w:t>is “</w:t>
      </w:r>
      <w:r w:rsidR="00895F0A" w:rsidRPr="00A24ECF">
        <w:rPr>
          <w:color w:val="4F81BD" w:themeColor="accent1"/>
        </w:rPr>
        <w:t>prohibited by law or practically impossible on account of the fact that it requires a disproportionate effort in terms of time, cost and man-power, so that the risk of identification appears in reality to be insignificant</w:t>
      </w:r>
      <w:r w:rsidR="00895F0A">
        <w:t>”</w:t>
      </w:r>
      <w:r w:rsidR="00895F0A">
        <w:rPr>
          <w:rStyle w:val="FootnoteReference"/>
        </w:rPr>
        <w:footnoteReference w:id="6"/>
      </w:r>
      <w:r w:rsidR="00DE1765">
        <w:t>.</w:t>
      </w:r>
      <w:r w:rsidR="00895F0A">
        <w:t xml:space="preserve"> </w:t>
      </w:r>
      <w:r w:rsidR="00DE1765">
        <w:t xml:space="preserve"> T</w:t>
      </w:r>
      <w:r w:rsidR="00895F0A">
        <w:t>his is the “</w:t>
      </w:r>
      <w:r w:rsidR="00895F0A">
        <w:rPr>
          <w:i/>
          <w:iCs/>
        </w:rPr>
        <w:t>Breyer</w:t>
      </w:r>
      <w:r w:rsidR="00895F0A">
        <w:t xml:space="preserve">” </w:t>
      </w:r>
      <w:r w:rsidR="00A24ECF">
        <w:t>/</w:t>
      </w:r>
      <w:r w:rsidR="00895F0A">
        <w:t xml:space="preserve"> “identifiability” test.</w:t>
      </w:r>
    </w:p>
    <w:p w14:paraId="6B82DC70" w14:textId="4A4FC0DC" w:rsidR="00620AD1" w:rsidRDefault="00620AD1" w:rsidP="00442C80">
      <w:pPr>
        <w:pStyle w:val="BBClause1"/>
      </w:pPr>
      <w:r>
        <w:t xml:space="preserve">Our view, expressed above, is that the processing of these </w:t>
      </w:r>
      <w:r w:rsidR="00A24ECF">
        <w:t>email aliases</w:t>
      </w:r>
      <w:r>
        <w:t xml:space="preserve"> would still likely be seen as meeting both tests</w:t>
      </w:r>
      <w:r w:rsidR="00EC0C18">
        <w:t xml:space="preserve">, to the extent that the purpose </w:t>
      </w:r>
      <w:r w:rsidR="00151BDA">
        <w:t xml:space="preserve">of the processing </w:t>
      </w:r>
      <w:r w:rsidR="00EC0C18">
        <w:t>is to provide a means of contacting data subjects.</w:t>
      </w:r>
    </w:p>
    <w:p w14:paraId="42C89CDA" w14:textId="2F26ADA6" w:rsidR="00F45706" w:rsidRPr="009C270E" w:rsidRDefault="00F45706" w:rsidP="00F45706">
      <w:pPr>
        <w:pStyle w:val="BBClause1"/>
        <w:numPr>
          <w:ilvl w:val="0"/>
          <w:numId w:val="0"/>
        </w:numPr>
      </w:pPr>
      <w:r>
        <w:rPr>
          <w:i/>
          <w:iCs/>
        </w:rPr>
        <w:t>Nowak</w:t>
      </w:r>
      <w:r w:rsidR="009C270E">
        <w:t xml:space="preserve"> test</w:t>
      </w:r>
    </w:p>
    <w:p w14:paraId="05B55BA8" w14:textId="71AF6E99" w:rsidR="008E0F4F" w:rsidRDefault="00620AD1" w:rsidP="00B25565">
      <w:pPr>
        <w:pStyle w:val="BBClause1"/>
      </w:pPr>
      <w:r>
        <w:t xml:space="preserve">Regarding the </w:t>
      </w:r>
      <w:r w:rsidRPr="00620AD1">
        <w:rPr>
          <w:i/>
          <w:iCs/>
        </w:rPr>
        <w:t>Nowak</w:t>
      </w:r>
      <w:r>
        <w:t xml:space="preserve"> test: </w:t>
      </w:r>
      <w:r w:rsidR="00A24ECF">
        <w:t xml:space="preserve">when a contact is a natural person, </w:t>
      </w:r>
      <w:r w:rsidR="00FF35BB">
        <w:t xml:space="preserve">such addresses </w:t>
      </w:r>
      <w:r w:rsidR="00A24ECF">
        <w:t>will be</w:t>
      </w:r>
      <w:r>
        <w:t xml:space="preserve"> </w:t>
      </w:r>
      <w:r w:rsidR="00A24ECF">
        <w:t>mask</w:t>
      </w:r>
      <w:r w:rsidR="00024551">
        <w:t>ed</w:t>
      </w:r>
      <w:r w:rsidR="00A24ECF">
        <w:t xml:space="preserve"> </w:t>
      </w:r>
      <w:r w:rsidR="00FF35BB">
        <w:t xml:space="preserve">aliases for </w:t>
      </w:r>
      <w:r w:rsidR="007445A7">
        <w:t>a real email address used by</w:t>
      </w:r>
      <w:r w:rsidR="00A24ECF">
        <w:t xml:space="preserve"> </w:t>
      </w:r>
      <w:r w:rsidR="007445A7">
        <w:t xml:space="preserve">that </w:t>
      </w:r>
      <w:r w:rsidR="00FF35BB">
        <w:t xml:space="preserve">person.  </w:t>
      </w:r>
      <w:r w:rsidR="007445A7">
        <w:t>In light of this:</w:t>
      </w:r>
    </w:p>
    <w:p w14:paraId="6C77EDEB" w14:textId="2135E04B" w:rsidR="00330A33" w:rsidRDefault="00EC0C18" w:rsidP="00D743E2">
      <w:pPr>
        <w:pStyle w:val="BBClause2"/>
      </w:pPr>
      <w:r>
        <w:t>Where the</w:t>
      </w:r>
      <w:r w:rsidR="00FF35BB">
        <w:t xml:space="preserve"> purpose / intended effect of </w:t>
      </w:r>
      <w:r w:rsidR="0086267D">
        <w:t>the</w:t>
      </w:r>
      <w:r w:rsidR="00FF35BB">
        <w:t xml:space="preserve"> processing</w:t>
      </w:r>
      <w:r w:rsidR="0086267D">
        <w:t xml:space="preserve"> of that data</w:t>
      </w:r>
      <w:r w:rsidR="00FF35BB">
        <w:t xml:space="preserve"> is to enable correspondence with the recipient</w:t>
      </w:r>
      <w:r w:rsidR="0086267D">
        <w:t xml:space="preserve"> (i.e., often, with a specific data subject)</w:t>
      </w:r>
      <w:r w:rsidR="008E0F4F">
        <w:t>, then</w:t>
      </w:r>
      <w:r w:rsidR="00FF35BB">
        <w:t xml:space="preserve"> having regard to the EU Court of Justice</w:t>
      </w:r>
      <w:r w:rsidR="00024551">
        <w:t xml:space="preserve"> (“CJEU”)</w:t>
      </w:r>
      <w:r w:rsidR="00FF35BB">
        <w:t xml:space="preserve">’s test in </w:t>
      </w:r>
      <w:r w:rsidR="00FF35BB" w:rsidRPr="00330A33">
        <w:rPr>
          <w:i/>
          <w:iCs/>
        </w:rPr>
        <w:t>Nowak</w:t>
      </w:r>
      <w:r w:rsidR="00FF35BB">
        <w:t>, th</w:t>
      </w:r>
      <w:r w:rsidR="000E05C2">
        <w:t>at</w:t>
      </w:r>
      <w:r w:rsidR="00FF35BB">
        <w:t xml:space="preserve"> “purpose” and/or “effect” </w:t>
      </w:r>
      <w:r w:rsidR="000E05C2">
        <w:t>means there is</w:t>
      </w:r>
      <w:r w:rsidR="00FF35BB">
        <w:t xml:space="preserve"> a link to a </w:t>
      </w:r>
      <w:r w:rsidR="00FF35BB" w:rsidRPr="00330A33">
        <w:rPr>
          <w:i/>
          <w:iCs/>
        </w:rPr>
        <w:t>particular</w:t>
      </w:r>
      <w:r w:rsidR="00FF35BB">
        <w:t xml:space="preserve"> individual.</w:t>
      </w:r>
      <w:r w:rsidR="00620AD1">
        <w:rPr>
          <w:rStyle w:val="FootnoteReference"/>
        </w:rPr>
        <w:footnoteReference w:id="7"/>
      </w:r>
      <w:r w:rsidR="008E0F4F">
        <w:t xml:space="preserve">  </w:t>
      </w:r>
      <w:r w:rsidR="00330A33">
        <w:t xml:space="preserve"> </w:t>
      </w:r>
    </w:p>
    <w:p w14:paraId="6336C181" w14:textId="77777777" w:rsidR="004D0EA2" w:rsidRDefault="008E0F4F" w:rsidP="00DC6306">
      <w:pPr>
        <w:pStyle w:val="BBClause2"/>
      </w:pPr>
      <w:r>
        <w:t xml:space="preserve">By contrast, purely statistical processing aimed at creating </w:t>
      </w:r>
      <w:r w:rsidRPr="00330A33">
        <w:rPr>
          <w:i/>
          <w:iCs/>
        </w:rPr>
        <w:t>aggregate</w:t>
      </w:r>
      <w:r>
        <w:t xml:space="preserve"> metrics (describing relatively large cohorts) – e.g. counting how many such contact aliases have been created – may arguably </w:t>
      </w:r>
      <w:r w:rsidRPr="00330A33">
        <w:rPr>
          <w:i/>
          <w:iCs/>
        </w:rPr>
        <w:t>not</w:t>
      </w:r>
      <w:r>
        <w:t xml:space="preserve"> be subject to the GDPR.  </w:t>
      </w:r>
      <w:r w:rsidRPr="00C13C50">
        <w:t xml:space="preserve">This is because the </w:t>
      </w:r>
      <w:r w:rsidRPr="00330A33">
        <w:rPr>
          <w:i/>
          <w:iCs/>
        </w:rPr>
        <w:t>content</w:t>
      </w:r>
      <w:r w:rsidRPr="00C13C50">
        <w:t xml:space="preserve"> of a randomly-generated contact alias does not specifically link to a specific individual, at least in a Registration-based email contact scenario</w:t>
      </w:r>
      <w:r w:rsidRPr="00691D00">
        <w:t xml:space="preserve">; and – </w:t>
      </w:r>
      <w:r w:rsidRPr="00C13C50">
        <w:t xml:space="preserve">again, arguably – neither the </w:t>
      </w:r>
      <w:r w:rsidRPr="00330A33">
        <w:rPr>
          <w:i/>
          <w:iCs/>
        </w:rPr>
        <w:t>purpose</w:t>
      </w:r>
      <w:r w:rsidRPr="00C13C50">
        <w:t xml:space="preserve"> nor the </w:t>
      </w:r>
      <w:r w:rsidRPr="00330A33">
        <w:rPr>
          <w:i/>
          <w:iCs/>
        </w:rPr>
        <w:t>effect</w:t>
      </w:r>
      <w:r w:rsidRPr="00C13C50">
        <w:t xml:space="preserve"> of creating aggregate </w:t>
      </w:r>
      <w:r w:rsidR="00D67B7B" w:rsidRPr="00C13C50">
        <w:t xml:space="preserve">results of </w:t>
      </w:r>
      <w:r w:rsidRPr="00C13C50">
        <w:t xml:space="preserve">statistical research carries a link to a </w:t>
      </w:r>
      <w:r w:rsidRPr="00330A33">
        <w:rPr>
          <w:i/>
          <w:iCs/>
        </w:rPr>
        <w:t>particular</w:t>
      </w:r>
      <w:r w:rsidRPr="00C13C50">
        <w:t xml:space="preserve"> individual</w:t>
      </w:r>
      <w:r>
        <w:t xml:space="preserve">; rather, aggregate statistics describe and differentiate between </w:t>
      </w:r>
      <w:r w:rsidRPr="00330A33">
        <w:rPr>
          <w:i/>
          <w:iCs/>
        </w:rPr>
        <w:t>cohorts/groups</w:t>
      </w:r>
      <w:r>
        <w:t xml:space="preserve"> (e.g. by nation</w:t>
      </w:r>
      <w:r w:rsidR="00E67ABA">
        <w:t xml:space="preserve">, Registry, Registrar, etc.).  The </w:t>
      </w:r>
      <w:r w:rsidR="00E67ABA" w:rsidRPr="00330A33">
        <w:rPr>
          <w:i/>
          <w:iCs/>
        </w:rPr>
        <w:t>Nowak</w:t>
      </w:r>
      <w:r w:rsidR="00E67ABA">
        <w:t xml:space="preserve"> test may arguably not be satisfied in respect of that class of processing (but note that this is to be distinguished from statistics aimed at generating new information </w:t>
      </w:r>
      <w:r w:rsidR="0086267D">
        <w:t xml:space="preserve">about, </w:t>
      </w:r>
      <w:r w:rsidR="00E67ABA">
        <w:t>or classification of</w:t>
      </w:r>
      <w:r w:rsidR="0086267D">
        <w:t>,</w:t>
      </w:r>
      <w:r w:rsidR="00E67ABA">
        <w:t xml:space="preserve"> </w:t>
      </w:r>
      <w:r w:rsidR="0086267D">
        <w:t>any specific</w:t>
      </w:r>
      <w:r w:rsidR="00E67ABA">
        <w:t xml:space="preserve"> data subject – e.g. counting how many domain names are associated with a given Registrant-based email contact).</w:t>
      </w:r>
    </w:p>
    <w:p w14:paraId="441A1FFC" w14:textId="446EA182" w:rsidR="00E67ABA" w:rsidRPr="000E4D4A" w:rsidRDefault="00E67ABA" w:rsidP="00DC6306">
      <w:pPr>
        <w:pStyle w:val="BBClause2"/>
      </w:pPr>
      <w:r>
        <w:t xml:space="preserve">However, in practice we do not think it would be reasonably possible to say that the </w:t>
      </w:r>
      <w:r w:rsidRPr="004A37A4">
        <w:rPr>
          <w:u w:val="single"/>
        </w:rPr>
        <w:t>sole</w:t>
      </w:r>
      <w:r>
        <w:t xml:space="preserve"> purpose of creating and publishing the contact aliases </w:t>
      </w:r>
      <w:r w:rsidR="0086267D">
        <w:t xml:space="preserve">is </w:t>
      </w:r>
      <w:r w:rsidR="002A35C0">
        <w:t xml:space="preserve">for </w:t>
      </w:r>
      <w:r>
        <w:t xml:space="preserve">the aggregate statistical processing just described. </w:t>
      </w:r>
      <w:r w:rsidR="002A35C0">
        <w:t>If this were the case, there would be no need to provide an email address at all.</w:t>
      </w:r>
      <w:r w:rsidR="00030A7C">
        <w:t xml:space="preserve"> </w:t>
      </w:r>
      <w:r w:rsidR="002A35C0">
        <w:t xml:space="preserve"> The fact that an email address is provided suggests that </w:t>
      </w:r>
      <w:r>
        <w:t>a significant purpose for th</w:t>
      </w:r>
      <w:r w:rsidR="002A35C0">
        <w:t>e</w:t>
      </w:r>
      <w:r>
        <w:t xml:space="preserve"> creation and publication of contact </w:t>
      </w:r>
      <w:r>
        <w:lastRenderedPageBreak/>
        <w:t xml:space="preserve">aliases will always be to provide a means of contacting specific persons.  Accordingly, while </w:t>
      </w:r>
      <w:r>
        <w:rPr>
          <w:i/>
          <w:iCs/>
        </w:rPr>
        <w:t>some</w:t>
      </w:r>
      <w:r>
        <w:t xml:space="preserve"> processing (for aggregate statistics) </w:t>
      </w:r>
      <w:r>
        <w:rPr>
          <w:u w:val="single"/>
        </w:rPr>
        <w:t>may</w:t>
      </w:r>
      <w:r>
        <w:t xml:space="preserve"> fall outside the GDPR’s scope</w:t>
      </w:r>
      <w:r w:rsidR="00030A7C">
        <w:t xml:space="preserve"> based on the </w:t>
      </w:r>
      <w:r w:rsidR="00030A7C">
        <w:rPr>
          <w:i/>
          <w:iCs/>
        </w:rPr>
        <w:t>Nowak</w:t>
      </w:r>
      <w:r w:rsidR="00030A7C">
        <w:t xml:space="preserve"> test</w:t>
      </w:r>
      <w:r>
        <w:t>,</w:t>
      </w:r>
      <w:r w:rsidR="0086267D">
        <w:t xml:space="preserve"> </w:t>
      </w:r>
      <w:r>
        <w:t xml:space="preserve">the GDPR seems likely to remain a compliance concern </w:t>
      </w:r>
      <w:r w:rsidR="0086267D">
        <w:t xml:space="preserve">at the very least in </w:t>
      </w:r>
      <w:r w:rsidR="0086267D" w:rsidRPr="000E4D4A">
        <w:t xml:space="preserve">respect of the </w:t>
      </w:r>
      <w:r w:rsidR="0086267D" w:rsidRPr="000E4D4A">
        <w:rPr>
          <w:i/>
          <w:iCs/>
        </w:rPr>
        <w:t>other</w:t>
      </w:r>
      <w:r w:rsidR="0086267D" w:rsidRPr="000E4D4A">
        <w:t xml:space="preserve"> purpose of processing.</w:t>
      </w:r>
    </w:p>
    <w:p w14:paraId="0B42CEB6" w14:textId="37F5624D" w:rsidR="004A37A4" w:rsidRDefault="00E67ABA" w:rsidP="00DC6306">
      <w:pPr>
        <w:pStyle w:val="BBClause2"/>
      </w:pPr>
      <w:r w:rsidRPr="000E4D4A">
        <w:t xml:space="preserve">We should also caution against over-reliance on </w:t>
      </w:r>
      <w:r w:rsidRPr="000E4D4A">
        <w:rPr>
          <w:i/>
          <w:iCs/>
        </w:rPr>
        <w:t>Nowak-</w:t>
      </w:r>
      <w:r w:rsidRPr="000E4D4A">
        <w:t xml:space="preserve">based arguments.  </w:t>
      </w:r>
      <w:r w:rsidR="008D0F24" w:rsidRPr="00B2256A">
        <w:t xml:space="preserve">Despite </w:t>
      </w:r>
      <w:r w:rsidR="006779D7">
        <w:t>the ruling</w:t>
      </w:r>
      <w:r w:rsidR="006779D7" w:rsidRPr="00B2256A">
        <w:t xml:space="preserve"> </w:t>
      </w:r>
      <w:r w:rsidR="008D0F24" w:rsidRPr="00B2256A">
        <w:t xml:space="preserve">echoing early Article 29 Working Party </w:t>
      </w:r>
      <w:r w:rsidR="00024551">
        <w:t>g</w:t>
      </w:r>
      <w:r w:rsidR="008D0F24" w:rsidRPr="00B2256A">
        <w:t>uidance</w:t>
      </w:r>
      <w:r w:rsidR="008D0F24" w:rsidRPr="000E4D4A">
        <w:t>,</w:t>
      </w:r>
      <w:r w:rsidR="008D0F24" w:rsidRPr="000E4D4A">
        <w:rPr>
          <w:rStyle w:val="FootnoteReference"/>
        </w:rPr>
        <w:footnoteReference w:id="8"/>
      </w:r>
      <w:r w:rsidR="008D0F24" w:rsidRPr="000E4D4A">
        <w:t xml:space="preserve"> </w:t>
      </w:r>
      <w:r w:rsidR="00030A7C">
        <w:t>we are not aware of</w:t>
      </w:r>
      <w:r w:rsidR="00F614AC">
        <w:t xml:space="preserve"> </w:t>
      </w:r>
      <w:r w:rsidR="008D0F24" w:rsidRPr="000E4D4A">
        <w:t xml:space="preserve">the </w:t>
      </w:r>
      <w:r w:rsidR="008D0F24" w:rsidRPr="000E4D4A">
        <w:rPr>
          <w:i/>
          <w:iCs/>
        </w:rPr>
        <w:t>Nowak</w:t>
      </w:r>
      <w:r w:rsidR="008D0F24" w:rsidRPr="000E4D4A">
        <w:t xml:space="preserve"> test</w:t>
      </w:r>
      <w:r w:rsidR="00673B48" w:rsidRPr="000E4D4A">
        <w:t xml:space="preserve"> </w:t>
      </w:r>
      <w:r w:rsidR="00030A7C">
        <w:t>being systematically</w:t>
      </w:r>
      <w:r w:rsidR="000E4D4A">
        <w:t xml:space="preserve"> </w:t>
      </w:r>
      <w:r w:rsidR="00030A7C">
        <w:t>applied</w:t>
      </w:r>
      <w:r w:rsidR="000E4D4A">
        <w:t xml:space="preserve"> in</w:t>
      </w:r>
      <w:r w:rsidR="00673B48">
        <w:t xml:space="preserve"> the analyses and guidance </w:t>
      </w:r>
      <w:r w:rsidR="00030A7C">
        <w:t>of</w:t>
      </w:r>
      <w:r w:rsidR="00673B48">
        <w:t xml:space="preserve"> courts and supervisory authorities applying the GDPR.  For example, as of early April 2021, a search of the Belgian Data Protection Authority’s website, across all available languages, turns up </w:t>
      </w:r>
      <w:r w:rsidR="00CD456A">
        <w:t xml:space="preserve">(i) </w:t>
      </w:r>
      <w:r w:rsidR="00673B48">
        <w:t xml:space="preserve">just two </w:t>
      </w:r>
      <w:r w:rsidR="00CD456A">
        <w:t xml:space="preserve">directly </w:t>
      </w:r>
      <w:r w:rsidR="00673B48">
        <w:t xml:space="preserve">references to the </w:t>
      </w:r>
      <w:r w:rsidR="00673B48" w:rsidRPr="0016314C">
        <w:rPr>
          <w:i/>
          <w:iCs/>
        </w:rPr>
        <w:t>Nowak</w:t>
      </w:r>
      <w:r w:rsidR="00673B48">
        <w:t xml:space="preserve"> case, and only on unrelated points</w:t>
      </w:r>
      <w:r w:rsidR="00CD456A">
        <w:t xml:space="preserve">; and (ii) apparently no citations of the key “content, purpose or effect” phrase from </w:t>
      </w:r>
      <w:r w:rsidR="00CD456A" w:rsidRPr="0016314C">
        <w:rPr>
          <w:i/>
          <w:iCs/>
        </w:rPr>
        <w:t>Nowak</w:t>
      </w:r>
      <w:r w:rsidR="00CD456A">
        <w:t>.  That authority’s explanation (</w:t>
      </w:r>
      <w:r w:rsidR="008D0F24">
        <w:t xml:space="preserve">in its </w:t>
      </w:r>
      <w:r w:rsidR="00CD456A">
        <w:t xml:space="preserve">Lexicon) of </w:t>
      </w:r>
      <w:r w:rsidR="0016314C">
        <w:t>the term</w:t>
      </w:r>
      <w:r w:rsidR="00CD456A">
        <w:t xml:space="preserve"> “personal data” concentrates exclusively on the </w:t>
      </w:r>
      <w:r w:rsidR="00CD456A" w:rsidRPr="0016314C">
        <w:rPr>
          <w:i/>
          <w:iCs/>
        </w:rPr>
        <w:t>Breyer</w:t>
      </w:r>
      <w:r w:rsidR="00CD456A">
        <w:t xml:space="preserve"> test</w:t>
      </w:r>
      <w:r w:rsidR="00C150F2">
        <w:t xml:space="preserve"> – i.e. identifiability of a data subject</w:t>
      </w:r>
      <w:r w:rsidR="00CD456A">
        <w:t>.</w:t>
      </w:r>
      <w:r w:rsidR="00CD456A">
        <w:rPr>
          <w:rStyle w:val="FootnoteReference"/>
        </w:rPr>
        <w:footnoteReference w:id="9"/>
      </w:r>
      <w:r w:rsidR="00CD456A">
        <w:t xml:space="preserve">  </w:t>
      </w:r>
      <w:r w:rsidR="0016314C">
        <w:t xml:space="preserve"> </w:t>
      </w:r>
      <w:r w:rsidR="00CD456A">
        <w:t>Other authorities may take a different view (e.g. the UK authority does discuss the “content, purpose or effect” test, and summarises its impact as follows: “</w:t>
      </w:r>
      <w:r w:rsidR="008D0F24" w:rsidRPr="006B4EF1">
        <w:rPr>
          <w:color w:val="4F81BD" w:themeColor="accent1"/>
        </w:rPr>
        <w:t>Information must ‘relate to’ the identifiable individual to be personal data.  This means that it does more than simply identifying them – it must concern the individual in some way. (…) Data can reference an identifiable individual and not be personal data about that individual, as the information does not relate to them.</w:t>
      </w:r>
      <w:r w:rsidR="008D0F24">
        <w:t>”</w:t>
      </w:r>
      <w:r w:rsidR="00C150F2">
        <w:t>)</w:t>
      </w:r>
      <w:r w:rsidR="008D0F24">
        <w:rPr>
          <w:rStyle w:val="FootnoteReference"/>
        </w:rPr>
        <w:footnoteReference w:id="10"/>
      </w:r>
      <w:r w:rsidR="0016314C">
        <w:t xml:space="preserve">  </w:t>
      </w:r>
    </w:p>
    <w:p w14:paraId="418ADE84" w14:textId="59FD02FC" w:rsidR="004A37A4" w:rsidRDefault="004A37A4" w:rsidP="00DC6306">
      <w:pPr>
        <w:pStyle w:val="BBClause2"/>
      </w:pPr>
      <w:r>
        <w:t xml:space="preserve">Moreover, not only do authorities in this field not always place substantial emphasis on </w:t>
      </w:r>
      <w:r>
        <w:rPr>
          <w:i/>
          <w:iCs/>
        </w:rPr>
        <w:t>Nowak</w:t>
      </w:r>
      <w:r>
        <w:t xml:space="preserve">, but </w:t>
      </w:r>
      <w:r w:rsidRPr="004A37A4">
        <w:rPr>
          <w:i/>
          <w:iCs/>
        </w:rPr>
        <w:t>if</w:t>
      </w:r>
      <w:r>
        <w:t xml:space="preserve"> they </w:t>
      </w:r>
      <w:r w:rsidR="00682272">
        <w:t xml:space="preserve">were </w:t>
      </w:r>
      <w:r>
        <w:t xml:space="preserve">do so, </w:t>
      </w:r>
      <w:r w:rsidRPr="004A37A4">
        <w:t>they</w:t>
      </w:r>
      <w:r>
        <w:t xml:space="preserve"> could also take quite differing approaches to its interpretation.  Differences of opinion might in particular surround the “content” limb of the “content, purpose or effect” test.   Article 29 Working Party, </w:t>
      </w:r>
      <w:r w:rsidRPr="008D0F24">
        <w:rPr>
          <w:i/>
          <w:iCs/>
        </w:rPr>
        <w:t>Opinion 4/2007 on the concept of personal data</w:t>
      </w:r>
      <w:r>
        <w:t xml:space="preserve"> (WP 136)</w:t>
      </w:r>
      <w:r>
        <w:rPr>
          <w:rStyle w:val="FootnoteReference"/>
        </w:rPr>
        <w:footnoteReference w:id="11"/>
      </w:r>
      <w:r>
        <w:t xml:space="preserve"> explained that “</w:t>
      </w:r>
      <w:r w:rsidR="00C150F2">
        <w:rPr>
          <w:color w:val="4F81BD" w:themeColor="accent1"/>
        </w:rPr>
        <w:t>[t]</w:t>
      </w:r>
      <w:r w:rsidRPr="004D0EA2">
        <w:rPr>
          <w:color w:val="4F81BD" w:themeColor="accent1"/>
        </w:rPr>
        <w:t>he “content” element is present in those cases where - corresponding to the most obvious and common understanding in a society of the word "relate" - information is given about a particular person, regardless of any purpose on the side of the data controller or of a third party, or the impact of that information on the data subject.</w:t>
      </w:r>
      <w:r>
        <w:t xml:space="preserve">”  If that explanation is correct, then a court or regulator might conclude that publishing an email address (even a randomly generated one) for a contact associated with a domain registration is </w:t>
      </w:r>
      <w:r>
        <w:rPr>
          <w:i/>
          <w:iCs/>
        </w:rPr>
        <w:t>inherently</w:t>
      </w:r>
      <w:r>
        <w:t xml:space="preserve"> publishing information “about” that person – because it tells us how to contact that person.  This is a problematic view, however, as it “borrows” reasoning from the </w:t>
      </w:r>
      <w:r>
        <w:rPr>
          <w:i/>
          <w:iCs/>
        </w:rPr>
        <w:t>purpose</w:t>
      </w:r>
      <w:r>
        <w:t xml:space="preserve"> and </w:t>
      </w:r>
      <w:r>
        <w:rPr>
          <w:i/>
          <w:iCs/>
        </w:rPr>
        <w:t>effect</w:t>
      </w:r>
      <w:r>
        <w:t xml:space="preserve"> tests (it looks at a possible purpose for the information, </w:t>
      </w:r>
      <w:r>
        <w:rPr>
          <w:i/>
          <w:iCs/>
        </w:rPr>
        <w:t>not</w:t>
      </w:r>
      <w:r>
        <w:t xml:space="preserve"> at the content of the information itself), </w:t>
      </w:r>
      <w:r>
        <w:rPr>
          <w:i/>
          <w:iCs/>
        </w:rPr>
        <w:t>and</w:t>
      </w:r>
      <w:r>
        <w:t xml:space="preserve"> bases itself on a </w:t>
      </w:r>
      <w:r>
        <w:rPr>
          <w:i/>
          <w:iCs/>
        </w:rPr>
        <w:t>hypothetical</w:t>
      </w:r>
      <w:r>
        <w:t xml:space="preserve"> purpose/effect, not the </w:t>
      </w:r>
      <w:r w:rsidRPr="00682272">
        <w:rPr>
          <w:i/>
          <w:iCs/>
        </w:rPr>
        <w:t>actual</w:t>
      </w:r>
      <w:r>
        <w:t xml:space="preserve"> purpose/effect of processing – thus completely short-circuiting two thirds of the “content, purpose or effect” test.  From both a logical and rule of law (clarity/certainty) perspective, this is problematic.   From a simpler point of view, something randomly generated (as876bnk@example.com) is a pure expression of random “noise” -- an instantaneous snapshot of the electrical state of a computer’s “random number generator” circuitry.  It thus does not and cannot of itself </w:t>
      </w:r>
      <w:r w:rsidR="00682272">
        <w:t>“</w:t>
      </w:r>
      <w:r w:rsidRPr="00A21341">
        <w:rPr>
          <w:i/>
          <w:iCs/>
        </w:rPr>
        <w:t>contain</w:t>
      </w:r>
      <w:r w:rsidR="00682272" w:rsidRPr="00682272">
        <w:t>”</w:t>
      </w:r>
      <w:r>
        <w:t xml:space="preserve"> any information about any person.  If it </w:t>
      </w:r>
      <w:r w:rsidRPr="00A21341">
        <w:rPr>
          <w:i/>
          <w:iCs/>
        </w:rPr>
        <w:t>did</w:t>
      </w:r>
      <w:r>
        <w:t xml:space="preserve"> in and of itself convey information about a person, it logically would not be random.  From that view, a randomly-</w:t>
      </w:r>
      <w:r>
        <w:lastRenderedPageBreak/>
        <w:t>generated address thus does not pass the “content” test; instead, the focus would need to be on the data processing’s purpose and/or effect.</w:t>
      </w:r>
    </w:p>
    <w:p w14:paraId="0E4D0A5E" w14:textId="1D00C4CE" w:rsidR="00E67ABA" w:rsidRPr="00B2256A" w:rsidRDefault="0016314C" w:rsidP="00DC6306">
      <w:pPr>
        <w:pStyle w:val="BBClause2"/>
      </w:pPr>
      <w:r w:rsidRPr="00B2256A">
        <w:t xml:space="preserve">Clearly, then, there is a significant risk of disagreement with at least some authorities if arguments rest on the </w:t>
      </w:r>
      <w:r w:rsidRPr="00B2256A">
        <w:rPr>
          <w:i/>
          <w:iCs/>
        </w:rPr>
        <w:t>Nowak</w:t>
      </w:r>
      <w:r w:rsidRPr="00B2256A">
        <w:t xml:space="preserve"> case.</w:t>
      </w:r>
    </w:p>
    <w:p w14:paraId="41646558" w14:textId="56211CD9" w:rsidR="00F45706" w:rsidRPr="009C270E" w:rsidRDefault="00F45706" w:rsidP="00DC6306">
      <w:pPr>
        <w:pStyle w:val="BBClause2"/>
        <w:numPr>
          <w:ilvl w:val="0"/>
          <w:numId w:val="0"/>
        </w:numPr>
      </w:pPr>
      <w:r w:rsidRPr="00DC6306">
        <w:rPr>
          <w:i/>
          <w:iCs/>
        </w:rPr>
        <w:t>Breyer</w:t>
      </w:r>
      <w:r w:rsidR="009C270E">
        <w:t xml:space="preserve"> test</w:t>
      </w:r>
    </w:p>
    <w:p w14:paraId="446DBBAF" w14:textId="607779B6" w:rsidR="00442C80" w:rsidRDefault="000E05C2" w:rsidP="00442C80">
      <w:pPr>
        <w:pStyle w:val="BBClause1"/>
      </w:pPr>
      <w:r>
        <w:t xml:space="preserve">Regarding the </w:t>
      </w:r>
      <w:r w:rsidRPr="000E05C2">
        <w:rPr>
          <w:i/>
          <w:iCs/>
        </w:rPr>
        <w:t>Breyer</w:t>
      </w:r>
      <w:r>
        <w:t xml:space="preserve"> test: in </w:t>
      </w:r>
      <w:r w:rsidR="00F45706">
        <w:t>that</w:t>
      </w:r>
      <w:r>
        <w:t xml:space="preserve"> case, the CJEU constructed a thought experiment: if there was a cyber attack, a </w:t>
      </w:r>
      <w:r w:rsidR="00E50FA4">
        <w:t>controller</w:t>
      </w:r>
      <w:r>
        <w:t xml:space="preserve"> holding </w:t>
      </w:r>
      <w:r w:rsidR="00E50FA4">
        <w:t>an</w:t>
      </w:r>
      <w:r>
        <w:t xml:space="preserve"> IP address (and, we presume – though the court is not explicit on this point – a timestamp indicating when that IP address was in use by a device/person of interest), could communicate that information to the police/judicial authorities.  The CJEU expected that the authorities would then often be empowered to then demand corresponding information from the internet access provider that assigned that IP address</w:t>
      </w:r>
      <w:r w:rsidR="00E50FA4">
        <w:t>, and thereby bring a prosecution</w:t>
      </w:r>
      <w:r w:rsidR="00342D4F">
        <w:t xml:space="preserve"> (although the CJEU asked the referring national courts to verify that assumption)</w:t>
      </w:r>
      <w:r>
        <w:t xml:space="preserve">.  The CJEU thus held that </w:t>
      </w:r>
      <w:r w:rsidR="00E50FA4">
        <w:t xml:space="preserve">unless this </w:t>
      </w:r>
      <w:r w:rsidR="00342D4F">
        <w:t xml:space="preserve">scenario </w:t>
      </w:r>
      <w:r w:rsidR="00E50FA4">
        <w:t>was prohibited by law or practically impossible, there were “reasonably likely means” of identifying a data subject.</w:t>
      </w:r>
    </w:p>
    <w:p w14:paraId="41E601B5" w14:textId="628532B3" w:rsidR="00E50FA4" w:rsidRDefault="00E50FA4" w:rsidP="00E50FA4">
      <w:pPr>
        <w:pStyle w:val="BBClause1"/>
      </w:pPr>
      <w:r>
        <w:t xml:space="preserve">The key point here is that although a third party may just know a </w:t>
      </w:r>
      <w:r w:rsidRPr="00E50FA4">
        <w:t>Registrant-based</w:t>
      </w:r>
      <w:r>
        <w:t xml:space="preserve"> or </w:t>
      </w:r>
      <w:r w:rsidRPr="00E50FA4">
        <w:t>Registration-based email contact</w:t>
      </w:r>
      <w:r>
        <w:t xml:space="preserve">, competent authorities could correlate this to non-public registration data held by Contracted Parties, allowing for reidentification.  So far as we are aware, this would not always require “practically impossible” levels of effort, </w:t>
      </w:r>
      <w:r w:rsidRPr="00E50FA4">
        <w:t>nor</w:t>
      </w:r>
      <w:r>
        <w:t xml:space="preserve"> would it be universally prohibited by law.  </w:t>
      </w:r>
    </w:p>
    <w:p w14:paraId="5FC818D4" w14:textId="77777777" w:rsidR="00342D4F" w:rsidRDefault="00E50FA4" w:rsidP="00E50FA4">
      <w:pPr>
        <w:pStyle w:val="BBClause1"/>
      </w:pPr>
      <w:r>
        <w:t xml:space="preserve">Thus even </w:t>
      </w:r>
      <w:r w:rsidR="00EC0C18">
        <w:t>from</w:t>
      </w:r>
      <w:r>
        <w:t xml:space="preserve"> the perspective </w:t>
      </w:r>
      <w:r w:rsidRPr="00342D4F">
        <w:rPr>
          <w:i/>
          <w:iCs/>
        </w:rPr>
        <w:t>of third parties</w:t>
      </w:r>
      <w:r>
        <w:t xml:space="preserve">, the </w:t>
      </w:r>
      <w:r w:rsidR="00EC0C18">
        <w:t>distribution and use of such contact aliases c</w:t>
      </w:r>
      <w:r>
        <w:t>ould be treated as personal data</w:t>
      </w:r>
      <w:r w:rsidR="00EC0C18">
        <w:t xml:space="preserve"> processing.  </w:t>
      </w:r>
    </w:p>
    <w:p w14:paraId="6683F18F" w14:textId="3A5B45D1" w:rsidR="00E50FA4" w:rsidRDefault="00EC0C18" w:rsidP="00E50FA4">
      <w:pPr>
        <w:pStyle w:val="BBClause1"/>
      </w:pPr>
      <w:r>
        <w:t xml:space="preserve">From the perspective </w:t>
      </w:r>
      <w:r w:rsidRPr="00342D4F">
        <w:rPr>
          <w:i/>
          <w:iCs/>
        </w:rPr>
        <w:t>of a Contracted Party</w:t>
      </w:r>
      <w:r>
        <w:t xml:space="preserve"> </w:t>
      </w:r>
      <w:r w:rsidR="00342D4F">
        <w:t>that</w:t>
      </w:r>
      <w:r>
        <w:t xml:space="preserve"> </w:t>
      </w:r>
      <w:r w:rsidRPr="00342D4F">
        <w:t>knows</w:t>
      </w:r>
      <w:r>
        <w:rPr>
          <w:i/>
          <w:iCs/>
        </w:rPr>
        <w:t xml:space="preserve"> </w:t>
      </w:r>
      <w:r>
        <w:t>which contact alias it has assigned to a Registrant / Registrant’s nominated contact</w:t>
      </w:r>
      <w:r w:rsidR="00342D4F">
        <w:t>,</w:t>
      </w:r>
      <w:r>
        <w:t xml:space="preserve"> the creation and hosting of such addresses, and </w:t>
      </w:r>
      <w:r w:rsidR="00342D4F">
        <w:t xml:space="preserve">their </w:t>
      </w:r>
      <w:r>
        <w:t xml:space="preserve">making available for use by others, is almost certainly personal data processing (when the contact persons are </w:t>
      </w:r>
      <w:r w:rsidR="00342D4F">
        <w:t>natural persons</w:t>
      </w:r>
      <w:r>
        <w:t>).</w:t>
      </w:r>
    </w:p>
    <w:p w14:paraId="25F3FD3C" w14:textId="3E9CE937" w:rsidR="00EC0C18" w:rsidRPr="00EC0C18" w:rsidRDefault="00FA004C" w:rsidP="00EC0C18">
      <w:pPr>
        <w:pStyle w:val="BBClause1"/>
        <w:numPr>
          <w:ilvl w:val="0"/>
          <w:numId w:val="0"/>
        </w:numPr>
        <w:rPr>
          <w:i/>
          <w:iCs/>
        </w:rPr>
      </w:pPr>
      <w:r>
        <w:rPr>
          <w:i/>
          <w:iCs/>
        </w:rPr>
        <w:t>R</w:t>
      </w:r>
      <w:r w:rsidR="00EC0C18">
        <w:rPr>
          <w:i/>
          <w:iCs/>
        </w:rPr>
        <w:t>isk</w:t>
      </w:r>
      <w:r>
        <w:rPr>
          <w:i/>
          <w:iCs/>
        </w:rPr>
        <w:t xml:space="preserve"> of the respective options</w:t>
      </w:r>
      <w:r w:rsidR="009C270E">
        <w:rPr>
          <w:i/>
          <w:iCs/>
        </w:rPr>
        <w:t xml:space="preserve"> presented</w:t>
      </w:r>
    </w:p>
    <w:p w14:paraId="2B95E3E6" w14:textId="1A8F5928" w:rsidR="00E50FA4" w:rsidRDefault="009C270E" w:rsidP="009C270E">
      <w:pPr>
        <w:pStyle w:val="BBClause1"/>
      </w:pPr>
      <w:r>
        <w:t xml:space="preserve">Having explained our view that for either option, the GDPR remains relevant, we turn now to your request that we compare risks </w:t>
      </w:r>
      <w:r w:rsidRPr="009C270E">
        <w:t>associated with (a) publication on the web or (b) automated disclosure of (i) a Registrant-based email contact on the one hand and (ii) a Registration-based email contact on the other</w:t>
      </w:r>
      <w:r>
        <w:t>.</w:t>
      </w:r>
    </w:p>
    <w:p w14:paraId="085C14CC" w14:textId="20950A47" w:rsidR="009C270E" w:rsidRDefault="00D05E4A" w:rsidP="009C270E">
      <w:pPr>
        <w:pStyle w:val="BBClause1"/>
      </w:pPr>
      <w:r>
        <w:t>Our summary (</w:t>
      </w:r>
      <w:r>
        <w:rPr>
          <w:u w:val="single"/>
        </w:rPr>
        <w:t>which reflects the important assumptions and caveats provided later in this answer</w:t>
      </w:r>
      <w:r>
        <w:t>) is as follows:</w:t>
      </w:r>
    </w:p>
    <w:tbl>
      <w:tblPr>
        <w:tblStyle w:val="GridTable1Light-Accent5"/>
        <w:tblW w:w="0" w:type="auto"/>
        <w:tblLook w:val="04A0" w:firstRow="1" w:lastRow="0" w:firstColumn="1" w:lastColumn="0" w:noHBand="0" w:noVBand="1"/>
      </w:tblPr>
      <w:tblGrid>
        <w:gridCol w:w="3020"/>
        <w:gridCol w:w="3020"/>
        <w:gridCol w:w="3020"/>
      </w:tblGrid>
      <w:tr w:rsidR="009C270E" w14:paraId="36434572" w14:textId="77777777" w:rsidTr="00D05E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top w:val="nil"/>
              <w:left w:val="nil"/>
              <w:bottom w:val="single" w:sz="4" w:space="0" w:color="B6DDE8" w:themeColor="accent5" w:themeTint="66"/>
            </w:tcBorders>
          </w:tcPr>
          <w:p w14:paraId="7E1A8EFF" w14:textId="77777777" w:rsidR="009C270E" w:rsidRDefault="009C270E" w:rsidP="009C270E">
            <w:pPr>
              <w:pStyle w:val="BBClause1"/>
              <w:numPr>
                <w:ilvl w:val="0"/>
                <w:numId w:val="0"/>
              </w:numPr>
            </w:pPr>
          </w:p>
        </w:tc>
        <w:tc>
          <w:tcPr>
            <w:tcW w:w="3020" w:type="dxa"/>
          </w:tcPr>
          <w:p w14:paraId="5BECC2B9" w14:textId="362468CE" w:rsidR="009C270E" w:rsidRDefault="009C270E" w:rsidP="00D05E4A">
            <w:pPr>
              <w:pStyle w:val="BBClause1"/>
              <w:numPr>
                <w:ilvl w:val="0"/>
                <w:numId w:val="0"/>
              </w:numPr>
              <w:jc w:val="center"/>
              <w:cnfStyle w:val="100000000000" w:firstRow="1" w:lastRow="0" w:firstColumn="0" w:lastColumn="0" w:oddVBand="0" w:evenVBand="0" w:oddHBand="0" w:evenHBand="0" w:firstRowFirstColumn="0" w:firstRowLastColumn="0" w:lastRowFirstColumn="0" w:lastRowLastColumn="0"/>
            </w:pPr>
            <w:r w:rsidRPr="009C270E">
              <w:t>Registrant-based email contact</w:t>
            </w:r>
          </w:p>
        </w:tc>
        <w:tc>
          <w:tcPr>
            <w:tcW w:w="3020" w:type="dxa"/>
          </w:tcPr>
          <w:p w14:paraId="24F7173D" w14:textId="2BBECC9E" w:rsidR="009C270E" w:rsidRDefault="009C270E" w:rsidP="00D05E4A">
            <w:pPr>
              <w:pStyle w:val="BBClause1"/>
              <w:numPr>
                <w:ilvl w:val="0"/>
                <w:numId w:val="0"/>
              </w:numPr>
              <w:jc w:val="center"/>
              <w:cnfStyle w:val="100000000000" w:firstRow="1" w:lastRow="0" w:firstColumn="0" w:lastColumn="0" w:oddVBand="0" w:evenVBand="0" w:oddHBand="0" w:evenHBand="0" w:firstRowFirstColumn="0" w:firstRowLastColumn="0" w:lastRowFirstColumn="0" w:lastRowLastColumn="0"/>
            </w:pPr>
            <w:r w:rsidRPr="009C270E">
              <w:t>Registration-based email contact</w:t>
            </w:r>
          </w:p>
        </w:tc>
      </w:tr>
      <w:tr w:rsidR="009C270E" w14:paraId="64236463" w14:textId="77777777" w:rsidTr="00D05E4A">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B6DDE8" w:themeColor="accent5" w:themeTint="66"/>
            </w:tcBorders>
          </w:tcPr>
          <w:p w14:paraId="4DCBE86D" w14:textId="736E76CB" w:rsidR="009C270E" w:rsidRDefault="009C270E" w:rsidP="009C270E">
            <w:pPr>
              <w:pStyle w:val="BBClause1"/>
              <w:numPr>
                <w:ilvl w:val="0"/>
                <w:numId w:val="0"/>
              </w:numPr>
            </w:pPr>
            <w:r>
              <w:t>Web publication</w:t>
            </w:r>
          </w:p>
        </w:tc>
        <w:tc>
          <w:tcPr>
            <w:tcW w:w="3020" w:type="dxa"/>
          </w:tcPr>
          <w:p w14:paraId="22A0786A" w14:textId="7D21A098" w:rsidR="009C270E" w:rsidRDefault="00D05E4A" w:rsidP="00D05E4A">
            <w:pPr>
              <w:pStyle w:val="BBClause1"/>
              <w:numPr>
                <w:ilvl w:val="0"/>
                <w:numId w:val="0"/>
              </w:numPr>
              <w:jc w:val="center"/>
              <w:cnfStyle w:val="000000000000" w:firstRow="0" w:lastRow="0" w:firstColumn="0" w:lastColumn="0" w:oddVBand="0" w:evenVBand="0" w:oddHBand="0" w:evenHBand="0" w:firstRowFirstColumn="0" w:firstRowLastColumn="0" w:lastRowFirstColumn="0" w:lastRowLastColumn="0"/>
            </w:pPr>
            <w:r>
              <w:t>Medium</w:t>
            </w:r>
          </w:p>
        </w:tc>
        <w:tc>
          <w:tcPr>
            <w:tcW w:w="3020" w:type="dxa"/>
          </w:tcPr>
          <w:p w14:paraId="013833AF" w14:textId="5800E12B" w:rsidR="009C270E" w:rsidRDefault="00D05E4A" w:rsidP="00D05E4A">
            <w:pPr>
              <w:pStyle w:val="BBClause1"/>
              <w:numPr>
                <w:ilvl w:val="0"/>
                <w:numId w:val="0"/>
              </w:numPr>
              <w:jc w:val="center"/>
              <w:cnfStyle w:val="000000000000" w:firstRow="0" w:lastRow="0" w:firstColumn="0" w:lastColumn="0" w:oddVBand="0" w:evenVBand="0" w:oddHBand="0" w:evenHBand="0" w:firstRowFirstColumn="0" w:firstRowLastColumn="0" w:lastRowFirstColumn="0" w:lastRowLastColumn="0"/>
            </w:pPr>
            <w:r w:rsidRPr="004D0EA2">
              <w:t>Low</w:t>
            </w:r>
          </w:p>
        </w:tc>
      </w:tr>
      <w:tr w:rsidR="009C270E" w14:paraId="63DCBD76" w14:textId="77777777" w:rsidTr="00D05E4A">
        <w:tc>
          <w:tcPr>
            <w:cnfStyle w:val="001000000000" w:firstRow="0" w:lastRow="0" w:firstColumn="1" w:lastColumn="0" w:oddVBand="0" w:evenVBand="0" w:oddHBand="0" w:evenHBand="0" w:firstRowFirstColumn="0" w:firstRowLastColumn="0" w:lastRowFirstColumn="0" w:lastRowLastColumn="0"/>
            <w:tcW w:w="3020" w:type="dxa"/>
          </w:tcPr>
          <w:p w14:paraId="3CCF236D" w14:textId="1FBB813E" w:rsidR="009C270E" w:rsidRDefault="009C270E" w:rsidP="009C270E">
            <w:pPr>
              <w:pStyle w:val="BBClause1"/>
              <w:numPr>
                <w:ilvl w:val="0"/>
                <w:numId w:val="0"/>
              </w:numPr>
            </w:pPr>
            <w:r>
              <w:t>Automated disclosure</w:t>
            </w:r>
          </w:p>
        </w:tc>
        <w:tc>
          <w:tcPr>
            <w:tcW w:w="3020" w:type="dxa"/>
          </w:tcPr>
          <w:p w14:paraId="718EDC65" w14:textId="55CB89A0" w:rsidR="009C270E" w:rsidRDefault="00D05E4A" w:rsidP="00D05E4A">
            <w:pPr>
              <w:pStyle w:val="BBClause1"/>
              <w:numPr>
                <w:ilvl w:val="0"/>
                <w:numId w:val="0"/>
              </w:numPr>
              <w:jc w:val="center"/>
              <w:cnfStyle w:val="000000000000" w:firstRow="0" w:lastRow="0" w:firstColumn="0" w:lastColumn="0" w:oddVBand="0" w:evenVBand="0" w:oddHBand="0" w:evenHBand="0" w:firstRowFirstColumn="0" w:firstRowLastColumn="0" w:lastRowFirstColumn="0" w:lastRowLastColumn="0"/>
            </w:pPr>
            <w:r w:rsidRPr="004D0EA2">
              <w:t>Low</w:t>
            </w:r>
          </w:p>
        </w:tc>
        <w:tc>
          <w:tcPr>
            <w:tcW w:w="3020" w:type="dxa"/>
          </w:tcPr>
          <w:p w14:paraId="10A9F9B1" w14:textId="7B61CF45" w:rsidR="009C270E" w:rsidRDefault="00D05E4A" w:rsidP="00D05E4A">
            <w:pPr>
              <w:pStyle w:val="BBClause1"/>
              <w:numPr>
                <w:ilvl w:val="0"/>
                <w:numId w:val="0"/>
              </w:numPr>
              <w:jc w:val="center"/>
              <w:cnfStyle w:val="000000000000" w:firstRow="0" w:lastRow="0" w:firstColumn="0" w:lastColumn="0" w:oddVBand="0" w:evenVBand="0" w:oddHBand="0" w:evenHBand="0" w:firstRowFirstColumn="0" w:firstRowLastColumn="0" w:lastRowFirstColumn="0" w:lastRowLastColumn="0"/>
            </w:pPr>
            <w:r>
              <w:t>Lowest</w:t>
            </w:r>
          </w:p>
        </w:tc>
      </w:tr>
    </w:tbl>
    <w:p w14:paraId="4B6ABCDE" w14:textId="77777777" w:rsidR="009C270E" w:rsidRDefault="009C270E" w:rsidP="00D05E4A">
      <w:pPr>
        <w:pStyle w:val="BBClause1"/>
        <w:numPr>
          <w:ilvl w:val="0"/>
          <w:numId w:val="0"/>
        </w:numPr>
      </w:pPr>
    </w:p>
    <w:p w14:paraId="1BAB0F66" w14:textId="45AD13FE" w:rsidR="002F1A9E" w:rsidRDefault="00D05E4A" w:rsidP="009C270E">
      <w:pPr>
        <w:pStyle w:val="BBClause1"/>
      </w:pPr>
      <w:r>
        <w:lastRenderedPageBreak/>
        <w:t xml:space="preserve">Based on </w:t>
      </w:r>
      <w:r w:rsidR="002F1A9E">
        <w:t xml:space="preserve">an </w:t>
      </w:r>
      <w:r>
        <w:t>application of the GDPR’s principles, the sharing (whether through web publication or automated disclosure) of Registration-based email</w:t>
      </w:r>
      <w:r w:rsidR="002E768B">
        <w:t xml:space="preserve"> aliases</w:t>
      </w:r>
      <w:r>
        <w:t xml:space="preserve"> carries lower risk compared to Registrant-based </w:t>
      </w:r>
      <w:r w:rsidR="002E768B">
        <w:t>email aliases</w:t>
      </w:r>
      <w:r>
        <w:t xml:space="preserve">.  </w:t>
      </w:r>
    </w:p>
    <w:p w14:paraId="14075E1B" w14:textId="0A29B21B" w:rsidR="002F1A9E" w:rsidRDefault="00D05E4A" w:rsidP="009C270E">
      <w:pPr>
        <w:pStyle w:val="BBClause1"/>
      </w:pPr>
      <w:r>
        <w:t>This is because someone holding a Registra</w:t>
      </w:r>
      <w:r w:rsidR="002F1A9E">
        <w:t>nt</w:t>
      </w:r>
      <w:r>
        <w:t xml:space="preserve">-based email address may be able to learn more information about the data subject – specifically, what other domain names </w:t>
      </w:r>
      <w:r w:rsidR="002F1A9E">
        <w:t xml:space="preserve">that data subject is associated with.  This is because unless a different </w:t>
      </w:r>
      <w:r w:rsidR="002F1A9E">
        <w:rPr>
          <w:i/>
          <w:iCs/>
        </w:rPr>
        <w:t>real</w:t>
      </w:r>
      <w:r w:rsidR="002F1A9E">
        <w:t xml:space="preserve"> contact address was provided for that data subject for each domain they register, then each registration would </w:t>
      </w:r>
      <w:r w:rsidR="002E768B">
        <w:t>carry</w:t>
      </w:r>
      <w:r w:rsidR="002F1A9E">
        <w:t xml:space="preserve"> the same </w:t>
      </w:r>
      <w:r w:rsidR="002E768B">
        <w:t>email alias</w:t>
      </w:r>
      <w:r w:rsidR="002F1A9E">
        <w:t xml:space="preserve">.  </w:t>
      </w:r>
    </w:p>
    <w:p w14:paraId="78DEEDC7" w14:textId="476DEAC5" w:rsidR="002F1A9E" w:rsidRDefault="002F1A9E" w:rsidP="009C270E">
      <w:pPr>
        <w:pStyle w:val="BBClause1"/>
      </w:pPr>
      <w:r>
        <w:t xml:space="preserve">Web publication of such details could make it relatively easy to build such profiles and potentially even build a reverse lookup tool (‘for a given Registration-based email contact, what domain names is this contact associated with?’).  </w:t>
      </w:r>
    </w:p>
    <w:p w14:paraId="0C9546A2" w14:textId="0FF5A695" w:rsidR="009C270E" w:rsidRDefault="002F1A9E" w:rsidP="009C270E">
      <w:pPr>
        <w:pStyle w:val="BBClause1"/>
      </w:pPr>
      <w:r>
        <w:t>Automated disclosure, alone, would presumably make this more difficult</w:t>
      </w:r>
      <w:r w:rsidR="00174058">
        <w:t xml:space="preserve">, </w:t>
      </w:r>
      <w:r>
        <w:t xml:space="preserve">since unless the automated disclosure tools </w:t>
      </w:r>
      <w:r>
        <w:rPr>
          <w:i/>
          <w:iCs/>
        </w:rPr>
        <w:t>specifically</w:t>
      </w:r>
      <w:r>
        <w:t xml:space="preserve"> </w:t>
      </w:r>
      <w:r w:rsidR="00174058">
        <w:t>provide</w:t>
      </w:r>
      <w:r>
        <w:t xml:space="preserve"> reverse lookup </w:t>
      </w:r>
      <w:r w:rsidR="00174058">
        <w:t>functionality,</w:t>
      </w:r>
      <w:r w:rsidR="00C842D8">
        <w:rPr>
          <w:rStyle w:val="FootnoteReference"/>
        </w:rPr>
        <w:footnoteReference w:id="12"/>
      </w:r>
      <w:r w:rsidR="00174058">
        <w:t xml:space="preserve"> requesters would presumably need to query potentially quite large numbers of domain names to gather enough information to be able to make matches and start to build an (incomplete) reverse lookup function.  That said, requestors that have a pre-established list of specific domain names (e.g. suspected “mirrors” of a website hosting illegal contents) could determine whether the same email address was provided for some or all of those sites.  Thus even in an automated disclosure scenario, the use of a Registrant-based email contact scheme carries added risks to privacy, relative to Registration-based email contact scheme.  </w:t>
      </w:r>
    </w:p>
    <w:p w14:paraId="0DA40583" w14:textId="02D1587B" w:rsidR="00174058" w:rsidRDefault="00174058" w:rsidP="009C270E">
      <w:pPr>
        <w:pStyle w:val="BBClause1"/>
      </w:pPr>
      <w:bookmarkStart w:id="4" w:name="_Ref68785582"/>
      <w:r>
        <w:t>Accordingly, having regard to</w:t>
      </w:r>
      <w:r w:rsidR="002E768B">
        <w:t xml:space="preserve"> the following considerations</w:t>
      </w:r>
      <w:r w:rsidR="00B25565">
        <w:t>:</w:t>
      </w:r>
      <w:bookmarkEnd w:id="4"/>
    </w:p>
    <w:p w14:paraId="1235F3E6" w14:textId="366D93AB" w:rsidR="00B25565" w:rsidRDefault="00B25565" w:rsidP="00DC6306">
      <w:pPr>
        <w:pStyle w:val="BBClause2"/>
      </w:pPr>
      <w:r>
        <w:t>The need to comply with the GDPR’s data minimisation rule;</w:t>
      </w:r>
    </w:p>
    <w:p w14:paraId="6EA05147" w14:textId="58F4859E" w:rsidR="00B25565" w:rsidRDefault="00B25565" w:rsidP="00DC6306">
      <w:pPr>
        <w:pStyle w:val="BBClause2"/>
      </w:pPr>
      <w:r>
        <w:t xml:space="preserve">The need to comply with a “privacy by design and by default” rule; </w:t>
      </w:r>
    </w:p>
    <w:p w14:paraId="22B60296" w14:textId="4D1D0492" w:rsidR="00B25565" w:rsidRDefault="00B25565" w:rsidP="00DC6306">
      <w:pPr>
        <w:pStyle w:val="BBClause2"/>
      </w:pPr>
      <w:r>
        <w:t>That reliance on GDPR Article 6(1)(f) (the legitimate interests legal basis) is more robust when system design minimises prejudice to “</w:t>
      </w:r>
      <w:r w:rsidRPr="002E768B">
        <w:rPr>
          <w:color w:val="4F81BD" w:themeColor="accent1"/>
        </w:rPr>
        <w:t>the interests or fundamental rights and freedoms of the data subject which require protection of personal data</w:t>
      </w:r>
      <w:r>
        <w:t xml:space="preserve">”; and </w:t>
      </w:r>
    </w:p>
    <w:p w14:paraId="07FE645C" w14:textId="77777777" w:rsidR="00DC6306" w:rsidRDefault="00B25565" w:rsidP="00DC6306">
      <w:pPr>
        <w:pStyle w:val="BBClause2"/>
      </w:pPr>
      <w:r>
        <w:t xml:space="preserve">That in assessing whether and to what extent fines should be levelled against a controller, authorities must have regard </w:t>
      </w:r>
      <w:r>
        <w:rPr>
          <w:i/>
          <w:iCs/>
        </w:rPr>
        <w:t>inter alia</w:t>
      </w:r>
      <w:r>
        <w:t xml:space="preserve"> to the “</w:t>
      </w:r>
      <w:r w:rsidRPr="002E768B">
        <w:rPr>
          <w:color w:val="4F81BD" w:themeColor="accent1"/>
        </w:rPr>
        <w:t>gravity</w:t>
      </w:r>
      <w:r>
        <w:t>” of an infringement, the “</w:t>
      </w:r>
      <w:r w:rsidRPr="002E768B">
        <w:rPr>
          <w:color w:val="4F81BD" w:themeColor="accent1"/>
        </w:rPr>
        <w:t>scope</w:t>
      </w:r>
      <w:r>
        <w:t>” of processing, the “</w:t>
      </w:r>
      <w:r w:rsidRPr="002E768B">
        <w:rPr>
          <w:color w:val="4F81BD" w:themeColor="accent1"/>
        </w:rPr>
        <w:t>the level of damage suffered by</w:t>
      </w:r>
      <w:r>
        <w:t>” data subjects, “</w:t>
      </w:r>
      <w:r w:rsidRPr="002E768B">
        <w:rPr>
          <w:color w:val="4F81BD" w:themeColor="accent1"/>
        </w:rPr>
        <w:t>any action taken by the controller or processor to mitigate the damage suffered by data subjects</w:t>
      </w:r>
      <w:r>
        <w:t>” and “</w:t>
      </w:r>
      <w:r w:rsidRPr="002E768B">
        <w:rPr>
          <w:color w:val="4F81BD" w:themeColor="accent1"/>
        </w:rPr>
        <w:t>the degree of responsibility of the controller or processor taking into account technical and organisational measures implemented by them pursuant to Articles 25 and 32</w:t>
      </w:r>
      <w:r>
        <w:t>” (see GDPR Article 83),</w:t>
      </w:r>
      <w:r w:rsidR="00DC6306">
        <w:t xml:space="preserve"> </w:t>
      </w:r>
    </w:p>
    <w:p w14:paraId="66AC59AB" w14:textId="29E1476F" w:rsidR="00B25565" w:rsidRDefault="007830EF" w:rsidP="00DC6306">
      <w:pPr>
        <w:pStyle w:val="BBClause2"/>
        <w:numPr>
          <w:ilvl w:val="0"/>
          <w:numId w:val="0"/>
        </w:numPr>
        <w:ind w:left="720"/>
      </w:pPr>
      <w:r>
        <w:t>w</w:t>
      </w:r>
      <w:r w:rsidR="00B25565">
        <w:t>e</w:t>
      </w:r>
      <w:r w:rsidR="00DC6306">
        <w:t xml:space="preserve"> therefor</w:t>
      </w:r>
      <w:r>
        <w:t>e</w:t>
      </w:r>
      <w:r w:rsidR="00B25565">
        <w:t xml:space="preserve"> consider</w:t>
      </w:r>
      <w:r w:rsidR="006200A4">
        <w:t xml:space="preserve"> that a </w:t>
      </w:r>
      <w:r w:rsidR="006200A4" w:rsidRPr="009C270E">
        <w:t>Registration-based email contact</w:t>
      </w:r>
      <w:r w:rsidR="006200A4">
        <w:t xml:space="preserve"> scheme carries lower risk than a Registrant-based email contact scheme.</w:t>
      </w:r>
    </w:p>
    <w:p w14:paraId="50EEE288" w14:textId="447BBE7A" w:rsidR="006B6094" w:rsidRDefault="00966EDD" w:rsidP="006200A4">
      <w:pPr>
        <w:pStyle w:val="BBClause1"/>
      </w:pPr>
      <w:bookmarkStart w:id="5" w:name="_Ref68785679"/>
      <w:r>
        <w:lastRenderedPageBreak/>
        <w:t xml:space="preserve">Having explained the balance of risk along the “Registration vs. Registrant-based scheme” axis, we turn now to contrasting risks for web-based publication versus </w:t>
      </w:r>
      <w:r w:rsidR="00DA5AB9">
        <w:t>automated disclosure.</w:t>
      </w:r>
      <w:r>
        <w:t xml:space="preserve"> </w:t>
      </w:r>
    </w:p>
    <w:p w14:paraId="68CE2C10" w14:textId="58930213" w:rsidR="00B2256A" w:rsidRPr="0062274F" w:rsidRDefault="001F5B2C" w:rsidP="001F5B2C">
      <w:pPr>
        <w:pStyle w:val="BBClause1"/>
      </w:pPr>
      <w:r>
        <w:t>A risk common to both</w:t>
      </w:r>
      <w:r w:rsidR="006B6094">
        <w:t xml:space="preserve"> a Registration-based </w:t>
      </w:r>
      <w:r>
        <w:t>and Registrant-based email contact schemes is spam or other unsolicited emails; this “addressability” is, arguably, one aspect of privacy.</w:t>
      </w:r>
      <w:r>
        <w:rPr>
          <w:rStyle w:val="FootnoteReference"/>
        </w:rPr>
        <w:footnoteReference w:id="13"/>
      </w:r>
      <w:r>
        <w:t xml:space="preserve">  Spam has been a longstanding concern for WHOIS systems; it was the subject of an ICANN Security and Stability Advisory Committee study in 2007, which concluded that “the appearance of email addresses in response to WHOIS queries is indeed a contributor to the receipt of spam, albeit just one of many”.</w:t>
      </w:r>
      <w:r>
        <w:rPr>
          <w:rStyle w:val="FootnoteReference"/>
        </w:rPr>
        <w:footnoteReference w:id="14"/>
      </w:r>
    </w:p>
    <w:p w14:paraId="4A77D76A" w14:textId="31CFD33E" w:rsidR="00392309" w:rsidRDefault="0062274F" w:rsidP="00392309">
      <w:pPr>
        <w:pStyle w:val="BBClause1"/>
      </w:pPr>
      <w:bookmarkStart w:id="6" w:name="_Ref68879362"/>
      <w:r>
        <w:t xml:space="preserve">Accordingly, </w:t>
      </w:r>
      <w:r w:rsidR="00392309">
        <w:t xml:space="preserve">whether a Registrant- or Registration-based email contact system is employed, </w:t>
      </w:r>
      <w:r>
        <w:t>effective measures should be taken to address the availability of address</w:t>
      </w:r>
      <w:r w:rsidR="004B73A4">
        <w:t>es</w:t>
      </w:r>
      <w:r>
        <w:t xml:space="preserve"> </w:t>
      </w:r>
      <w:r w:rsidR="004B73A4">
        <w:t>to</w:t>
      </w:r>
      <w:r>
        <w:t xml:space="preserve"> spammers </w:t>
      </w:r>
      <w:r w:rsidR="00392309" w:rsidRPr="00392309">
        <w:t xml:space="preserve">(e.g. use of technical features to prevent </w:t>
      </w:r>
      <w:r w:rsidR="004B73A4">
        <w:t>“</w:t>
      </w:r>
      <w:r w:rsidR="00392309" w:rsidRPr="00392309">
        <w:t>harvesting</w:t>
      </w:r>
      <w:r w:rsidR="004B73A4">
        <w:t>”</w:t>
      </w:r>
      <w:r w:rsidR="00392309" w:rsidRPr="00392309">
        <w:t xml:space="preserve"> of such addresses; and/or filtering out </w:t>
      </w:r>
      <w:r w:rsidR="004B73A4">
        <w:t xml:space="preserve">inappropriate communications </w:t>
      </w:r>
      <w:r w:rsidR="00392309" w:rsidRPr="00392309">
        <w:t xml:space="preserve">before </w:t>
      </w:r>
      <w:r w:rsidR="004B73A4">
        <w:t>they are</w:t>
      </w:r>
      <w:r w:rsidR="00392309" w:rsidRPr="00392309">
        <w:t xml:space="preserve"> delivered to the intended recipient)</w:t>
      </w:r>
      <w:r w:rsidR="00392309">
        <w:t>.</w:t>
      </w:r>
      <w:bookmarkEnd w:id="6"/>
    </w:p>
    <w:p w14:paraId="326B1062" w14:textId="67960740" w:rsidR="0062274F" w:rsidRPr="00392309" w:rsidRDefault="0062274F" w:rsidP="00CC4B63">
      <w:pPr>
        <w:pStyle w:val="BBClause1"/>
      </w:pPr>
      <w:r>
        <w:t xml:space="preserve">In comparison to web-based publication, we presume that automated disclosure allows </w:t>
      </w:r>
      <w:r w:rsidR="00392309">
        <w:t>further</w:t>
      </w:r>
      <w:r>
        <w:t xml:space="preserve"> scope to evaluate the motives for a request, the sources of that request, and to monitor / audit and apply protective measure (e.g. rate limits) on such requests – i.e. greater scope to deploy the sorts of mitigations that will reduce liability based on the </w:t>
      </w:r>
      <w:r w:rsidRPr="00392309">
        <w:t>factors set out in paragraph</w:t>
      </w:r>
      <w:r w:rsidR="004B73A4">
        <w:t xml:space="preserve"> </w:t>
      </w:r>
      <w:r w:rsidR="004B73A4">
        <w:fldChar w:fldCharType="begin"/>
      </w:r>
      <w:r w:rsidR="004B73A4">
        <w:instrText xml:space="preserve"> REF _Ref68785582 \r \p \h </w:instrText>
      </w:r>
      <w:r w:rsidR="004B73A4">
        <w:fldChar w:fldCharType="separate"/>
      </w:r>
      <w:r w:rsidR="004B73A4">
        <w:t>18 above</w:t>
      </w:r>
      <w:r w:rsidR="004B73A4">
        <w:fldChar w:fldCharType="end"/>
      </w:r>
      <w:r w:rsidRPr="00392309">
        <w:t>.  It would therefore appear that automated disclosure poses inherently less risk on this front, compared to web-based publication.</w:t>
      </w:r>
    </w:p>
    <w:p w14:paraId="1E1FAF1C" w14:textId="204EA037" w:rsidR="00392309" w:rsidRPr="00392309" w:rsidRDefault="0062274F" w:rsidP="006200A4">
      <w:pPr>
        <w:pStyle w:val="BBClause1"/>
      </w:pPr>
      <w:r w:rsidRPr="00392309">
        <w:t xml:space="preserve">Those potential advantages of automated disclosure </w:t>
      </w:r>
      <w:r w:rsidR="00392309" w:rsidRPr="00392309">
        <w:t>compared</w:t>
      </w:r>
      <w:r w:rsidRPr="00392309">
        <w:t xml:space="preserve"> to web-based publication also conceivably present GDPR Article 25 (privacy by design and by default) advantages.  Particularly, some thought would need to be given to ensuring that </w:t>
      </w:r>
      <w:r w:rsidR="006200A4" w:rsidRPr="00392309">
        <w:t xml:space="preserve">web-based publication </w:t>
      </w:r>
      <w:r w:rsidRPr="00392309">
        <w:t xml:space="preserve">is designed in such a way that it complies with </w:t>
      </w:r>
      <w:r w:rsidR="006200A4" w:rsidRPr="00392309">
        <w:t>GDPR Article 25(2), “</w:t>
      </w:r>
      <w:r w:rsidR="006200A4" w:rsidRPr="00392309">
        <w:rPr>
          <w:color w:val="4F81BD" w:themeColor="accent1"/>
        </w:rPr>
        <w:t>such measures shall ensure that by default personal data are not made accessible without the individual's intervention to an indefinite number of natural persons</w:t>
      </w:r>
      <w:r w:rsidR="006200A4" w:rsidRPr="00392309">
        <w:t>”.</w:t>
      </w:r>
      <w:r w:rsidR="0007531F" w:rsidRPr="00392309">
        <w:rPr>
          <w:rStyle w:val="FootnoteReference"/>
        </w:rPr>
        <w:footnoteReference w:id="15"/>
      </w:r>
      <w:r w:rsidR="006200A4" w:rsidRPr="00392309">
        <w:t xml:space="preserve">  </w:t>
      </w:r>
    </w:p>
    <w:p w14:paraId="36A9DC80" w14:textId="406B73B5" w:rsidR="00392309" w:rsidRDefault="00392309" w:rsidP="006200A4">
      <w:pPr>
        <w:pStyle w:val="BBClause1"/>
      </w:pPr>
      <w:r w:rsidRPr="00392309">
        <w:t>That said, if effective measures against spam are employed, and if a Registration—based approach is taken (due to its advantages discussed earlier), then given the resulting low utility of the data</w:t>
      </w:r>
      <w:r>
        <w:t>,</w:t>
      </w:r>
      <w:r w:rsidRPr="00392309">
        <w:t xml:space="preserve"> it is difficult to see how its web-based publication would </w:t>
      </w:r>
      <w:r>
        <w:t>present</w:t>
      </w:r>
      <w:r w:rsidRPr="00392309">
        <w:t xml:space="preserve"> meaningful </w:t>
      </w:r>
      <w:r>
        <w:t>risks to</w:t>
      </w:r>
      <w:r w:rsidRPr="00392309">
        <w:t xml:space="preserve"> privacy or data </w:t>
      </w:r>
      <w:r>
        <w:t>security</w:t>
      </w:r>
      <w:r w:rsidRPr="00392309">
        <w:t>.</w:t>
      </w:r>
    </w:p>
    <w:bookmarkEnd w:id="5"/>
    <w:p w14:paraId="13FC8F4A" w14:textId="0CC62CB1" w:rsidR="00684D11" w:rsidRDefault="00684D11" w:rsidP="00684D11">
      <w:pPr>
        <w:pStyle w:val="BBClause1"/>
        <w:numPr>
          <w:ilvl w:val="0"/>
          <w:numId w:val="0"/>
        </w:numPr>
        <w:ind w:left="720" w:hanging="720"/>
        <w:rPr>
          <w:rFonts w:cs="Calibri"/>
          <w:lang w:val="en-US"/>
        </w:rPr>
      </w:pPr>
    </w:p>
    <w:p w14:paraId="29AD3F85" w14:textId="6402E33E" w:rsidR="00684D11" w:rsidRPr="00C82229" w:rsidRDefault="00684D11" w:rsidP="00684D11">
      <w:pPr>
        <w:pStyle w:val="BBClause1"/>
        <w:numPr>
          <w:ilvl w:val="0"/>
          <w:numId w:val="0"/>
        </w:numPr>
        <w:ind w:left="720" w:hanging="720"/>
        <w:jc w:val="center"/>
      </w:pPr>
      <w:r>
        <w:rPr>
          <w:rFonts w:cs="Calibri"/>
          <w:lang w:val="en-US"/>
        </w:rPr>
        <w:t>*</w:t>
      </w:r>
      <w:r>
        <w:rPr>
          <w:rFonts w:cs="Calibri"/>
          <w:lang w:val="en-US"/>
        </w:rPr>
        <w:tab/>
        <w:t>*</w:t>
      </w:r>
      <w:r>
        <w:rPr>
          <w:rFonts w:cs="Calibri"/>
          <w:lang w:val="en-US"/>
        </w:rPr>
        <w:tab/>
        <w:t>*</w:t>
      </w:r>
    </w:p>
    <w:sectPr w:rsidR="00684D11" w:rsidRPr="00C82229" w:rsidSect="00223058">
      <w:headerReference w:type="even" r:id="rId11"/>
      <w:headerReference w:type="default" r:id="rId12"/>
      <w:footerReference w:type="even" r:id="rId13"/>
      <w:footerReference w:type="default" r:id="rId14"/>
      <w:headerReference w:type="first" r:id="rId15"/>
      <w:footerReference w:type="first" r:id="rId16"/>
      <w:pgSz w:w="11906" w:h="16838" w:code="9"/>
      <w:pgMar w:top="1843" w:right="1418" w:bottom="1701" w:left="1418" w:header="56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FCBAC" w14:textId="77777777" w:rsidR="0050293B" w:rsidRDefault="0050293B" w:rsidP="00DD6496">
      <w:r>
        <w:separator/>
      </w:r>
    </w:p>
  </w:endnote>
  <w:endnote w:type="continuationSeparator" w:id="0">
    <w:p w14:paraId="3DEEE80F" w14:textId="77777777" w:rsidR="0050293B" w:rsidRDefault="0050293B" w:rsidP="00DD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E1B57" w14:textId="77777777" w:rsidR="00B25565" w:rsidRDefault="00B255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57825" w14:textId="77777777" w:rsidR="00B25565" w:rsidRPr="00BC7557" w:rsidRDefault="00B25565" w:rsidP="00DD6496">
    <w:pPr>
      <w:pStyle w:val="Footer"/>
      <w:rPr>
        <w:sz w:val="16"/>
        <w:szCs w:val="16"/>
      </w:rPr>
    </w:pPr>
    <w:r>
      <w:tab/>
    </w: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F66C8" w14:textId="77777777" w:rsidR="00B25565" w:rsidRDefault="00B25565" w:rsidP="006758F8">
    <w:pPr>
      <w:pStyle w:val="Footer"/>
      <w:jc w:val="center"/>
      <w:rPr>
        <w:sz w:val="16"/>
        <w:szCs w:val="16"/>
      </w:rPr>
    </w:pPr>
    <w:bookmarkStart w:id="12" w:name="FooterLogo"/>
    <w:r>
      <w:rPr>
        <w:noProof/>
      </w:rPr>
      <w:drawing>
        <wp:inline distT="0" distB="0" distL="0" distR="0" wp14:anchorId="18AC9694" wp14:editId="3019659D">
          <wp:extent cx="5943600" cy="9048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5943600" cy="904806"/>
                  </a:xfrm>
                  <a:prstGeom prst="rect">
                    <a:avLst/>
                  </a:prstGeom>
                </pic:spPr>
              </pic:pic>
            </a:graphicData>
          </a:graphic>
        </wp:inline>
      </w:drawing>
    </w:r>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9BE09" w14:textId="77777777" w:rsidR="0050293B" w:rsidRDefault="0050293B" w:rsidP="00DD6496">
      <w:r>
        <w:separator/>
      </w:r>
    </w:p>
  </w:footnote>
  <w:footnote w:type="continuationSeparator" w:id="0">
    <w:p w14:paraId="5E3A9476" w14:textId="77777777" w:rsidR="0050293B" w:rsidRDefault="0050293B" w:rsidP="00DD6496">
      <w:r>
        <w:continuationSeparator/>
      </w:r>
    </w:p>
  </w:footnote>
  <w:footnote w:id="1">
    <w:p w14:paraId="5A66EAD9" w14:textId="3B236750" w:rsidR="00C13C50" w:rsidRDefault="00C13C50">
      <w:pPr>
        <w:pStyle w:val="FootnoteText"/>
      </w:pPr>
      <w:r>
        <w:rPr>
          <w:rStyle w:val="FootnoteReference"/>
        </w:rPr>
        <w:footnoteRef/>
      </w:r>
      <w:r>
        <w:t xml:space="preserve"> Judgement of the CJEU in Case </w:t>
      </w:r>
      <w:r w:rsidRPr="00C13C50">
        <w:t>C</w:t>
      </w:r>
      <w:r w:rsidRPr="00C13C50">
        <w:rPr>
          <w:rFonts w:ascii="Times New Roman" w:hAnsi="Times New Roman"/>
        </w:rPr>
        <w:t>‑</w:t>
      </w:r>
      <w:r w:rsidRPr="00C13C50">
        <w:t>434/16</w:t>
      </w:r>
      <w:r>
        <w:t xml:space="preserve"> </w:t>
      </w:r>
      <w:r>
        <w:rPr>
          <w:i/>
          <w:iCs/>
        </w:rPr>
        <w:t>Nowak,</w:t>
      </w:r>
      <w:r w:rsidRPr="00895F0A">
        <w:t xml:space="preserve"> </w:t>
      </w:r>
      <w:r w:rsidRPr="00C13C50">
        <w:t>ECLI:EU:C:2017:994</w:t>
      </w:r>
      <w:r>
        <w:t>, at paragraph 35.</w:t>
      </w:r>
    </w:p>
  </w:footnote>
  <w:footnote w:id="2">
    <w:p w14:paraId="0C06E998" w14:textId="46ABC280" w:rsidR="00DE3AD2" w:rsidRDefault="00DE3AD2">
      <w:pPr>
        <w:pStyle w:val="FootnoteText"/>
      </w:pPr>
      <w:r>
        <w:rPr>
          <w:rStyle w:val="FootnoteReference"/>
        </w:rPr>
        <w:footnoteRef/>
      </w:r>
      <w:r>
        <w:t xml:space="preserve"> </w:t>
      </w:r>
      <w:r w:rsidR="004373EA">
        <w:t xml:space="preserve">GDPR </w:t>
      </w:r>
      <w:r>
        <w:t>Recital 26</w:t>
      </w:r>
    </w:p>
  </w:footnote>
  <w:footnote w:id="3">
    <w:p w14:paraId="123E70DC" w14:textId="77777777" w:rsidR="004373EA" w:rsidRDefault="004373EA" w:rsidP="004373EA">
      <w:pPr>
        <w:pStyle w:val="FootnoteText"/>
      </w:pPr>
      <w:r>
        <w:rPr>
          <w:rStyle w:val="FootnoteReference"/>
        </w:rPr>
        <w:footnoteRef/>
      </w:r>
      <w:r>
        <w:t xml:space="preserve"> As quoted above, GDPR Recital 26 specifically refers to “singling out” when discussing means that are reasonably likely to be used to identify the data subject.</w:t>
      </w:r>
    </w:p>
  </w:footnote>
  <w:footnote w:id="4">
    <w:p w14:paraId="5B5613DB" w14:textId="7928C785" w:rsidR="006546E1" w:rsidRDefault="006546E1">
      <w:pPr>
        <w:pStyle w:val="FootnoteText"/>
      </w:pPr>
      <w:r>
        <w:rPr>
          <w:rStyle w:val="FootnoteReference"/>
        </w:rPr>
        <w:footnoteRef/>
      </w:r>
      <w:r>
        <w:t xml:space="preserve"> Singling out, linkability and inference are </w:t>
      </w:r>
      <w:r w:rsidR="004373EA">
        <w:t>three</w:t>
      </w:r>
      <w:r>
        <w:t xml:space="preserve"> parts of the anonymisation test proposed by the Article 29 Working Party, in its Opinion 05/2014 on Anonymisation Techniques (“</w:t>
      </w:r>
      <w:r w:rsidR="004373EA">
        <w:t>W</w:t>
      </w:r>
      <w:r>
        <w:t>P 216</w:t>
      </w:r>
      <w:r w:rsidR="004373EA">
        <w:t>”</w:t>
      </w:r>
      <w:r>
        <w:t xml:space="preserve">), available online at </w:t>
      </w:r>
      <w:hyperlink r:id="rId1" w:history="1">
        <w:r w:rsidR="004373EA" w:rsidRPr="003252A1">
          <w:rPr>
            <w:rStyle w:val="Hyperlink"/>
          </w:rPr>
          <w:t>https://ec.europa.eu/justice/article-29/documentation/opinion-recommendation/files/2014/wp216_en.pdf</w:t>
        </w:r>
      </w:hyperlink>
      <w:r w:rsidR="004373EA">
        <w:t xml:space="preserve"> </w:t>
      </w:r>
    </w:p>
  </w:footnote>
  <w:footnote w:id="5">
    <w:p w14:paraId="226E1125" w14:textId="2871EFE3" w:rsidR="00B25565" w:rsidRDefault="00B25565" w:rsidP="006546E1">
      <w:pPr>
        <w:pStyle w:val="FootnoteText"/>
      </w:pPr>
      <w:r>
        <w:rPr>
          <w:rStyle w:val="FootnoteReference"/>
        </w:rPr>
        <w:footnoteRef/>
      </w:r>
      <w:r>
        <w:t xml:space="preserve"> On this point, see GDPR Recital 30</w:t>
      </w:r>
      <w:r w:rsidR="006546E1">
        <w:t xml:space="preserve"> (“Natural persons may be associated with online identifiers provided by their devices, applications, tools and protocols, such as internet protocol addresses, cookie identifiers or other identifiers such as radio frequency identification tags. This may leave traces which, in particular when combined with unique identifiers and other information received by the servers, may be used to create profiles of the natural persons and identify them.”)</w:t>
      </w:r>
    </w:p>
  </w:footnote>
  <w:footnote w:id="6">
    <w:p w14:paraId="5C392670" w14:textId="33DEF61A" w:rsidR="00B25565" w:rsidRPr="00895F0A" w:rsidRDefault="00B25565">
      <w:pPr>
        <w:pStyle w:val="FootnoteText"/>
      </w:pPr>
      <w:r>
        <w:rPr>
          <w:rStyle w:val="FootnoteReference"/>
        </w:rPr>
        <w:footnoteRef/>
      </w:r>
      <w:r>
        <w:t xml:space="preserve"> Judgement of the CJEU in Case </w:t>
      </w:r>
      <w:r w:rsidRPr="00895F0A">
        <w:t>C</w:t>
      </w:r>
      <w:r w:rsidRPr="00895F0A">
        <w:rPr>
          <w:rFonts w:ascii="Times New Roman" w:hAnsi="Times New Roman"/>
        </w:rPr>
        <w:t>‑</w:t>
      </w:r>
      <w:r w:rsidRPr="00895F0A">
        <w:t>582/14</w:t>
      </w:r>
      <w:r>
        <w:t xml:space="preserve"> </w:t>
      </w:r>
      <w:r>
        <w:rPr>
          <w:i/>
          <w:iCs/>
        </w:rPr>
        <w:t>Breyer,</w:t>
      </w:r>
      <w:r w:rsidRPr="00895F0A">
        <w:t xml:space="preserve"> ECLI:EU:C:2016:779</w:t>
      </w:r>
      <w:r>
        <w:t>, at paragraphs 45 and 46.</w:t>
      </w:r>
    </w:p>
  </w:footnote>
  <w:footnote w:id="7">
    <w:p w14:paraId="6509AEDC" w14:textId="0BAC3A85" w:rsidR="00B25565" w:rsidRPr="00024551" w:rsidRDefault="00B25565">
      <w:pPr>
        <w:pStyle w:val="FootnoteText"/>
      </w:pPr>
      <w:r>
        <w:rPr>
          <w:rStyle w:val="FootnoteReference"/>
        </w:rPr>
        <w:footnoteRef/>
      </w:r>
      <w:r>
        <w:t xml:space="preserve"> In some cases, a recipient contact address might be a shared mailbox (e.g. </w:t>
      </w:r>
      <w:hyperlink r:id="rId2" w:history="1">
        <w:r w:rsidRPr="00180BAD">
          <w:rPr>
            <w:rStyle w:val="Hyperlink"/>
          </w:rPr>
          <w:t>enquiries@example.com</w:t>
        </w:r>
      </w:hyperlink>
      <w:r>
        <w:t xml:space="preserve">), in which case the masked contact address is arguably </w:t>
      </w:r>
      <w:r>
        <w:rPr>
          <w:i/>
          <w:iCs/>
        </w:rPr>
        <w:t>not</w:t>
      </w:r>
      <w:r>
        <w:t xml:space="preserve"> personal data, whether by application of the </w:t>
      </w:r>
      <w:r>
        <w:rPr>
          <w:i/>
          <w:iCs/>
        </w:rPr>
        <w:t>Nowak</w:t>
      </w:r>
      <w:r>
        <w:t xml:space="preserve"> or </w:t>
      </w:r>
      <w:r>
        <w:rPr>
          <w:i/>
          <w:iCs/>
        </w:rPr>
        <w:t>Breyer</w:t>
      </w:r>
      <w:r w:rsidR="00024551">
        <w:t xml:space="preserve"> tests.</w:t>
      </w:r>
    </w:p>
  </w:footnote>
  <w:footnote w:id="8">
    <w:p w14:paraId="501058E6" w14:textId="5D3A5FCB" w:rsidR="00B25565" w:rsidRDefault="00B25565">
      <w:pPr>
        <w:pStyle w:val="FootnoteText"/>
      </w:pPr>
      <w:r>
        <w:rPr>
          <w:rStyle w:val="FootnoteReference"/>
        </w:rPr>
        <w:footnoteRef/>
      </w:r>
      <w:r>
        <w:t xml:space="preserve"> WP 136, at page 10.  </w:t>
      </w:r>
    </w:p>
  </w:footnote>
  <w:footnote w:id="9">
    <w:p w14:paraId="29AF2BC0" w14:textId="2B9347FA" w:rsidR="00B25565" w:rsidRDefault="00B25565">
      <w:pPr>
        <w:pStyle w:val="FootnoteText"/>
      </w:pPr>
      <w:r>
        <w:rPr>
          <w:rStyle w:val="FootnoteReference"/>
        </w:rPr>
        <w:footnoteRef/>
      </w:r>
      <w:r>
        <w:t xml:space="preserve"> </w:t>
      </w:r>
      <w:hyperlink r:id="rId3" w:history="1">
        <w:r w:rsidRPr="00180BAD">
          <w:rPr>
            <w:rStyle w:val="Hyperlink"/>
          </w:rPr>
          <w:t>https://www.autoriteprotectiondonnees.be/citoyen/vie-privee/lexique</w:t>
        </w:r>
      </w:hyperlink>
      <w:r>
        <w:t xml:space="preserve"> </w:t>
      </w:r>
    </w:p>
  </w:footnote>
  <w:footnote w:id="10">
    <w:p w14:paraId="4322A1FD" w14:textId="4BA9E3CC" w:rsidR="00B25565" w:rsidRDefault="00B25565">
      <w:pPr>
        <w:pStyle w:val="FootnoteText"/>
      </w:pPr>
      <w:r>
        <w:rPr>
          <w:rStyle w:val="FootnoteReference"/>
        </w:rPr>
        <w:footnoteRef/>
      </w:r>
      <w:r>
        <w:t xml:space="preserve"> </w:t>
      </w:r>
      <w:hyperlink r:id="rId4" w:anchor="pd5" w:history="1">
        <w:r w:rsidRPr="00180BAD">
          <w:rPr>
            <w:rStyle w:val="Hyperlink"/>
          </w:rPr>
          <w:t>https://ico.org.uk/for-organisations/guide-to-data-protection/guide-to-the-general-data-protection-regulation-gdpr/what-is-personal-data/what-is-the-meaning-of-relates-to/#pd5</w:t>
        </w:r>
      </w:hyperlink>
      <w:r>
        <w:t xml:space="preserve"> </w:t>
      </w:r>
    </w:p>
  </w:footnote>
  <w:footnote w:id="11">
    <w:p w14:paraId="6CC7836C" w14:textId="77777777" w:rsidR="004A37A4" w:rsidRDefault="004A37A4" w:rsidP="004A37A4">
      <w:pPr>
        <w:pStyle w:val="FootnoteText"/>
      </w:pPr>
      <w:r>
        <w:rPr>
          <w:rStyle w:val="FootnoteReference"/>
        </w:rPr>
        <w:footnoteRef/>
      </w:r>
      <w:r>
        <w:t xml:space="preserve"> Article 29 Working Party, </w:t>
      </w:r>
      <w:r w:rsidRPr="008D0F24">
        <w:rPr>
          <w:i/>
          <w:iCs/>
        </w:rPr>
        <w:t>Opinion 4/2007 on the concept of personal data</w:t>
      </w:r>
      <w:r>
        <w:t xml:space="preserve"> (WP 136), at p. 10. Available online at </w:t>
      </w:r>
      <w:hyperlink r:id="rId5" w:history="1">
        <w:r w:rsidRPr="00180BAD">
          <w:rPr>
            <w:rStyle w:val="Hyperlink"/>
          </w:rPr>
          <w:t>https://ec.europa.eu/justice/article-29/documentation/opinion-recommendation/files/2007/wp136_en.pdf</w:t>
        </w:r>
      </w:hyperlink>
    </w:p>
  </w:footnote>
  <w:footnote w:id="12">
    <w:p w14:paraId="5E045E72" w14:textId="6CBD319A" w:rsidR="00C842D8" w:rsidRDefault="00C842D8" w:rsidP="00C842D8">
      <w:pPr>
        <w:pStyle w:val="FootnoteText"/>
      </w:pPr>
      <w:r>
        <w:rPr>
          <w:rStyle w:val="FootnoteReference"/>
        </w:rPr>
        <w:footnoteRef/>
      </w:r>
      <w:r>
        <w:t xml:space="preserve"> Such features, before being rolled out, would require careful consideration.  For old guidance on the issue, see Article 29 Working Party Opinion 5/2000 on The Use of Public Directories for Reverse or Multi-criteria Searching Services (Reverse Directories) (</w:t>
      </w:r>
      <w:r w:rsidR="002E768B">
        <w:t>“</w:t>
      </w:r>
      <w:r>
        <w:t>WP 33</w:t>
      </w:r>
      <w:r w:rsidR="002E768B">
        <w:t>”</w:t>
      </w:r>
      <w:r>
        <w:t xml:space="preserve">), available online at </w:t>
      </w:r>
      <w:hyperlink r:id="rId6" w:history="1">
        <w:r w:rsidRPr="00180BAD">
          <w:rPr>
            <w:rStyle w:val="Hyperlink"/>
          </w:rPr>
          <w:t>https://ec.europa.eu/justice/article-29/documentation/opinion-recommendation/files/2000/wp33_en.pdf</w:t>
        </w:r>
      </w:hyperlink>
      <w:r>
        <w:t xml:space="preserve"> </w:t>
      </w:r>
    </w:p>
  </w:footnote>
  <w:footnote w:id="13">
    <w:p w14:paraId="0B805D11" w14:textId="130E3F4B" w:rsidR="001F5B2C" w:rsidRDefault="001F5B2C">
      <w:pPr>
        <w:pStyle w:val="FootnoteText"/>
      </w:pPr>
      <w:r>
        <w:rPr>
          <w:rStyle w:val="FootnoteReference"/>
        </w:rPr>
        <w:footnoteRef/>
      </w:r>
      <w:r>
        <w:t xml:space="preserve"> Recital 40 of Directive 2002/58/EC (the EU’s “ePrivacy Directive”) states: “</w:t>
      </w:r>
      <w:r w:rsidRPr="001F5B2C">
        <w:t>Safeguards should be provided for subscribers against intrusion of their privacy by unsolicited communications for direct marketing purposes in particular by means of automated calling machines, telefaxes, and e-mails, including SMS messages.</w:t>
      </w:r>
      <w:r>
        <w:t>”</w:t>
      </w:r>
    </w:p>
  </w:footnote>
  <w:footnote w:id="14">
    <w:p w14:paraId="16A75C2A" w14:textId="1DD8E9DC" w:rsidR="001F5B2C" w:rsidRDefault="001F5B2C">
      <w:pPr>
        <w:pStyle w:val="FootnoteText"/>
      </w:pPr>
      <w:r>
        <w:rPr>
          <w:rStyle w:val="FootnoteReference"/>
        </w:rPr>
        <w:footnoteRef/>
      </w:r>
      <w:r>
        <w:t xml:space="preserve"> </w:t>
      </w:r>
      <w:r w:rsidRPr="001F5B2C">
        <w:rPr>
          <w:i/>
          <w:iCs/>
        </w:rPr>
        <w:t>SAC 023: Is the WHOIS Service a Source for email Addresses for Spammers?</w:t>
      </w:r>
      <w:r>
        <w:t xml:space="preserve"> , Executive Summary.  Available online at </w:t>
      </w:r>
      <w:hyperlink r:id="rId7" w:history="1">
        <w:r w:rsidR="004B73A4" w:rsidRPr="003252A1">
          <w:rPr>
            <w:rStyle w:val="Hyperlink"/>
          </w:rPr>
          <w:t>https://www.icann.org/en/system/files/files/sac-023-en.pdf</w:t>
        </w:r>
      </w:hyperlink>
      <w:r w:rsidR="004B73A4">
        <w:t xml:space="preserve"> </w:t>
      </w:r>
    </w:p>
  </w:footnote>
  <w:footnote w:id="15">
    <w:p w14:paraId="485DF666" w14:textId="4395E0A9" w:rsidR="0007531F" w:rsidRDefault="0007531F">
      <w:pPr>
        <w:pStyle w:val="FootnoteText"/>
      </w:pPr>
      <w:r>
        <w:rPr>
          <w:rStyle w:val="FootnoteReference"/>
        </w:rPr>
        <w:footnoteRef/>
      </w:r>
      <w:r>
        <w:t xml:space="preserve"> In </w:t>
      </w:r>
      <w:r w:rsidRPr="0007531F">
        <w:rPr>
          <w:i/>
          <w:iCs/>
        </w:rPr>
        <w:t>its Guidelines 4/2019 on Article 25 Data Protection by Design and by Default, v2.0</w:t>
      </w:r>
      <w:r>
        <w:t xml:space="preserve">, at paragraph 56, the </w:t>
      </w:r>
      <w:r w:rsidR="004B73A4">
        <w:t>EDPB</w:t>
      </w:r>
      <w:r>
        <w:t xml:space="preserve"> explains that this means that “[t]he controller shall by default limit accessibility and give the data subject the possibility to intervene before publishing or otherwise making available personal data about the data subject to an indefinite number of natural persons”.  Available online at </w:t>
      </w:r>
      <w:hyperlink r:id="rId8" w:history="1">
        <w:r w:rsidRPr="00180BAD">
          <w:rPr>
            <w:rStyle w:val="Hyperlink"/>
          </w:rPr>
          <w:t>https://edpb.europa.eu/sites/edpb/files/files/file1/edpb_guidelines_201904_dataprotection_by_design_and_by_default_v2.0_en.pdf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BE21B" w14:textId="77777777" w:rsidR="00B25565" w:rsidRDefault="00B255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885" w:type="dxa"/>
      <w:tblLook w:val="04A0" w:firstRow="1" w:lastRow="0" w:firstColumn="1" w:lastColumn="0" w:noHBand="0" w:noVBand="1"/>
    </w:tblPr>
    <w:tblGrid>
      <w:gridCol w:w="9286"/>
    </w:tblGrid>
    <w:tr w:rsidR="00B25565" w:rsidRPr="00E3252C" w14:paraId="4BF23987" w14:textId="77777777" w:rsidTr="00E3252C">
      <w:tc>
        <w:tcPr>
          <w:tcW w:w="9286" w:type="dxa"/>
          <w:shd w:val="clear" w:color="auto" w:fill="auto"/>
        </w:tcPr>
        <w:p w14:paraId="4D54DEC0" w14:textId="77777777" w:rsidR="00B25565" w:rsidRPr="00E3252C" w:rsidRDefault="00B25565" w:rsidP="00E3252C">
          <w:pPr>
            <w:pStyle w:val="Header"/>
            <w:tabs>
              <w:tab w:val="clear" w:pos="4513"/>
            </w:tabs>
            <w:jc w:val="left"/>
          </w:pPr>
          <w:bookmarkStart w:id="7" w:name="Logo1"/>
          <w:r>
            <w:rPr>
              <w:noProof/>
              <w:lang w:eastAsia="en-GB"/>
            </w:rPr>
            <w:drawing>
              <wp:inline distT="0" distB="0" distL="0" distR="0" wp14:anchorId="78646D39" wp14:editId="3FBF0916">
                <wp:extent cx="1505715" cy="2651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1505715" cy="265176"/>
                        </a:xfrm>
                        <a:prstGeom prst="rect">
                          <a:avLst/>
                        </a:prstGeom>
                      </pic:spPr>
                    </pic:pic>
                  </a:graphicData>
                </a:graphic>
              </wp:inline>
            </w:drawing>
          </w:r>
          <w:bookmarkEnd w:id="7"/>
        </w:p>
      </w:tc>
    </w:tr>
  </w:tbl>
  <w:p w14:paraId="2695CF5B" w14:textId="77777777" w:rsidR="00B25565" w:rsidRDefault="00B25565" w:rsidP="00C723DA">
    <w:pPr>
      <w:pStyle w:val="Header"/>
      <w:tabs>
        <w:tab w:val="clear" w:pos="4513"/>
      </w:tabs>
      <w:jc w:val="left"/>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307" w:type="dxa"/>
      <w:tblInd w:w="-851" w:type="dxa"/>
      <w:tblLook w:val="04A0" w:firstRow="1" w:lastRow="0" w:firstColumn="1" w:lastColumn="0" w:noHBand="0" w:noVBand="1"/>
    </w:tblPr>
    <w:tblGrid>
      <w:gridCol w:w="8614"/>
      <w:gridCol w:w="2693"/>
    </w:tblGrid>
    <w:tr w:rsidR="00B25565" w:rsidRPr="00E3252C" w14:paraId="14A4F2CD" w14:textId="77777777" w:rsidTr="003777C5">
      <w:tc>
        <w:tcPr>
          <w:tcW w:w="8614" w:type="dxa"/>
        </w:tcPr>
        <w:bookmarkStart w:id="8" w:name="_Hlk60731770"/>
        <w:bookmarkStart w:id="9" w:name="_Hlk60731771"/>
        <w:p w14:paraId="37D02A98" w14:textId="77777777" w:rsidR="00B25565" w:rsidRPr="00E3252C" w:rsidRDefault="00B25565" w:rsidP="009A3795">
          <w:pPr>
            <w:pStyle w:val="Header"/>
            <w:tabs>
              <w:tab w:val="clear" w:pos="4513"/>
              <w:tab w:val="clear" w:pos="9026"/>
              <w:tab w:val="left" w:pos="2760"/>
            </w:tabs>
            <w:ind w:right="-3335"/>
          </w:pPr>
          <w:r>
            <w:rPr>
              <w:noProof/>
              <w:lang w:eastAsia="en-GB"/>
            </w:rPr>
            <mc:AlternateContent>
              <mc:Choice Requires="wps">
                <w:drawing>
                  <wp:anchor distT="0" distB="0" distL="114300" distR="114300" simplePos="0" relativeHeight="251659264" behindDoc="1" locked="0" layoutInCell="1" allowOverlap="1" wp14:anchorId="1ECC61B1" wp14:editId="21CC8ED5">
                    <wp:simplePos x="0" y="0"/>
                    <wp:positionH relativeFrom="column">
                      <wp:posOffset>5393055</wp:posOffset>
                    </wp:positionH>
                    <wp:positionV relativeFrom="paragraph">
                      <wp:posOffset>-17145</wp:posOffset>
                    </wp:positionV>
                    <wp:extent cx="1707515" cy="5438775"/>
                    <wp:effectExtent l="0" t="0" r="698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5438775"/>
                            </a:xfrm>
                            <a:prstGeom prst="rect">
                              <a:avLst/>
                            </a:prstGeom>
                            <a:solidFill>
                              <a:srgbClr val="FFFFFF"/>
                            </a:solidFill>
                            <a:ln w="9525">
                              <a:noFill/>
                              <a:miter lim="800000"/>
                              <a:headEnd/>
                              <a:tailEnd/>
                            </a:ln>
                          </wps:spPr>
                          <wps:txbx>
                            <w:txbxContent>
                              <w:p w14:paraId="595BF434" w14:textId="77777777" w:rsidR="00B25565" w:rsidRDefault="00B25565" w:rsidP="009A3795">
                                <w:bookmarkStart w:id="10" w:name="OfficeAddress"/>
                                <w:r>
                                  <w:rPr>
                                    <w:noProof/>
                                    <w:lang w:eastAsia="en-GB"/>
                                  </w:rPr>
                                  <w:drawing>
                                    <wp:inline distT="0" distB="0" distL="0" distR="0" wp14:anchorId="248484AE" wp14:editId="0AE2E074">
                                      <wp:extent cx="1515600" cy="11978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1515600" cy="1197812"/>
                                              </a:xfrm>
                                              <a:prstGeom prst="rect">
                                                <a:avLst/>
                                              </a:prstGeom>
                                            </pic:spPr>
                                          </pic:pic>
                                        </a:graphicData>
                                      </a:graphic>
                                    </wp:inline>
                                  </w:drawing>
                                </w:r>
                                <w:bookmarkEnd w:id="1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CC61B1" id="_x0000_t202" coordsize="21600,21600" o:spt="202" path="m,l,21600r21600,l21600,xe">
                    <v:stroke joinstyle="miter"/>
                    <v:path gradientshapeok="t" o:connecttype="rect"/>
                  </v:shapetype>
                  <v:shape id="Text Box 2" o:spid="_x0000_s1026" type="#_x0000_t202" style="position:absolute;left:0;text-align:left;margin-left:424.65pt;margin-top:-1.35pt;width:134.45pt;height:42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" stroked="f">
                    <v:textbox>
                      <w:txbxContent>
                        <w:p w14:paraId="595BF434" w14:textId="77777777" w:rsidR="00B25565" w:rsidRDefault="00B25565" w:rsidP="009A3795">
                          <w:bookmarkStart w:id="11" w:name="OfficeAddress"/>
                          <w:r>
                            <w:rPr>
                              <w:noProof/>
                              <w:lang w:eastAsia="en-GB"/>
                            </w:rPr>
                            <w:drawing>
                              <wp:inline distT="0" distB="0" distL="0" distR="0" wp14:anchorId="248484AE" wp14:editId="0AE2E074">
                                <wp:extent cx="1515600" cy="11978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 cstate="print"/>
                                        <a:stretch>
                                          <a:fillRect/>
                                        </a:stretch>
                                      </pic:blipFill>
                                      <pic:spPr>
                                        <a:xfrm>
                                          <a:off x="0" y="0"/>
                                          <a:ext cx="1515600" cy="1197812"/>
                                        </a:xfrm>
                                        <a:prstGeom prst="rect">
                                          <a:avLst/>
                                        </a:prstGeom>
                                      </pic:spPr>
                                    </pic:pic>
                                  </a:graphicData>
                                </a:graphic>
                              </wp:inline>
                            </w:drawing>
                          </w:r>
                          <w:bookmarkEnd w:id="11"/>
                        </w:p>
                      </w:txbxContent>
                    </v:textbox>
                  </v:shape>
                </w:pict>
              </mc:Fallback>
            </mc:AlternateContent>
          </w:r>
          <w:r>
            <w:rPr>
              <w:noProof/>
              <w:lang w:eastAsia="en-GB"/>
            </w:rPr>
            <w:t xml:space="preserve"> </w:t>
          </w:r>
          <w:bookmarkStart w:id="11" w:name="Logo"/>
          <w:r>
            <w:rPr>
              <w:noProof/>
              <w:lang w:eastAsia="en-GB"/>
            </w:rPr>
            <w:drawing>
              <wp:inline distT="0" distB="0" distL="0" distR="0" wp14:anchorId="3F903874" wp14:editId="1AD28106">
                <wp:extent cx="1505715" cy="265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 cstate="print"/>
                        <a:stretch>
                          <a:fillRect/>
                        </a:stretch>
                      </pic:blipFill>
                      <pic:spPr>
                        <a:xfrm>
                          <a:off x="0" y="0"/>
                          <a:ext cx="1505715" cy="265176"/>
                        </a:xfrm>
                        <a:prstGeom prst="rect">
                          <a:avLst/>
                        </a:prstGeom>
                      </pic:spPr>
                    </pic:pic>
                  </a:graphicData>
                </a:graphic>
              </wp:inline>
            </w:drawing>
          </w:r>
          <w:bookmarkEnd w:id="11"/>
          <w:r>
            <w:rPr>
              <w:noProof/>
              <w:lang w:eastAsia="en-GB"/>
            </w:rPr>
            <w:tab/>
          </w:r>
        </w:p>
      </w:tc>
      <w:tc>
        <w:tcPr>
          <w:tcW w:w="2693" w:type="dxa"/>
        </w:tcPr>
        <w:p w14:paraId="47FECA55" w14:textId="77777777" w:rsidR="00B25565" w:rsidRPr="00E3252C" w:rsidRDefault="00B25565" w:rsidP="009A3795">
          <w:pPr>
            <w:pStyle w:val="Header"/>
            <w:tabs>
              <w:tab w:val="clear" w:pos="4513"/>
              <w:tab w:val="clear" w:pos="9026"/>
            </w:tabs>
            <w:ind w:right="-1136"/>
          </w:pPr>
          <w:r>
            <w:t xml:space="preserve">  </w:t>
          </w:r>
        </w:p>
      </w:tc>
    </w:tr>
    <w:tr w:rsidR="00B25565" w:rsidRPr="00E3252C" w14:paraId="3AD1172D" w14:textId="77777777" w:rsidTr="003777C5">
      <w:tc>
        <w:tcPr>
          <w:tcW w:w="8614" w:type="dxa"/>
        </w:tcPr>
        <w:p w14:paraId="170366BC" w14:textId="77777777" w:rsidR="00B25565" w:rsidRDefault="00B25565" w:rsidP="009A3795">
          <w:pPr>
            <w:pStyle w:val="Header"/>
            <w:tabs>
              <w:tab w:val="clear" w:pos="4513"/>
              <w:tab w:val="clear" w:pos="9026"/>
              <w:tab w:val="left" w:pos="2760"/>
            </w:tabs>
            <w:ind w:right="-3335"/>
            <w:rPr>
              <w:noProof/>
              <w:lang w:eastAsia="en-GB"/>
            </w:rPr>
          </w:pPr>
        </w:p>
      </w:tc>
      <w:tc>
        <w:tcPr>
          <w:tcW w:w="2693" w:type="dxa"/>
        </w:tcPr>
        <w:p w14:paraId="7888FFFA" w14:textId="77777777" w:rsidR="00B25565" w:rsidRDefault="00B25565" w:rsidP="009A3795">
          <w:pPr>
            <w:pStyle w:val="Header"/>
            <w:tabs>
              <w:tab w:val="clear" w:pos="4513"/>
              <w:tab w:val="clear" w:pos="9026"/>
            </w:tabs>
            <w:ind w:right="-1136"/>
          </w:pPr>
        </w:p>
      </w:tc>
    </w:tr>
    <w:bookmarkEnd w:id="8"/>
    <w:bookmarkEnd w:id="9"/>
  </w:tbl>
  <w:p w14:paraId="0272EED8" w14:textId="77777777" w:rsidR="00B25565" w:rsidRDefault="00B25565" w:rsidP="009A3795">
    <w:pPr>
      <w:pStyle w:val="Header"/>
      <w:tabs>
        <w:tab w:val="clear" w:pos="4513"/>
        <w:tab w:val="clear" w:pos="9026"/>
      </w:tabs>
      <w:ind w:right="-1136"/>
    </w:pPr>
  </w:p>
  <w:p w14:paraId="0E41919D" w14:textId="77777777" w:rsidR="00B25565" w:rsidRPr="009A3795" w:rsidRDefault="00B25565" w:rsidP="009A3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E3E36"/>
    <w:multiLevelType w:val="hybridMultilevel"/>
    <w:tmpl w:val="50D0A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9466E"/>
    <w:multiLevelType w:val="multilevel"/>
    <w:tmpl w:val="22B85D12"/>
    <w:styleLink w:val="NumberingSchedules"/>
    <w:lvl w:ilvl="0">
      <w:start w:val="1"/>
      <w:numFmt w:val="decimal"/>
      <w:pStyle w:val="BBScheduleHeading1"/>
      <w:lvlText w:val="%1."/>
      <w:lvlJc w:val="left"/>
      <w:pPr>
        <w:tabs>
          <w:tab w:val="num" w:pos="720"/>
        </w:tabs>
        <w:ind w:left="720" w:hanging="720"/>
      </w:pPr>
      <w:rPr>
        <w:rFonts w:hint="default"/>
      </w:rPr>
    </w:lvl>
    <w:lvl w:ilvl="1">
      <w:start w:val="1"/>
      <w:numFmt w:val="decimal"/>
      <w:pStyle w:val="BBSchedule2"/>
      <w:lvlText w:val="%1.%2"/>
      <w:lvlJc w:val="left"/>
      <w:pPr>
        <w:tabs>
          <w:tab w:val="num" w:pos="720"/>
        </w:tabs>
        <w:ind w:left="720" w:hanging="720"/>
      </w:pPr>
      <w:rPr>
        <w:rFonts w:hint="default"/>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lowerLetter"/>
      <w:pStyle w:val="BBSchedule7"/>
      <w:lvlText w:val="(%7)"/>
      <w:lvlJc w:val="left"/>
      <w:pPr>
        <w:tabs>
          <w:tab w:val="num" w:pos="4321"/>
        </w:tabs>
        <w:ind w:left="4321" w:hanging="721"/>
      </w:pPr>
      <w:rPr>
        <w:rFonts w:hint="default"/>
      </w:rPr>
    </w:lvl>
    <w:lvl w:ilvl="7">
      <w:start w:val="1"/>
      <w:numFmt w:val="lowerRoman"/>
      <w:pStyle w:val="BBSchedule8"/>
      <w:lvlText w:val="(%8)"/>
      <w:lvlJc w:val="left"/>
      <w:pPr>
        <w:tabs>
          <w:tab w:val="num" w:pos="5041"/>
        </w:tabs>
        <w:ind w:left="5041" w:hanging="720"/>
      </w:pPr>
      <w:rPr>
        <w:rFonts w:hint="default"/>
      </w:rPr>
    </w:lvl>
    <w:lvl w:ilvl="8">
      <w:start w:val="1"/>
      <w:numFmt w:val="lowerRoman"/>
      <w:pStyle w:val="BBSchedule9"/>
      <w:lvlText w:val="%9."/>
      <w:lvlJc w:val="left"/>
      <w:pPr>
        <w:tabs>
          <w:tab w:val="num" w:pos="5761"/>
        </w:tabs>
        <w:ind w:left="5761" w:hanging="720"/>
      </w:pPr>
      <w:rPr>
        <w:rFonts w:hint="default"/>
      </w:rPr>
    </w:lvl>
  </w:abstractNum>
  <w:abstractNum w:abstractNumId="2" w15:restartNumberingAfterBreak="0">
    <w:nsid w:val="04CF383A"/>
    <w:multiLevelType w:val="multilevel"/>
    <w:tmpl w:val="83664E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8927699"/>
    <w:multiLevelType w:val="hybridMultilevel"/>
    <w:tmpl w:val="6988013C"/>
    <w:lvl w:ilvl="0" w:tplc="A6D4B32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76DAD"/>
    <w:multiLevelType w:val="hybridMultilevel"/>
    <w:tmpl w:val="3B7085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7D45DD"/>
    <w:multiLevelType w:val="hybridMultilevel"/>
    <w:tmpl w:val="43BAB698"/>
    <w:lvl w:ilvl="0" w:tplc="BF2EEE36">
      <w:numFmt w:val="bullet"/>
      <w:lvlText w:val="-"/>
      <w:lvlJc w:val="left"/>
      <w:pPr>
        <w:ind w:left="720" w:hanging="360"/>
      </w:pPr>
      <w:rPr>
        <w:rFonts w:ascii="Georgia" w:eastAsia="Calibri"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23EE2"/>
    <w:multiLevelType w:val="multilevel"/>
    <w:tmpl w:val="422638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865D9D"/>
    <w:multiLevelType w:val="hybridMultilevel"/>
    <w:tmpl w:val="01020FE8"/>
    <w:lvl w:ilvl="0" w:tplc="E1DC52BA">
      <w:numFmt w:val="bullet"/>
      <w:lvlText w:val="•"/>
      <w:lvlJc w:val="left"/>
      <w:pPr>
        <w:ind w:left="1080" w:hanging="360"/>
      </w:pPr>
      <w:rPr>
        <w:rFonts w:ascii="Georgia" w:eastAsia="Calibri" w:hAnsi="Georgi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F6B5EA9"/>
    <w:multiLevelType w:val="multilevel"/>
    <w:tmpl w:val="77080A38"/>
    <w:styleLink w:val="BulletList"/>
    <w:lvl w:ilvl="0">
      <w:start w:val="1"/>
      <w:numFmt w:val="bullet"/>
      <w:pStyle w:val="BBBulletatMargin"/>
      <w:lvlText w:val=""/>
      <w:lvlJc w:val="left"/>
      <w:pPr>
        <w:tabs>
          <w:tab w:val="num" w:pos="720"/>
        </w:tabs>
        <w:ind w:left="720" w:hanging="720"/>
      </w:pPr>
      <w:rPr>
        <w:rFonts w:ascii="Symbol" w:hAnsi="Symbol" w:hint="default"/>
      </w:rPr>
    </w:lvl>
    <w:lvl w:ilvl="1">
      <w:start w:val="1"/>
      <w:numFmt w:val="bullet"/>
      <w:pStyle w:val="BBBullet1"/>
      <w:lvlText w:val=""/>
      <w:lvlJc w:val="left"/>
      <w:pPr>
        <w:tabs>
          <w:tab w:val="num" w:pos="1622"/>
        </w:tabs>
        <w:ind w:left="1622" w:hanging="902"/>
      </w:pPr>
      <w:rPr>
        <w:rFonts w:ascii="Symbol" w:hAnsi="Symbol" w:hint="default"/>
      </w:rPr>
    </w:lvl>
    <w:lvl w:ilvl="2">
      <w:start w:val="1"/>
      <w:numFmt w:val="bullet"/>
      <w:pStyle w:val="BBBullet2"/>
      <w:lvlText w:val=""/>
      <w:lvlJc w:val="left"/>
      <w:pPr>
        <w:tabs>
          <w:tab w:val="num" w:pos="1622"/>
        </w:tabs>
        <w:ind w:left="1622" w:hanging="902"/>
      </w:pPr>
      <w:rPr>
        <w:rFonts w:ascii="Symbol" w:hAnsi="Symbol" w:hint="default"/>
      </w:rPr>
    </w:lvl>
    <w:lvl w:ilvl="3">
      <w:start w:val="1"/>
      <w:numFmt w:val="bullet"/>
      <w:pStyle w:val="BBBullet3"/>
      <w:lvlText w:val=""/>
      <w:lvlJc w:val="left"/>
      <w:pPr>
        <w:tabs>
          <w:tab w:val="num" w:pos="2699"/>
        </w:tabs>
        <w:ind w:left="2699" w:hanging="1077"/>
      </w:pPr>
      <w:rPr>
        <w:rFonts w:ascii="Symbol" w:hAnsi="Symbol" w:hint="default"/>
      </w:rPr>
    </w:lvl>
    <w:lvl w:ilvl="4">
      <w:start w:val="1"/>
      <w:numFmt w:val="bullet"/>
      <w:pStyle w:val="BBBullet4"/>
      <w:lvlText w:val=""/>
      <w:lvlJc w:val="left"/>
      <w:pPr>
        <w:tabs>
          <w:tab w:val="num" w:pos="3238"/>
        </w:tabs>
        <w:ind w:left="3238" w:hanging="539"/>
      </w:pPr>
      <w:rPr>
        <w:rFonts w:ascii="Symbol" w:hAnsi="Symbol" w:hint="default"/>
      </w:rPr>
    </w:lvl>
    <w:lvl w:ilvl="5">
      <w:start w:val="1"/>
      <w:numFmt w:val="bullet"/>
      <w:pStyle w:val="BBBullet5"/>
      <w:lvlText w:val=""/>
      <w:lvlJc w:val="left"/>
      <w:pPr>
        <w:tabs>
          <w:tab w:val="num" w:pos="3238"/>
        </w:tabs>
        <w:ind w:left="3238" w:hanging="539"/>
      </w:pPr>
      <w:rPr>
        <w:rFonts w:ascii="Symbol" w:hAnsi="Symbol" w:hint="default"/>
      </w:rPr>
    </w:lvl>
    <w:lvl w:ilvl="6">
      <w:start w:val="1"/>
      <w:numFmt w:val="bullet"/>
      <w:pStyle w:val="BBBullet6"/>
      <w:lvlText w:val=""/>
      <w:lvlJc w:val="left"/>
      <w:pPr>
        <w:tabs>
          <w:tab w:val="num" w:pos="3912"/>
        </w:tabs>
        <w:ind w:left="3912" w:hanging="674"/>
      </w:pPr>
      <w:rPr>
        <w:rFonts w:ascii="Symbol" w:hAnsi="Symbol" w:hint="default"/>
      </w:rPr>
    </w:lvl>
    <w:lvl w:ilvl="7">
      <w:start w:val="1"/>
      <w:numFmt w:val="bullet"/>
      <w:pStyle w:val="BBBullet7"/>
      <w:lvlText w:val=""/>
      <w:lvlJc w:val="left"/>
      <w:pPr>
        <w:tabs>
          <w:tab w:val="num" w:pos="4587"/>
        </w:tabs>
        <w:ind w:left="4587" w:hanging="675"/>
      </w:pPr>
      <w:rPr>
        <w:rFonts w:ascii="Symbol" w:hAnsi="Symbol" w:hint="default"/>
      </w:rPr>
    </w:lvl>
    <w:lvl w:ilvl="8">
      <w:start w:val="1"/>
      <w:numFmt w:val="bullet"/>
      <w:pStyle w:val="BBBullet8"/>
      <w:lvlText w:val=""/>
      <w:lvlJc w:val="left"/>
      <w:pPr>
        <w:tabs>
          <w:tab w:val="num" w:pos="5262"/>
        </w:tabs>
        <w:ind w:left="5262" w:hanging="675"/>
      </w:pPr>
      <w:rPr>
        <w:rFonts w:ascii="Symbol" w:hAnsi="Symbol" w:hint="default"/>
      </w:rPr>
    </w:lvl>
  </w:abstractNum>
  <w:abstractNum w:abstractNumId="9" w15:restartNumberingAfterBreak="0">
    <w:nsid w:val="3C2C365B"/>
    <w:multiLevelType w:val="multilevel"/>
    <w:tmpl w:val="B9E04570"/>
    <w:styleLink w:val="NumberingMain"/>
    <w:lvl w:ilvl="0">
      <w:start w:val="1"/>
      <w:numFmt w:val="decimal"/>
      <w:pStyle w:val="BBHeading1"/>
      <w:lvlText w:val="%1."/>
      <w:lvlJc w:val="left"/>
      <w:pPr>
        <w:ind w:left="720" w:hanging="720"/>
      </w:pPr>
      <w:rPr>
        <w:rFonts w:hint="default"/>
      </w:rPr>
    </w:lvl>
    <w:lvl w:ilvl="1">
      <w:start w:val="1"/>
      <w:numFmt w:val="decimal"/>
      <w:pStyle w:val="BBClause2"/>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10" w15:restartNumberingAfterBreak="0">
    <w:nsid w:val="46492819"/>
    <w:multiLevelType w:val="hybridMultilevel"/>
    <w:tmpl w:val="F7C4E01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8953B76"/>
    <w:multiLevelType w:val="multilevel"/>
    <w:tmpl w:val="CB5C1A90"/>
    <w:name w:val="BBScheduleList"/>
    <w:lvl w:ilvl="0">
      <w:start w:val="1"/>
      <w:numFmt w:val="none"/>
      <w:suff w:val="nothing"/>
      <w:lvlText w:val=""/>
      <w:lvlJc w:val="left"/>
      <w:pPr>
        <w:ind w:left="0" w:firstLine="0"/>
      </w:pPr>
      <w:rPr>
        <w:rFonts w:hint="default"/>
      </w:rPr>
    </w:lvl>
    <w:lvl w:ilvl="1">
      <w:start w:val="1"/>
      <w:numFmt w:val="decimal"/>
      <w:lvlText w:val="%2."/>
      <w:lvlJc w:val="left"/>
      <w:pPr>
        <w:tabs>
          <w:tab w:val="num" w:pos="720"/>
        </w:tabs>
        <w:ind w:left="720" w:hanging="720"/>
      </w:pPr>
      <w:rPr>
        <w:rFonts w:hint="default"/>
        <w:b w:val="0"/>
        <w:i w:val="0"/>
      </w:rPr>
    </w:lvl>
    <w:lvl w:ilvl="2">
      <w:start w:val="1"/>
      <w:numFmt w:val="decimal"/>
      <w:lvlText w:val="%2.%3"/>
      <w:lvlJc w:val="left"/>
      <w:pPr>
        <w:tabs>
          <w:tab w:val="num" w:pos="720"/>
        </w:tabs>
        <w:ind w:left="720" w:hanging="720"/>
      </w:pPr>
      <w:rPr>
        <w:rFonts w:hint="default"/>
        <w:b w:val="0"/>
        <w:i w:val="0"/>
      </w:rPr>
    </w:lvl>
    <w:lvl w:ilvl="3">
      <w:start w:val="1"/>
      <w:numFmt w:val="lowerLetter"/>
      <w:lvlText w:val="(%4)"/>
      <w:lvlJc w:val="left"/>
      <w:pPr>
        <w:tabs>
          <w:tab w:val="num" w:pos="1440"/>
        </w:tabs>
        <w:ind w:left="1440" w:hanging="720"/>
      </w:pPr>
      <w:rPr>
        <w:rFonts w:hint="default"/>
        <w:b w:val="0"/>
        <w:i w:val="0"/>
      </w:rPr>
    </w:lvl>
    <w:lvl w:ilvl="4">
      <w:start w:val="1"/>
      <w:numFmt w:val="lowerRoman"/>
      <w:lvlText w:val="(%5)"/>
      <w:lvlJc w:val="left"/>
      <w:pPr>
        <w:tabs>
          <w:tab w:val="num" w:pos="2160"/>
        </w:tabs>
        <w:ind w:left="2160" w:hanging="720"/>
      </w:pPr>
      <w:rPr>
        <w:rFonts w:hint="default"/>
        <w:b w:val="0"/>
        <w:i w:val="0"/>
      </w:rPr>
    </w:lvl>
    <w:lvl w:ilvl="5">
      <w:start w:val="1"/>
      <w:numFmt w:val="upperLetter"/>
      <w:lvlText w:val="(%6)"/>
      <w:lvlJc w:val="left"/>
      <w:pPr>
        <w:tabs>
          <w:tab w:val="num" w:pos="2880"/>
        </w:tabs>
        <w:ind w:left="2880" w:hanging="720"/>
      </w:pPr>
      <w:rPr>
        <w:rFonts w:hint="default"/>
        <w:b w:val="0"/>
        <w:i w:val="0"/>
      </w:rPr>
    </w:lvl>
    <w:lvl w:ilvl="6">
      <w:start w:val="1"/>
      <w:numFmt w:val="upperRoman"/>
      <w:lvlText w:val="(%7)"/>
      <w:lvlJc w:val="left"/>
      <w:pPr>
        <w:tabs>
          <w:tab w:val="num" w:pos="3600"/>
        </w:tabs>
        <w:ind w:left="3600" w:hanging="72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F99751D"/>
    <w:multiLevelType w:val="hybridMultilevel"/>
    <w:tmpl w:val="284C6F7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104E87"/>
    <w:multiLevelType w:val="hybridMultilevel"/>
    <w:tmpl w:val="9FAC1634"/>
    <w:lvl w:ilvl="0" w:tplc="0809000F">
      <w:start w:val="1"/>
      <w:numFmt w:val="decimal"/>
      <w:lvlText w:val="%1."/>
      <w:lvlJc w:val="left"/>
      <w:pPr>
        <w:ind w:left="927"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CB2B21"/>
    <w:multiLevelType w:val="multilevel"/>
    <w:tmpl w:val="91EC8D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AF717D3"/>
    <w:multiLevelType w:val="hybridMultilevel"/>
    <w:tmpl w:val="3D044250"/>
    <w:lvl w:ilvl="0" w:tplc="8D44EB22">
      <w:start w:val="2"/>
      <w:numFmt w:val="bullet"/>
      <w:lvlText w:val="-"/>
      <w:lvlJc w:val="left"/>
      <w:pPr>
        <w:ind w:left="720" w:hanging="360"/>
      </w:pPr>
      <w:rPr>
        <w:rFonts w:ascii="Georgia" w:eastAsia="Calibri"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1"/>
  </w:num>
  <w:num w:numId="5">
    <w:abstractNumId w:val="8"/>
  </w:num>
  <w:num w:numId="6">
    <w:abstractNumId w:val="9"/>
    <w:lvlOverride w:ilvl="1">
      <w:lvl w:ilvl="1">
        <w:start w:val="1"/>
        <w:numFmt w:val="decimal"/>
        <w:pStyle w:val="BBClause2"/>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
    <w:abstractNumId w:val="7"/>
  </w:num>
  <w:num w:numId="8">
    <w:abstractNumId w:val="3"/>
  </w:num>
  <w:num w:numId="9">
    <w:abstractNumId w:val="9"/>
  </w:num>
  <w:num w:numId="10">
    <w:abstractNumId w:val="9"/>
  </w:num>
  <w:num w:numId="11">
    <w:abstractNumId w:val="13"/>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9"/>
  </w:num>
  <w:num w:numId="17">
    <w:abstractNumId w:val="9"/>
  </w:num>
  <w:num w:numId="18">
    <w:abstractNumId w:val="10"/>
  </w:num>
  <w:num w:numId="19">
    <w:abstractNumId w:val="9"/>
  </w:num>
  <w:num w:numId="20">
    <w:abstractNumId w:val="0"/>
  </w:num>
  <w:num w:numId="21">
    <w:abstractNumId w:val="4"/>
  </w:num>
  <w:num w:numId="22">
    <w:abstractNumId w:val="5"/>
  </w:num>
  <w:num w:numId="23">
    <w:abstractNumId w:val="6"/>
  </w:num>
  <w:num w:numId="2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52C"/>
    <w:rsid w:val="00012AE5"/>
    <w:rsid w:val="000160F1"/>
    <w:rsid w:val="000175A1"/>
    <w:rsid w:val="00024551"/>
    <w:rsid w:val="000305D8"/>
    <w:rsid w:val="00030A7C"/>
    <w:rsid w:val="00036FFF"/>
    <w:rsid w:val="0004239F"/>
    <w:rsid w:val="00044EFA"/>
    <w:rsid w:val="00053ECB"/>
    <w:rsid w:val="000546C2"/>
    <w:rsid w:val="00054707"/>
    <w:rsid w:val="000558A0"/>
    <w:rsid w:val="00061CB0"/>
    <w:rsid w:val="00062910"/>
    <w:rsid w:val="000657F5"/>
    <w:rsid w:val="00071F4C"/>
    <w:rsid w:val="0007531F"/>
    <w:rsid w:val="00083E62"/>
    <w:rsid w:val="00085350"/>
    <w:rsid w:val="0008692F"/>
    <w:rsid w:val="00090192"/>
    <w:rsid w:val="0009275F"/>
    <w:rsid w:val="0009705E"/>
    <w:rsid w:val="00097DC9"/>
    <w:rsid w:val="000B0AF1"/>
    <w:rsid w:val="000B3E04"/>
    <w:rsid w:val="000C27B4"/>
    <w:rsid w:val="000C3112"/>
    <w:rsid w:val="000D4D9D"/>
    <w:rsid w:val="000D6502"/>
    <w:rsid w:val="000E05C2"/>
    <w:rsid w:val="000E29D8"/>
    <w:rsid w:val="000E4D4A"/>
    <w:rsid w:val="0010155C"/>
    <w:rsid w:val="00107706"/>
    <w:rsid w:val="0012222C"/>
    <w:rsid w:val="001307EB"/>
    <w:rsid w:val="00141708"/>
    <w:rsid w:val="0014266F"/>
    <w:rsid w:val="00146079"/>
    <w:rsid w:val="00146110"/>
    <w:rsid w:val="001467E1"/>
    <w:rsid w:val="00147B20"/>
    <w:rsid w:val="0015172F"/>
    <w:rsid w:val="00151BDA"/>
    <w:rsid w:val="0016314C"/>
    <w:rsid w:val="00173BEC"/>
    <w:rsid w:val="00174058"/>
    <w:rsid w:val="00181E9C"/>
    <w:rsid w:val="00182FAD"/>
    <w:rsid w:val="00185CF4"/>
    <w:rsid w:val="00187665"/>
    <w:rsid w:val="00191698"/>
    <w:rsid w:val="00193AE4"/>
    <w:rsid w:val="00196CC5"/>
    <w:rsid w:val="001A4225"/>
    <w:rsid w:val="001A4A30"/>
    <w:rsid w:val="001B019B"/>
    <w:rsid w:val="001B0BB9"/>
    <w:rsid w:val="001D67A2"/>
    <w:rsid w:val="001F00A1"/>
    <w:rsid w:val="001F5B2C"/>
    <w:rsid w:val="0020171E"/>
    <w:rsid w:val="002064B6"/>
    <w:rsid w:val="002153F1"/>
    <w:rsid w:val="00223058"/>
    <w:rsid w:val="0022333D"/>
    <w:rsid w:val="0022422C"/>
    <w:rsid w:val="00241A69"/>
    <w:rsid w:val="0024456E"/>
    <w:rsid w:val="002521F3"/>
    <w:rsid w:val="002764FD"/>
    <w:rsid w:val="00282BAB"/>
    <w:rsid w:val="00285671"/>
    <w:rsid w:val="00295A39"/>
    <w:rsid w:val="00297C79"/>
    <w:rsid w:val="002A0927"/>
    <w:rsid w:val="002A35C0"/>
    <w:rsid w:val="002A3C35"/>
    <w:rsid w:val="002C4BE2"/>
    <w:rsid w:val="002C5B1E"/>
    <w:rsid w:val="002C7955"/>
    <w:rsid w:val="002E74D5"/>
    <w:rsid w:val="002E768B"/>
    <w:rsid w:val="002F1A9E"/>
    <w:rsid w:val="002F2F91"/>
    <w:rsid w:val="002F3CB5"/>
    <w:rsid w:val="002F4E5D"/>
    <w:rsid w:val="002F5947"/>
    <w:rsid w:val="00301DDE"/>
    <w:rsid w:val="003032A4"/>
    <w:rsid w:val="0030604D"/>
    <w:rsid w:val="00310C12"/>
    <w:rsid w:val="00311321"/>
    <w:rsid w:val="003140D4"/>
    <w:rsid w:val="003231DC"/>
    <w:rsid w:val="00330A33"/>
    <w:rsid w:val="00334F4C"/>
    <w:rsid w:val="00342D4F"/>
    <w:rsid w:val="00347A75"/>
    <w:rsid w:val="00353A66"/>
    <w:rsid w:val="00353F3E"/>
    <w:rsid w:val="00356D2A"/>
    <w:rsid w:val="0037114C"/>
    <w:rsid w:val="00376634"/>
    <w:rsid w:val="003777C5"/>
    <w:rsid w:val="00382E70"/>
    <w:rsid w:val="00386675"/>
    <w:rsid w:val="00386EF6"/>
    <w:rsid w:val="003877B0"/>
    <w:rsid w:val="00391CB6"/>
    <w:rsid w:val="00392309"/>
    <w:rsid w:val="003A18B1"/>
    <w:rsid w:val="003A2589"/>
    <w:rsid w:val="003A3064"/>
    <w:rsid w:val="003A49CE"/>
    <w:rsid w:val="003A7C31"/>
    <w:rsid w:val="003B6484"/>
    <w:rsid w:val="003B72EF"/>
    <w:rsid w:val="003D1C15"/>
    <w:rsid w:val="003D3EE1"/>
    <w:rsid w:val="003D6DF6"/>
    <w:rsid w:val="003E0A41"/>
    <w:rsid w:val="003E3758"/>
    <w:rsid w:val="003E5B40"/>
    <w:rsid w:val="003E7D13"/>
    <w:rsid w:val="003F26F7"/>
    <w:rsid w:val="003F3057"/>
    <w:rsid w:val="003F4A17"/>
    <w:rsid w:val="003F68FA"/>
    <w:rsid w:val="003F6DAB"/>
    <w:rsid w:val="003F7D17"/>
    <w:rsid w:val="00401482"/>
    <w:rsid w:val="00405FB9"/>
    <w:rsid w:val="00406CD3"/>
    <w:rsid w:val="004117A5"/>
    <w:rsid w:val="00411DD5"/>
    <w:rsid w:val="00417691"/>
    <w:rsid w:val="004201D6"/>
    <w:rsid w:val="00420FCD"/>
    <w:rsid w:val="00433269"/>
    <w:rsid w:val="00434478"/>
    <w:rsid w:val="004373EA"/>
    <w:rsid w:val="00442C80"/>
    <w:rsid w:val="0044431A"/>
    <w:rsid w:val="00451110"/>
    <w:rsid w:val="0045132B"/>
    <w:rsid w:val="004607C3"/>
    <w:rsid w:val="00462C67"/>
    <w:rsid w:val="0047637D"/>
    <w:rsid w:val="00494F48"/>
    <w:rsid w:val="004A1820"/>
    <w:rsid w:val="004A37A4"/>
    <w:rsid w:val="004A3DA7"/>
    <w:rsid w:val="004A40FC"/>
    <w:rsid w:val="004B005D"/>
    <w:rsid w:val="004B1B14"/>
    <w:rsid w:val="004B73A4"/>
    <w:rsid w:val="004C0479"/>
    <w:rsid w:val="004C2071"/>
    <w:rsid w:val="004C25DD"/>
    <w:rsid w:val="004D0EA2"/>
    <w:rsid w:val="004D7F69"/>
    <w:rsid w:val="004E3E91"/>
    <w:rsid w:val="004E4689"/>
    <w:rsid w:val="004E6BD5"/>
    <w:rsid w:val="004F29FA"/>
    <w:rsid w:val="004F479D"/>
    <w:rsid w:val="0050293B"/>
    <w:rsid w:val="0050335F"/>
    <w:rsid w:val="00504F31"/>
    <w:rsid w:val="00505509"/>
    <w:rsid w:val="005062A4"/>
    <w:rsid w:val="005119EC"/>
    <w:rsid w:val="00520A34"/>
    <w:rsid w:val="005244EE"/>
    <w:rsid w:val="00527385"/>
    <w:rsid w:val="00530164"/>
    <w:rsid w:val="005344F3"/>
    <w:rsid w:val="005433E1"/>
    <w:rsid w:val="005464AA"/>
    <w:rsid w:val="0055341B"/>
    <w:rsid w:val="00557DD5"/>
    <w:rsid w:val="0057237B"/>
    <w:rsid w:val="0057500F"/>
    <w:rsid w:val="00581AE7"/>
    <w:rsid w:val="005A64AB"/>
    <w:rsid w:val="005A6A83"/>
    <w:rsid w:val="005A7772"/>
    <w:rsid w:val="005B1440"/>
    <w:rsid w:val="005B6095"/>
    <w:rsid w:val="005D66CF"/>
    <w:rsid w:val="005E286A"/>
    <w:rsid w:val="005E78C4"/>
    <w:rsid w:val="005F020D"/>
    <w:rsid w:val="005F5242"/>
    <w:rsid w:val="00600EAF"/>
    <w:rsid w:val="00604555"/>
    <w:rsid w:val="00606572"/>
    <w:rsid w:val="00615081"/>
    <w:rsid w:val="006200A4"/>
    <w:rsid w:val="00620AD1"/>
    <w:rsid w:val="0062274F"/>
    <w:rsid w:val="006353F4"/>
    <w:rsid w:val="00637EE1"/>
    <w:rsid w:val="0064323D"/>
    <w:rsid w:val="00643B5F"/>
    <w:rsid w:val="0064521D"/>
    <w:rsid w:val="00650DFD"/>
    <w:rsid w:val="006546E1"/>
    <w:rsid w:val="006572E3"/>
    <w:rsid w:val="00665BF8"/>
    <w:rsid w:val="00670F8D"/>
    <w:rsid w:val="00673B48"/>
    <w:rsid w:val="006758F8"/>
    <w:rsid w:val="00677633"/>
    <w:rsid w:val="006779D7"/>
    <w:rsid w:val="00677B26"/>
    <w:rsid w:val="00680F5D"/>
    <w:rsid w:val="00682272"/>
    <w:rsid w:val="00684D11"/>
    <w:rsid w:val="00691D00"/>
    <w:rsid w:val="00693789"/>
    <w:rsid w:val="00693ABD"/>
    <w:rsid w:val="00697D71"/>
    <w:rsid w:val="006A1A3C"/>
    <w:rsid w:val="006A5DB2"/>
    <w:rsid w:val="006B4EF1"/>
    <w:rsid w:val="006B6094"/>
    <w:rsid w:val="006C1E51"/>
    <w:rsid w:val="006C4D7A"/>
    <w:rsid w:val="006C61CC"/>
    <w:rsid w:val="006E6169"/>
    <w:rsid w:val="006F2462"/>
    <w:rsid w:val="00702B40"/>
    <w:rsid w:val="00711B0B"/>
    <w:rsid w:val="007154F2"/>
    <w:rsid w:val="0072341B"/>
    <w:rsid w:val="00740F96"/>
    <w:rsid w:val="007445A7"/>
    <w:rsid w:val="007512E2"/>
    <w:rsid w:val="00761E93"/>
    <w:rsid w:val="00764D71"/>
    <w:rsid w:val="00773A1C"/>
    <w:rsid w:val="007810E8"/>
    <w:rsid w:val="007830EF"/>
    <w:rsid w:val="00784964"/>
    <w:rsid w:val="00786B4F"/>
    <w:rsid w:val="007947A8"/>
    <w:rsid w:val="007A2556"/>
    <w:rsid w:val="007B37A7"/>
    <w:rsid w:val="007B67E1"/>
    <w:rsid w:val="007B7049"/>
    <w:rsid w:val="007B7D53"/>
    <w:rsid w:val="007C248A"/>
    <w:rsid w:val="007D7CDC"/>
    <w:rsid w:val="007E0682"/>
    <w:rsid w:val="007E6815"/>
    <w:rsid w:val="007F4C0F"/>
    <w:rsid w:val="00802760"/>
    <w:rsid w:val="00807CA0"/>
    <w:rsid w:val="0081096B"/>
    <w:rsid w:val="008128D9"/>
    <w:rsid w:val="008149D0"/>
    <w:rsid w:val="00826AD4"/>
    <w:rsid w:val="00837CC6"/>
    <w:rsid w:val="008416D7"/>
    <w:rsid w:val="0084725F"/>
    <w:rsid w:val="00850F6F"/>
    <w:rsid w:val="008516C8"/>
    <w:rsid w:val="0086267D"/>
    <w:rsid w:val="0086745D"/>
    <w:rsid w:val="00867AB9"/>
    <w:rsid w:val="008747FE"/>
    <w:rsid w:val="008814DE"/>
    <w:rsid w:val="008855F9"/>
    <w:rsid w:val="00885989"/>
    <w:rsid w:val="00885A6B"/>
    <w:rsid w:val="008906A6"/>
    <w:rsid w:val="00891699"/>
    <w:rsid w:val="00892B80"/>
    <w:rsid w:val="00895F0A"/>
    <w:rsid w:val="008A4D32"/>
    <w:rsid w:val="008A5150"/>
    <w:rsid w:val="008B423A"/>
    <w:rsid w:val="008B6A31"/>
    <w:rsid w:val="008C3E7D"/>
    <w:rsid w:val="008C4FD8"/>
    <w:rsid w:val="008D07B9"/>
    <w:rsid w:val="008D0F24"/>
    <w:rsid w:val="008D1EB7"/>
    <w:rsid w:val="008D41D3"/>
    <w:rsid w:val="008E0F4F"/>
    <w:rsid w:val="008E119A"/>
    <w:rsid w:val="008F495F"/>
    <w:rsid w:val="008F735C"/>
    <w:rsid w:val="00900932"/>
    <w:rsid w:val="00901B54"/>
    <w:rsid w:val="00905DE7"/>
    <w:rsid w:val="009262F5"/>
    <w:rsid w:val="00931B73"/>
    <w:rsid w:val="00940F7E"/>
    <w:rsid w:val="00946391"/>
    <w:rsid w:val="0095008B"/>
    <w:rsid w:val="009525E9"/>
    <w:rsid w:val="00956E51"/>
    <w:rsid w:val="009626FD"/>
    <w:rsid w:val="009627DC"/>
    <w:rsid w:val="00966EDD"/>
    <w:rsid w:val="00967CE5"/>
    <w:rsid w:val="00972976"/>
    <w:rsid w:val="00982B17"/>
    <w:rsid w:val="009852C1"/>
    <w:rsid w:val="00986AEA"/>
    <w:rsid w:val="00990247"/>
    <w:rsid w:val="00991368"/>
    <w:rsid w:val="009A3795"/>
    <w:rsid w:val="009A580F"/>
    <w:rsid w:val="009B2B16"/>
    <w:rsid w:val="009C10BF"/>
    <w:rsid w:val="009C1EE7"/>
    <w:rsid w:val="009C270E"/>
    <w:rsid w:val="009D36A9"/>
    <w:rsid w:val="009D5B1B"/>
    <w:rsid w:val="009E0491"/>
    <w:rsid w:val="009E30F0"/>
    <w:rsid w:val="009E45F4"/>
    <w:rsid w:val="009E484B"/>
    <w:rsid w:val="009F4D6A"/>
    <w:rsid w:val="009F60E2"/>
    <w:rsid w:val="00A01218"/>
    <w:rsid w:val="00A03193"/>
    <w:rsid w:val="00A21341"/>
    <w:rsid w:val="00A23940"/>
    <w:rsid w:val="00A24ECF"/>
    <w:rsid w:val="00A2523A"/>
    <w:rsid w:val="00A450FE"/>
    <w:rsid w:val="00A4578B"/>
    <w:rsid w:val="00A50DEC"/>
    <w:rsid w:val="00A52FE0"/>
    <w:rsid w:val="00A54A2D"/>
    <w:rsid w:val="00A646A7"/>
    <w:rsid w:val="00A710C7"/>
    <w:rsid w:val="00A71CED"/>
    <w:rsid w:val="00A820ED"/>
    <w:rsid w:val="00A92775"/>
    <w:rsid w:val="00A93D7B"/>
    <w:rsid w:val="00A9530C"/>
    <w:rsid w:val="00A97230"/>
    <w:rsid w:val="00AA1587"/>
    <w:rsid w:val="00AB3027"/>
    <w:rsid w:val="00AC020D"/>
    <w:rsid w:val="00AC26EC"/>
    <w:rsid w:val="00AC5C69"/>
    <w:rsid w:val="00AD1002"/>
    <w:rsid w:val="00AE2755"/>
    <w:rsid w:val="00AE56A9"/>
    <w:rsid w:val="00AE57AB"/>
    <w:rsid w:val="00AF2729"/>
    <w:rsid w:val="00AF288E"/>
    <w:rsid w:val="00B01583"/>
    <w:rsid w:val="00B07BFA"/>
    <w:rsid w:val="00B117D3"/>
    <w:rsid w:val="00B13E9C"/>
    <w:rsid w:val="00B17E53"/>
    <w:rsid w:val="00B21332"/>
    <w:rsid w:val="00B2256A"/>
    <w:rsid w:val="00B25565"/>
    <w:rsid w:val="00B25743"/>
    <w:rsid w:val="00B25A3A"/>
    <w:rsid w:val="00B30399"/>
    <w:rsid w:val="00B47170"/>
    <w:rsid w:val="00B51AA6"/>
    <w:rsid w:val="00B56422"/>
    <w:rsid w:val="00B57793"/>
    <w:rsid w:val="00B62D0E"/>
    <w:rsid w:val="00B75129"/>
    <w:rsid w:val="00B77B9B"/>
    <w:rsid w:val="00B808B1"/>
    <w:rsid w:val="00B8090B"/>
    <w:rsid w:val="00B925A2"/>
    <w:rsid w:val="00B979F6"/>
    <w:rsid w:val="00BB5B6D"/>
    <w:rsid w:val="00BB64FD"/>
    <w:rsid w:val="00BC164C"/>
    <w:rsid w:val="00BC3670"/>
    <w:rsid w:val="00BE6F49"/>
    <w:rsid w:val="00BF51ED"/>
    <w:rsid w:val="00C07128"/>
    <w:rsid w:val="00C10439"/>
    <w:rsid w:val="00C10A2F"/>
    <w:rsid w:val="00C1123D"/>
    <w:rsid w:val="00C13A04"/>
    <w:rsid w:val="00C13C50"/>
    <w:rsid w:val="00C150F2"/>
    <w:rsid w:val="00C21C97"/>
    <w:rsid w:val="00C2364A"/>
    <w:rsid w:val="00C4254A"/>
    <w:rsid w:val="00C44FEA"/>
    <w:rsid w:val="00C602D8"/>
    <w:rsid w:val="00C62177"/>
    <w:rsid w:val="00C723DA"/>
    <w:rsid w:val="00C725A9"/>
    <w:rsid w:val="00C77A2C"/>
    <w:rsid w:val="00C82229"/>
    <w:rsid w:val="00C842D8"/>
    <w:rsid w:val="00C84993"/>
    <w:rsid w:val="00C90913"/>
    <w:rsid w:val="00CB5934"/>
    <w:rsid w:val="00CB7735"/>
    <w:rsid w:val="00CC1293"/>
    <w:rsid w:val="00CC15BB"/>
    <w:rsid w:val="00CD456A"/>
    <w:rsid w:val="00CD68BF"/>
    <w:rsid w:val="00CE1154"/>
    <w:rsid w:val="00CE3BBC"/>
    <w:rsid w:val="00CE664F"/>
    <w:rsid w:val="00CF0907"/>
    <w:rsid w:val="00CF58A4"/>
    <w:rsid w:val="00D0023F"/>
    <w:rsid w:val="00D018A2"/>
    <w:rsid w:val="00D05E4A"/>
    <w:rsid w:val="00D132BB"/>
    <w:rsid w:val="00D139FD"/>
    <w:rsid w:val="00D1477D"/>
    <w:rsid w:val="00D16AE8"/>
    <w:rsid w:val="00D17633"/>
    <w:rsid w:val="00D22AF7"/>
    <w:rsid w:val="00D517C7"/>
    <w:rsid w:val="00D53F50"/>
    <w:rsid w:val="00D56409"/>
    <w:rsid w:val="00D628FE"/>
    <w:rsid w:val="00D62A65"/>
    <w:rsid w:val="00D6482A"/>
    <w:rsid w:val="00D64878"/>
    <w:rsid w:val="00D67B7B"/>
    <w:rsid w:val="00D734CD"/>
    <w:rsid w:val="00D7562E"/>
    <w:rsid w:val="00D83170"/>
    <w:rsid w:val="00DA5AB9"/>
    <w:rsid w:val="00DA7186"/>
    <w:rsid w:val="00DC6306"/>
    <w:rsid w:val="00DD63BD"/>
    <w:rsid w:val="00DD6496"/>
    <w:rsid w:val="00DE1765"/>
    <w:rsid w:val="00DE3AD2"/>
    <w:rsid w:val="00DE3CBD"/>
    <w:rsid w:val="00DF21BF"/>
    <w:rsid w:val="00DF5C73"/>
    <w:rsid w:val="00E00B32"/>
    <w:rsid w:val="00E03200"/>
    <w:rsid w:val="00E035C1"/>
    <w:rsid w:val="00E11788"/>
    <w:rsid w:val="00E15F6B"/>
    <w:rsid w:val="00E16FF3"/>
    <w:rsid w:val="00E206A8"/>
    <w:rsid w:val="00E309C2"/>
    <w:rsid w:val="00E3252C"/>
    <w:rsid w:val="00E42CFE"/>
    <w:rsid w:val="00E50FA4"/>
    <w:rsid w:val="00E61E36"/>
    <w:rsid w:val="00E6459C"/>
    <w:rsid w:val="00E67ABA"/>
    <w:rsid w:val="00E77FE0"/>
    <w:rsid w:val="00E9168C"/>
    <w:rsid w:val="00E925EF"/>
    <w:rsid w:val="00E9396F"/>
    <w:rsid w:val="00E94BAE"/>
    <w:rsid w:val="00E97041"/>
    <w:rsid w:val="00EA01D9"/>
    <w:rsid w:val="00EB18DB"/>
    <w:rsid w:val="00EB6289"/>
    <w:rsid w:val="00EB6591"/>
    <w:rsid w:val="00EC0C18"/>
    <w:rsid w:val="00EC0D54"/>
    <w:rsid w:val="00EC6545"/>
    <w:rsid w:val="00EC7768"/>
    <w:rsid w:val="00ED237D"/>
    <w:rsid w:val="00ED3C6F"/>
    <w:rsid w:val="00EE133C"/>
    <w:rsid w:val="00EE28EA"/>
    <w:rsid w:val="00EE4055"/>
    <w:rsid w:val="00EE41A1"/>
    <w:rsid w:val="00EF6294"/>
    <w:rsid w:val="00F05390"/>
    <w:rsid w:val="00F1392A"/>
    <w:rsid w:val="00F14F60"/>
    <w:rsid w:val="00F25216"/>
    <w:rsid w:val="00F257B9"/>
    <w:rsid w:val="00F32594"/>
    <w:rsid w:val="00F3729E"/>
    <w:rsid w:val="00F42F84"/>
    <w:rsid w:val="00F45706"/>
    <w:rsid w:val="00F515F6"/>
    <w:rsid w:val="00F51ECC"/>
    <w:rsid w:val="00F614AC"/>
    <w:rsid w:val="00F637BB"/>
    <w:rsid w:val="00F74C87"/>
    <w:rsid w:val="00F754B8"/>
    <w:rsid w:val="00F807BD"/>
    <w:rsid w:val="00F905CF"/>
    <w:rsid w:val="00F9074F"/>
    <w:rsid w:val="00F94870"/>
    <w:rsid w:val="00F97644"/>
    <w:rsid w:val="00FA004C"/>
    <w:rsid w:val="00FC42A2"/>
    <w:rsid w:val="00FC5475"/>
    <w:rsid w:val="00FC6EA3"/>
    <w:rsid w:val="00FC7ABC"/>
    <w:rsid w:val="00FF0937"/>
    <w:rsid w:val="00FF3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9D89F5"/>
  <w14:defaultImageDpi w14:val="32767"/>
  <w15:docId w15:val="{4B33F5B7-0A85-43E9-9838-EDDD54CF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semiHidden="1" w:qFormat="1"/>
    <w:lsdException w:name="heading 2" w:semiHidden="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417691"/>
    <w:pPr>
      <w:jc w:val="both"/>
    </w:pPr>
    <w:rPr>
      <w:rFonts w:ascii="Georgia" w:hAnsi="Georg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ingMain">
    <w:name w:val="Numbering Main"/>
    <w:uiPriority w:val="99"/>
    <w:rsid w:val="00B25A3A"/>
    <w:pPr>
      <w:numPr>
        <w:numId w:val="3"/>
      </w:numPr>
    </w:pPr>
  </w:style>
  <w:style w:type="paragraph" w:customStyle="1" w:styleId="BBHeading1Lower">
    <w:name w:val="B&amp;B Heading 1 (Lower)"/>
    <w:basedOn w:val="BBHeading1"/>
    <w:next w:val="BBBodyTextIndent1"/>
    <w:uiPriority w:val="9"/>
    <w:rsid w:val="00F3729E"/>
    <w:rPr>
      <w:caps w:val="0"/>
    </w:rPr>
  </w:style>
  <w:style w:type="paragraph" w:customStyle="1" w:styleId="BBHeading2">
    <w:name w:val="B&amp;B Heading 2"/>
    <w:basedOn w:val="BBClause2"/>
    <w:next w:val="BBBodyTextIndent2"/>
    <w:qFormat/>
    <w:rsid w:val="005E286A"/>
    <w:pPr>
      <w:keepNext/>
      <w:outlineLvl w:val="1"/>
    </w:pPr>
    <w:rPr>
      <w:b/>
    </w:rPr>
  </w:style>
  <w:style w:type="paragraph" w:styleId="Header">
    <w:name w:val="header"/>
    <w:aliases w:val="B&amp;B Header"/>
    <w:basedOn w:val="Normal"/>
    <w:link w:val="HeaderChar"/>
    <w:uiPriority w:val="99"/>
    <w:semiHidden/>
    <w:rsid w:val="00B8090B"/>
    <w:pPr>
      <w:tabs>
        <w:tab w:val="center" w:pos="4513"/>
        <w:tab w:val="right" w:pos="9026"/>
      </w:tabs>
    </w:pPr>
  </w:style>
  <w:style w:type="character" w:customStyle="1" w:styleId="HeaderChar">
    <w:name w:val="Header Char"/>
    <w:aliases w:val="B&amp;B Header Char"/>
    <w:basedOn w:val="DefaultParagraphFont"/>
    <w:link w:val="Header"/>
    <w:uiPriority w:val="99"/>
    <w:semiHidden/>
    <w:rsid w:val="00494F48"/>
  </w:style>
  <w:style w:type="paragraph" w:styleId="Footer">
    <w:name w:val="footer"/>
    <w:aliases w:val="B&amp;B Footer"/>
    <w:basedOn w:val="Normal"/>
    <w:link w:val="FooterChar"/>
    <w:uiPriority w:val="99"/>
    <w:semiHidden/>
    <w:rsid w:val="007E0682"/>
    <w:pPr>
      <w:tabs>
        <w:tab w:val="center" w:pos="4513"/>
        <w:tab w:val="right" w:pos="9026"/>
      </w:tabs>
    </w:pPr>
    <w:rPr>
      <w:sz w:val="20"/>
    </w:rPr>
  </w:style>
  <w:style w:type="character" w:customStyle="1" w:styleId="FooterChar">
    <w:name w:val="Footer Char"/>
    <w:aliases w:val="B&amp;B Footer Char"/>
    <w:link w:val="Footer"/>
    <w:uiPriority w:val="99"/>
    <w:semiHidden/>
    <w:rsid w:val="007E0682"/>
    <w:rPr>
      <w:rFonts w:ascii="Georgia" w:hAnsi="Georgia"/>
      <w:sz w:val="20"/>
    </w:rPr>
  </w:style>
  <w:style w:type="paragraph" w:customStyle="1" w:styleId="BBHeading3">
    <w:name w:val="B&amp;B Heading 3"/>
    <w:basedOn w:val="BBClause3"/>
    <w:next w:val="BBBodyTextIndent3"/>
    <w:qFormat/>
    <w:rsid w:val="000B0AF1"/>
    <w:pPr>
      <w:keepNext/>
      <w:outlineLvl w:val="2"/>
    </w:pPr>
    <w:rPr>
      <w:b/>
    </w:rPr>
  </w:style>
  <w:style w:type="paragraph" w:customStyle="1" w:styleId="BBHeading4">
    <w:name w:val="B&amp;B Heading 4"/>
    <w:basedOn w:val="BBClause4"/>
    <w:next w:val="BBBodyTextIndent4"/>
    <w:qFormat/>
    <w:rsid w:val="005E286A"/>
    <w:pPr>
      <w:keepNext/>
      <w:outlineLvl w:val="3"/>
    </w:pPr>
    <w:rPr>
      <w:b/>
    </w:rPr>
  </w:style>
  <w:style w:type="paragraph" w:customStyle="1" w:styleId="BBHeading5">
    <w:name w:val="B&amp;B Heading 5"/>
    <w:basedOn w:val="BBClause5"/>
    <w:next w:val="BBBodyTextIndent5"/>
    <w:rsid w:val="005E286A"/>
    <w:pPr>
      <w:keepNext/>
      <w:outlineLvl w:val="4"/>
    </w:pPr>
    <w:rPr>
      <w:b/>
    </w:rPr>
  </w:style>
  <w:style w:type="paragraph" w:customStyle="1" w:styleId="BBHeading1">
    <w:name w:val="B&amp;B Heading 1"/>
    <w:basedOn w:val="BodyText"/>
    <w:next w:val="BBBodyTextIndent1"/>
    <w:qFormat/>
    <w:rsid w:val="00B25A3A"/>
    <w:pPr>
      <w:keepNext/>
      <w:numPr>
        <w:numId w:val="6"/>
      </w:numPr>
      <w:outlineLvl w:val="0"/>
    </w:pPr>
    <w:rPr>
      <w:b/>
      <w:caps/>
      <w:szCs w:val="20"/>
    </w:rPr>
  </w:style>
  <w:style w:type="paragraph" w:styleId="BodyText">
    <w:name w:val="Body Text"/>
    <w:aliases w:val="B&amp;B Body Text"/>
    <w:basedOn w:val="Normal"/>
    <w:link w:val="BodyTextChar"/>
    <w:rsid w:val="00B8090B"/>
    <w:pPr>
      <w:spacing w:after="240"/>
    </w:pPr>
  </w:style>
  <w:style w:type="character" w:customStyle="1" w:styleId="BodyTextChar">
    <w:name w:val="Body Text Char"/>
    <w:aliases w:val="B&amp;B Body Text Char"/>
    <w:basedOn w:val="DefaultParagraphFont"/>
    <w:link w:val="BodyText"/>
    <w:rsid w:val="00A50DEC"/>
  </w:style>
  <w:style w:type="paragraph" w:customStyle="1" w:styleId="BBHeading6">
    <w:name w:val="B&amp;B Heading 6"/>
    <w:basedOn w:val="BBClause6"/>
    <w:next w:val="BBBodyTextIndent6"/>
    <w:rsid w:val="005E286A"/>
    <w:pPr>
      <w:keepNext/>
      <w:outlineLvl w:val="5"/>
    </w:pPr>
    <w:rPr>
      <w:b/>
    </w:rPr>
  </w:style>
  <w:style w:type="paragraph" w:customStyle="1" w:styleId="BBHeading7">
    <w:name w:val="B&amp;B Heading 7"/>
    <w:basedOn w:val="BBClause7"/>
    <w:next w:val="BBBodyTextIndent7"/>
    <w:rsid w:val="005E286A"/>
    <w:pPr>
      <w:keepNext/>
      <w:outlineLvl w:val="6"/>
    </w:pPr>
    <w:rPr>
      <w:b/>
    </w:rPr>
  </w:style>
  <w:style w:type="paragraph" w:customStyle="1" w:styleId="BBHeading8">
    <w:name w:val="B&amp;B Heading 8"/>
    <w:basedOn w:val="BBClause8"/>
    <w:next w:val="BBBodyTextIndent8"/>
    <w:rsid w:val="005E286A"/>
    <w:pPr>
      <w:keepNext/>
      <w:outlineLvl w:val="7"/>
    </w:pPr>
    <w:rPr>
      <w:b/>
    </w:rPr>
  </w:style>
  <w:style w:type="paragraph" w:customStyle="1" w:styleId="BBHeading9">
    <w:name w:val="B&amp;B Heading 9"/>
    <w:basedOn w:val="BBClause9"/>
    <w:next w:val="BBBodyTextIndent9"/>
    <w:rsid w:val="005E286A"/>
    <w:pPr>
      <w:keepNext/>
      <w:outlineLvl w:val="8"/>
    </w:pPr>
    <w:rPr>
      <w:b/>
    </w:rPr>
  </w:style>
  <w:style w:type="paragraph" w:customStyle="1" w:styleId="BBClause1">
    <w:name w:val="B&amp;B Clause 1"/>
    <w:basedOn w:val="BBHeading1"/>
    <w:uiPriority w:val="29"/>
    <w:qFormat/>
    <w:rsid w:val="001A4225"/>
    <w:pPr>
      <w:keepNext w:val="0"/>
    </w:pPr>
    <w:rPr>
      <w:b w:val="0"/>
      <w:caps w:val="0"/>
    </w:rPr>
  </w:style>
  <w:style w:type="paragraph" w:customStyle="1" w:styleId="BBClause2">
    <w:name w:val="B&amp;B Clause 2"/>
    <w:basedOn w:val="BodyText"/>
    <w:qFormat/>
    <w:rsid w:val="00DC6306"/>
    <w:pPr>
      <w:numPr>
        <w:ilvl w:val="1"/>
        <w:numId w:val="6"/>
      </w:numPr>
      <w:ind w:left="1276" w:hanging="567"/>
    </w:pPr>
    <w:rPr>
      <w:szCs w:val="20"/>
    </w:rPr>
  </w:style>
  <w:style w:type="paragraph" w:customStyle="1" w:styleId="BBClause3">
    <w:name w:val="B&amp;B Clause 3"/>
    <w:basedOn w:val="BodyText"/>
    <w:uiPriority w:val="29"/>
    <w:qFormat/>
    <w:rsid w:val="00B25A3A"/>
    <w:pPr>
      <w:numPr>
        <w:ilvl w:val="2"/>
        <w:numId w:val="6"/>
      </w:numPr>
    </w:pPr>
    <w:rPr>
      <w:szCs w:val="20"/>
    </w:rPr>
  </w:style>
  <w:style w:type="paragraph" w:customStyle="1" w:styleId="BBClause4">
    <w:name w:val="B&amp;B Clause 4"/>
    <w:basedOn w:val="BodyText"/>
    <w:uiPriority w:val="29"/>
    <w:qFormat/>
    <w:rsid w:val="00B25A3A"/>
    <w:pPr>
      <w:numPr>
        <w:ilvl w:val="3"/>
        <w:numId w:val="6"/>
      </w:numPr>
    </w:pPr>
    <w:rPr>
      <w:szCs w:val="20"/>
    </w:rPr>
  </w:style>
  <w:style w:type="paragraph" w:customStyle="1" w:styleId="BBClause5">
    <w:name w:val="B&amp;B Clause 5"/>
    <w:basedOn w:val="BodyText"/>
    <w:rsid w:val="00B25A3A"/>
    <w:pPr>
      <w:numPr>
        <w:ilvl w:val="4"/>
        <w:numId w:val="6"/>
      </w:numPr>
    </w:pPr>
    <w:rPr>
      <w:szCs w:val="20"/>
    </w:rPr>
  </w:style>
  <w:style w:type="paragraph" w:customStyle="1" w:styleId="BBClause6">
    <w:name w:val="B&amp;B Clause 6"/>
    <w:basedOn w:val="BodyText"/>
    <w:rsid w:val="00B25A3A"/>
    <w:pPr>
      <w:numPr>
        <w:ilvl w:val="5"/>
        <w:numId w:val="6"/>
      </w:numPr>
    </w:pPr>
    <w:rPr>
      <w:szCs w:val="20"/>
    </w:rPr>
  </w:style>
  <w:style w:type="paragraph" w:customStyle="1" w:styleId="BBClause7">
    <w:name w:val="B&amp;B Clause 7"/>
    <w:basedOn w:val="BodyText"/>
    <w:uiPriority w:val="29"/>
    <w:rsid w:val="00B25A3A"/>
    <w:pPr>
      <w:numPr>
        <w:ilvl w:val="6"/>
        <w:numId w:val="6"/>
      </w:numPr>
    </w:pPr>
    <w:rPr>
      <w:szCs w:val="20"/>
    </w:rPr>
  </w:style>
  <w:style w:type="paragraph" w:customStyle="1" w:styleId="BBClause8">
    <w:name w:val="B&amp;B Clause 8"/>
    <w:basedOn w:val="BodyText"/>
    <w:uiPriority w:val="29"/>
    <w:rsid w:val="00B25A3A"/>
    <w:pPr>
      <w:numPr>
        <w:ilvl w:val="7"/>
        <w:numId w:val="6"/>
      </w:numPr>
    </w:pPr>
    <w:rPr>
      <w:szCs w:val="20"/>
    </w:rPr>
  </w:style>
  <w:style w:type="paragraph" w:customStyle="1" w:styleId="BBClause9">
    <w:name w:val="B&amp;B Clause 9"/>
    <w:basedOn w:val="BodyText"/>
    <w:uiPriority w:val="29"/>
    <w:rsid w:val="00B25A3A"/>
    <w:pPr>
      <w:numPr>
        <w:ilvl w:val="8"/>
        <w:numId w:val="6"/>
      </w:numPr>
    </w:pPr>
    <w:rPr>
      <w:szCs w:val="20"/>
    </w:rPr>
  </w:style>
  <w:style w:type="paragraph" w:customStyle="1" w:styleId="BBScheduleHeading1">
    <w:name w:val="B&amp;B Schedule Heading 1"/>
    <w:basedOn w:val="BodyText"/>
    <w:next w:val="BBBodyTextIndent1"/>
    <w:uiPriority w:val="49"/>
    <w:rsid w:val="00F637BB"/>
    <w:pPr>
      <w:keepNext/>
      <w:numPr>
        <w:numId w:val="4"/>
      </w:numPr>
      <w:spacing w:before="120"/>
      <w:outlineLvl w:val="0"/>
    </w:pPr>
    <w:rPr>
      <w:b/>
      <w:szCs w:val="20"/>
    </w:rPr>
  </w:style>
  <w:style w:type="paragraph" w:customStyle="1" w:styleId="BBScheduleHeading2">
    <w:name w:val="B&amp;B Schedule Heading 2"/>
    <w:basedOn w:val="BBSchedule2"/>
    <w:next w:val="BBBodyTextIndent2"/>
    <w:uiPriority w:val="49"/>
    <w:rsid w:val="005E286A"/>
    <w:pPr>
      <w:keepNext/>
      <w:outlineLvl w:val="1"/>
    </w:pPr>
    <w:rPr>
      <w:b/>
    </w:rPr>
  </w:style>
  <w:style w:type="paragraph" w:customStyle="1" w:styleId="BBScheduleHeading3">
    <w:name w:val="B&amp;B Schedule Heading 3"/>
    <w:basedOn w:val="BBSchedule3"/>
    <w:next w:val="BBBodyTextIndent3"/>
    <w:uiPriority w:val="49"/>
    <w:rsid w:val="005E286A"/>
    <w:pPr>
      <w:keepNext/>
      <w:outlineLvl w:val="2"/>
    </w:pPr>
    <w:rPr>
      <w:b/>
    </w:rPr>
  </w:style>
  <w:style w:type="paragraph" w:customStyle="1" w:styleId="BBScheduleHeading4">
    <w:name w:val="B&amp;B Schedule Heading 4"/>
    <w:basedOn w:val="BBSchedule4"/>
    <w:next w:val="BBBodyTextIndent4"/>
    <w:uiPriority w:val="49"/>
    <w:rsid w:val="005E286A"/>
    <w:pPr>
      <w:keepNext/>
      <w:outlineLvl w:val="3"/>
    </w:pPr>
    <w:rPr>
      <w:b/>
    </w:rPr>
  </w:style>
  <w:style w:type="paragraph" w:customStyle="1" w:styleId="BBScheduleHeading5">
    <w:name w:val="B&amp;B Schedule Heading 5"/>
    <w:basedOn w:val="BBSchedule5"/>
    <w:next w:val="BBBodyTextIndent5"/>
    <w:uiPriority w:val="49"/>
    <w:rsid w:val="005E286A"/>
    <w:pPr>
      <w:keepNext/>
      <w:outlineLvl w:val="4"/>
    </w:pPr>
    <w:rPr>
      <w:b/>
    </w:rPr>
  </w:style>
  <w:style w:type="paragraph" w:customStyle="1" w:styleId="BBScheduleHeading6">
    <w:name w:val="B&amp;B Schedule Heading 6"/>
    <w:basedOn w:val="BBSchedule6"/>
    <w:next w:val="BBBodyTextIndent6"/>
    <w:uiPriority w:val="49"/>
    <w:rsid w:val="005E286A"/>
    <w:pPr>
      <w:keepNext/>
      <w:outlineLvl w:val="5"/>
    </w:pPr>
    <w:rPr>
      <w:b/>
    </w:rPr>
  </w:style>
  <w:style w:type="paragraph" w:customStyle="1" w:styleId="BBScheduleHeading7">
    <w:name w:val="B&amp;B Schedule Heading 7"/>
    <w:basedOn w:val="BBSchedule7"/>
    <w:next w:val="BBBodyTextIndent7"/>
    <w:uiPriority w:val="49"/>
    <w:rsid w:val="005E286A"/>
    <w:pPr>
      <w:keepNext/>
      <w:outlineLvl w:val="6"/>
    </w:pPr>
    <w:rPr>
      <w:b/>
    </w:rPr>
  </w:style>
  <w:style w:type="paragraph" w:customStyle="1" w:styleId="BBScheduleHeading8">
    <w:name w:val="B&amp;B Schedule Heading 8"/>
    <w:basedOn w:val="BBSchedule8"/>
    <w:next w:val="BBBodyTextIndent8"/>
    <w:uiPriority w:val="49"/>
    <w:rsid w:val="005E286A"/>
    <w:pPr>
      <w:keepNext/>
      <w:outlineLvl w:val="7"/>
    </w:pPr>
    <w:rPr>
      <w:b/>
    </w:rPr>
  </w:style>
  <w:style w:type="paragraph" w:customStyle="1" w:styleId="BBScheduleHeading9">
    <w:name w:val="B&amp;B Schedule Heading 9"/>
    <w:basedOn w:val="BBSchedule9"/>
    <w:next w:val="BBBodyTextIndent9"/>
    <w:uiPriority w:val="49"/>
    <w:rsid w:val="005E286A"/>
    <w:pPr>
      <w:keepNext/>
      <w:outlineLvl w:val="8"/>
    </w:pPr>
    <w:rPr>
      <w:b/>
    </w:rPr>
  </w:style>
  <w:style w:type="paragraph" w:customStyle="1" w:styleId="BBScheduleTitle">
    <w:name w:val="B&amp;B Schedule Title"/>
    <w:basedOn w:val="BodyText"/>
    <w:next w:val="BBScheduleSub-title"/>
    <w:uiPriority w:val="47"/>
    <w:rsid w:val="005E286A"/>
    <w:pPr>
      <w:keepNext/>
      <w:pageBreakBefore/>
      <w:jc w:val="center"/>
    </w:pPr>
    <w:rPr>
      <w:b/>
    </w:rPr>
  </w:style>
  <w:style w:type="paragraph" w:customStyle="1" w:styleId="BBScheduleSub-title">
    <w:name w:val="B&amp;B Schedule Sub-title"/>
    <w:basedOn w:val="Normal"/>
    <w:next w:val="BodyText"/>
    <w:uiPriority w:val="48"/>
    <w:rsid w:val="005E286A"/>
    <w:pPr>
      <w:keepNext/>
      <w:spacing w:after="240"/>
      <w:jc w:val="center"/>
    </w:pPr>
    <w:rPr>
      <w:b/>
    </w:rPr>
  </w:style>
  <w:style w:type="paragraph" w:customStyle="1" w:styleId="BBSchedule1">
    <w:name w:val="B&amp;B Schedule 1"/>
    <w:basedOn w:val="BBScheduleHeading1"/>
    <w:uiPriority w:val="59"/>
    <w:rsid w:val="005E286A"/>
    <w:rPr>
      <w:b w:val="0"/>
    </w:rPr>
  </w:style>
  <w:style w:type="paragraph" w:customStyle="1" w:styleId="BBSchedule2">
    <w:name w:val="B&amp;B Schedule 2"/>
    <w:basedOn w:val="BodyText"/>
    <w:uiPriority w:val="59"/>
    <w:rsid w:val="00F637BB"/>
    <w:pPr>
      <w:numPr>
        <w:ilvl w:val="1"/>
        <w:numId w:val="4"/>
      </w:numPr>
    </w:pPr>
    <w:rPr>
      <w:szCs w:val="20"/>
    </w:rPr>
  </w:style>
  <w:style w:type="paragraph" w:customStyle="1" w:styleId="BBSchedule3">
    <w:name w:val="B&amp;B Schedule 3"/>
    <w:basedOn w:val="BodyText"/>
    <w:uiPriority w:val="59"/>
    <w:rsid w:val="00F637BB"/>
    <w:pPr>
      <w:numPr>
        <w:ilvl w:val="2"/>
        <w:numId w:val="4"/>
      </w:numPr>
    </w:pPr>
    <w:rPr>
      <w:szCs w:val="20"/>
    </w:rPr>
  </w:style>
  <w:style w:type="paragraph" w:customStyle="1" w:styleId="BBSchedule5">
    <w:name w:val="B&amp;B Schedule 5"/>
    <w:basedOn w:val="BodyText"/>
    <w:uiPriority w:val="59"/>
    <w:rsid w:val="00F637BB"/>
    <w:pPr>
      <w:numPr>
        <w:ilvl w:val="4"/>
        <w:numId w:val="4"/>
      </w:numPr>
    </w:pPr>
    <w:rPr>
      <w:szCs w:val="20"/>
    </w:rPr>
  </w:style>
  <w:style w:type="paragraph" w:customStyle="1" w:styleId="BBSchedule6">
    <w:name w:val="B&amp;B Schedule 6"/>
    <w:basedOn w:val="BodyText"/>
    <w:uiPriority w:val="59"/>
    <w:rsid w:val="00F637BB"/>
    <w:pPr>
      <w:numPr>
        <w:ilvl w:val="5"/>
        <w:numId w:val="4"/>
      </w:numPr>
    </w:pPr>
    <w:rPr>
      <w:szCs w:val="20"/>
    </w:rPr>
  </w:style>
  <w:style w:type="paragraph" w:customStyle="1" w:styleId="BBSchedule7">
    <w:name w:val="B&amp;B Schedule 7"/>
    <w:basedOn w:val="BodyText"/>
    <w:uiPriority w:val="59"/>
    <w:rsid w:val="00F637BB"/>
    <w:pPr>
      <w:numPr>
        <w:ilvl w:val="6"/>
        <w:numId w:val="4"/>
      </w:numPr>
    </w:pPr>
    <w:rPr>
      <w:szCs w:val="20"/>
    </w:rPr>
  </w:style>
  <w:style w:type="paragraph" w:customStyle="1" w:styleId="BBSchedule8">
    <w:name w:val="B&amp;B Schedule 8"/>
    <w:basedOn w:val="BodyText"/>
    <w:uiPriority w:val="59"/>
    <w:rsid w:val="00F637BB"/>
    <w:pPr>
      <w:numPr>
        <w:ilvl w:val="7"/>
        <w:numId w:val="4"/>
      </w:numPr>
    </w:pPr>
    <w:rPr>
      <w:szCs w:val="20"/>
    </w:rPr>
  </w:style>
  <w:style w:type="paragraph" w:customStyle="1" w:styleId="BBSchedule9">
    <w:name w:val="B&amp;B Schedule 9"/>
    <w:basedOn w:val="BodyText"/>
    <w:uiPriority w:val="59"/>
    <w:rsid w:val="00F637BB"/>
    <w:pPr>
      <w:numPr>
        <w:ilvl w:val="8"/>
        <w:numId w:val="4"/>
      </w:numPr>
    </w:pPr>
    <w:rPr>
      <w:szCs w:val="20"/>
    </w:rPr>
  </w:style>
  <w:style w:type="numbering" w:customStyle="1" w:styleId="NumberingSchedules">
    <w:name w:val="Numbering Schedules"/>
    <w:uiPriority w:val="99"/>
    <w:rsid w:val="00F637BB"/>
    <w:pPr>
      <w:numPr>
        <w:numId w:val="1"/>
      </w:numPr>
    </w:pPr>
  </w:style>
  <w:style w:type="paragraph" w:customStyle="1" w:styleId="BBBodyTextIndent1">
    <w:name w:val="B&amp;B Body Text Indent 1"/>
    <w:basedOn w:val="Normal"/>
    <w:rsid w:val="00B25A3A"/>
    <w:pPr>
      <w:spacing w:after="240"/>
      <w:ind w:left="720"/>
    </w:pPr>
    <w:rPr>
      <w:szCs w:val="20"/>
    </w:rPr>
  </w:style>
  <w:style w:type="paragraph" w:customStyle="1" w:styleId="BBBodyTextIndent2">
    <w:name w:val="B&amp;B Body Text Indent 2"/>
    <w:basedOn w:val="Normal"/>
    <w:uiPriority w:val="19"/>
    <w:rsid w:val="00B25A3A"/>
    <w:pPr>
      <w:spacing w:after="240"/>
      <w:ind w:left="720"/>
    </w:pPr>
    <w:rPr>
      <w:szCs w:val="20"/>
    </w:rPr>
  </w:style>
  <w:style w:type="paragraph" w:customStyle="1" w:styleId="BBBodyTextIndent3">
    <w:name w:val="B&amp;B Body Text Indent 3"/>
    <w:basedOn w:val="Normal"/>
    <w:rsid w:val="00B25A3A"/>
    <w:pPr>
      <w:spacing w:after="240"/>
      <w:ind w:left="1622"/>
    </w:pPr>
    <w:rPr>
      <w:rFonts w:eastAsia="Georgia"/>
      <w:szCs w:val="20"/>
    </w:rPr>
  </w:style>
  <w:style w:type="paragraph" w:customStyle="1" w:styleId="BBBodyTextIndent4">
    <w:name w:val="B&amp;B Body Text Indent 4"/>
    <w:basedOn w:val="Normal"/>
    <w:uiPriority w:val="19"/>
    <w:rsid w:val="00B25A3A"/>
    <w:pPr>
      <w:spacing w:after="240"/>
      <w:ind w:left="2699"/>
    </w:pPr>
    <w:rPr>
      <w:szCs w:val="20"/>
    </w:rPr>
  </w:style>
  <w:style w:type="paragraph" w:customStyle="1" w:styleId="BBBodyTextIndent5">
    <w:name w:val="B&amp;B Body Text Indent 5"/>
    <w:basedOn w:val="Normal"/>
    <w:uiPriority w:val="19"/>
    <w:rsid w:val="00B25A3A"/>
    <w:pPr>
      <w:spacing w:after="240"/>
      <w:ind w:left="2699"/>
    </w:pPr>
    <w:rPr>
      <w:szCs w:val="20"/>
    </w:rPr>
  </w:style>
  <w:style w:type="paragraph" w:customStyle="1" w:styleId="BBBodyTextIndent6">
    <w:name w:val="B&amp;B Body Text Indent 6"/>
    <w:basedOn w:val="Normal"/>
    <w:uiPriority w:val="19"/>
    <w:rsid w:val="00B25A3A"/>
    <w:pPr>
      <w:spacing w:after="240"/>
      <w:ind w:left="3238"/>
    </w:pPr>
    <w:rPr>
      <w:szCs w:val="20"/>
    </w:rPr>
  </w:style>
  <w:style w:type="paragraph" w:customStyle="1" w:styleId="BBBodyTextIndent7">
    <w:name w:val="B&amp;B Body Text Indent 7"/>
    <w:basedOn w:val="Normal"/>
    <w:uiPriority w:val="19"/>
    <w:rsid w:val="00B25A3A"/>
    <w:pPr>
      <w:spacing w:after="240"/>
      <w:ind w:left="3912"/>
    </w:pPr>
    <w:rPr>
      <w:szCs w:val="20"/>
    </w:rPr>
  </w:style>
  <w:style w:type="paragraph" w:customStyle="1" w:styleId="BBBodyTextIndent8">
    <w:name w:val="B&amp;B Body Text Indent 8"/>
    <w:basedOn w:val="Normal"/>
    <w:uiPriority w:val="19"/>
    <w:rsid w:val="00B25A3A"/>
    <w:pPr>
      <w:spacing w:after="240"/>
      <w:ind w:left="4587"/>
    </w:pPr>
    <w:rPr>
      <w:szCs w:val="20"/>
    </w:rPr>
  </w:style>
  <w:style w:type="paragraph" w:customStyle="1" w:styleId="BBBodyTextIndent9">
    <w:name w:val="B&amp;B Body Text Indent 9"/>
    <w:basedOn w:val="Normal"/>
    <w:uiPriority w:val="19"/>
    <w:rsid w:val="00B25A3A"/>
    <w:pPr>
      <w:spacing w:after="240"/>
      <w:ind w:left="5262"/>
    </w:pPr>
    <w:rPr>
      <w:szCs w:val="20"/>
    </w:rPr>
  </w:style>
  <w:style w:type="paragraph" w:customStyle="1" w:styleId="BBEndnoteText">
    <w:name w:val="B&amp;B Endnote Text"/>
    <w:basedOn w:val="Normal"/>
    <w:uiPriority w:val="69"/>
    <w:semiHidden/>
    <w:rsid w:val="00B8090B"/>
    <w:pPr>
      <w:ind w:left="62" w:hanging="62"/>
    </w:pPr>
    <w:rPr>
      <w:sz w:val="16"/>
    </w:rPr>
  </w:style>
  <w:style w:type="paragraph" w:customStyle="1" w:styleId="BBFootnoteText">
    <w:name w:val="B&amp;B Footnote Text"/>
    <w:basedOn w:val="Normal"/>
    <w:uiPriority w:val="69"/>
    <w:semiHidden/>
    <w:rsid w:val="00B8090B"/>
    <w:pPr>
      <w:ind w:left="113" w:hanging="113"/>
    </w:pPr>
    <w:rPr>
      <w:sz w:val="16"/>
    </w:rPr>
  </w:style>
  <w:style w:type="paragraph" w:customStyle="1" w:styleId="BBSchedule4">
    <w:name w:val="B&amp;B Schedule 4"/>
    <w:basedOn w:val="BodyText"/>
    <w:uiPriority w:val="59"/>
    <w:rsid w:val="00F637BB"/>
    <w:pPr>
      <w:numPr>
        <w:ilvl w:val="3"/>
        <w:numId w:val="4"/>
      </w:numPr>
    </w:pPr>
    <w:rPr>
      <w:szCs w:val="20"/>
    </w:rPr>
  </w:style>
  <w:style w:type="paragraph" w:customStyle="1" w:styleId="BBBullet1">
    <w:name w:val="B&amp;B Bullet 1"/>
    <w:basedOn w:val="BodyText"/>
    <w:uiPriority w:val="39"/>
    <w:rsid w:val="00B25A3A"/>
    <w:pPr>
      <w:numPr>
        <w:ilvl w:val="1"/>
        <w:numId w:val="5"/>
      </w:numPr>
    </w:pPr>
    <w:rPr>
      <w:szCs w:val="20"/>
    </w:rPr>
  </w:style>
  <w:style w:type="paragraph" w:customStyle="1" w:styleId="BBBullet2">
    <w:name w:val="B&amp;B Bullet 2"/>
    <w:basedOn w:val="BodyText"/>
    <w:uiPriority w:val="39"/>
    <w:rsid w:val="00B25A3A"/>
    <w:pPr>
      <w:numPr>
        <w:ilvl w:val="2"/>
        <w:numId w:val="5"/>
      </w:numPr>
    </w:pPr>
    <w:rPr>
      <w:szCs w:val="20"/>
    </w:rPr>
  </w:style>
  <w:style w:type="paragraph" w:customStyle="1" w:styleId="BBBullet3">
    <w:name w:val="B&amp;B Bullet 3"/>
    <w:basedOn w:val="BodyText"/>
    <w:uiPriority w:val="39"/>
    <w:rsid w:val="00B25A3A"/>
    <w:pPr>
      <w:numPr>
        <w:ilvl w:val="3"/>
        <w:numId w:val="5"/>
      </w:numPr>
    </w:pPr>
    <w:rPr>
      <w:szCs w:val="20"/>
    </w:rPr>
  </w:style>
  <w:style w:type="paragraph" w:customStyle="1" w:styleId="BBBullet4">
    <w:name w:val="B&amp;B Bullet 4"/>
    <w:basedOn w:val="BodyText"/>
    <w:uiPriority w:val="39"/>
    <w:rsid w:val="00B25A3A"/>
    <w:pPr>
      <w:numPr>
        <w:ilvl w:val="4"/>
        <w:numId w:val="5"/>
      </w:numPr>
    </w:pPr>
    <w:rPr>
      <w:szCs w:val="20"/>
    </w:rPr>
  </w:style>
  <w:style w:type="paragraph" w:customStyle="1" w:styleId="BBBullet5">
    <w:name w:val="B&amp;B Bullet 5"/>
    <w:basedOn w:val="BodyText"/>
    <w:uiPriority w:val="39"/>
    <w:rsid w:val="00B25A3A"/>
    <w:pPr>
      <w:numPr>
        <w:ilvl w:val="5"/>
        <w:numId w:val="5"/>
      </w:numPr>
    </w:pPr>
    <w:rPr>
      <w:szCs w:val="20"/>
    </w:rPr>
  </w:style>
  <w:style w:type="paragraph" w:customStyle="1" w:styleId="BBBullet6">
    <w:name w:val="B&amp;B Bullet 6"/>
    <w:basedOn w:val="BodyText"/>
    <w:uiPriority w:val="39"/>
    <w:rsid w:val="00B25A3A"/>
    <w:pPr>
      <w:numPr>
        <w:ilvl w:val="6"/>
        <w:numId w:val="5"/>
      </w:numPr>
    </w:pPr>
    <w:rPr>
      <w:szCs w:val="20"/>
    </w:rPr>
  </w:style>
  <w:style w:type="paragraph" w:customStyle="1" w:styleId="BBBullet7">
    <w:name w:val="B&amp;B Bullet 7"/>
    <w:basedOn w:val="BodyText"/>
    <w:uiPriority w:val="39"/>
    <w:rsid w:val="00B25A3A"/>
    <w:pPr>
      <w:numPr>
        <w:ilvl w:val="7"/>
        <w:numId w:val="5"/>
      </w:numPr>
    </w:pPr>
    <w:rPr>
      <w:szCs w:val="20"/>
    </w:rPr>
  </w:style>
  <w:style w:type="paragraph" w:customStyle="1" w:styleId="BBBullet8">
    <w:name w:val="B&amp;B Bullet 8"/>
    <w:basedOn w:val="BodyText"/>
    <w:uiPriority w:val="39"/>
    <w:rsid w:val="00B25A3A"/>
    <w:pPr>
      <w:numPr>
        <w:ilvl w:val="8"/>
        <w:numId w:val="5"/>
      </w:numPr>
    </w:pPr>
    <w:rPr>
      <w:szCs w:val="20"/>
    </w:rPr>
  </w:style>
  <w:style w:type="paragraph" w:customStyle="1" w:styleId="BBBulletatMargin">
    <w:name w:val="B&amp;B Bullet at Margin"/>
    <w:basedOn w:val="BBBullet8"/>
    <w:uiPriority w:val="38"/>
    <w:rsid w:val="00B25A3A"/>
    <w:pPr>
      <w:numPr>
        <w:ilvl w:val="0"/>
      </w:numPr>
    </w:pPr>
  </w:style>
  <w:style w:type="numbering" w:customStyle="1" w:styleId="BulletList">
    <w:name w:val="Bullet List"/>
    <w:uiPriority w:val="99"/>
    <w:rsid w:val="00B25A3A"/>
    <w:pPr>
      <w:numPr>
        <w:numId w:val="2"/>
      </w:numPr>
    </w:pPr>
  </w:style>
  <w:style w:type="paragraph" w:styleId="BalloonText">
    <w:name w:val="Balloon Text"/>
    <w:basedOn w:val="Normal"/>
    <w:link w:val="BalloonTextChar"/>
    <w:uiPriority w:val="99"/>
    <w:semiHidden/>
    <w:unhideWhenUsed/>
    <w:rsid w:val="00D53F50"/>
    <w:rPr>
      <w:rFonts w:ascii="Tahoma" w:hAnsi="Tahoma" w:cs="Tahoma"/>
      <w:sz w:val="16"/>
      <w:szCs w:val="16"/>
    </w:rPr>
  </w:style>
  <w:style w:type="character" w:customStyle="1" w:styleId="BalloonTextChar">
    <w:name w:val="Balloon Text Char"/>
    <w:link w:val="BalloonText"/>
    <w:uiPriority w:val="99"/>
    <w:semiHidden/>
    <w:rsid w:val="00D53F50"/>
    <w:rPr>
      <w:rFonts w:ascii="Tahoma" w:hAnsi="Tahoma" w:cs="Tahoma"/>
      <w:sz w:val="16"/>
      <w:szCs w:val="16"/>
    </w:rPr>
  </w:style>
  <w:style w:type="paragraph" w:customStyle="1" w:styleId="BBBodyTextNoSpacing">
    <w:name w:val="B&amp;B Body Text No Spacing"/>
    <w:basedOn w:val="BodyText"/>
    <w:uiPriority w:val="1"/>
    <w:qFormat/>
    <w:rsid w:val="00AC26EC"/>
    <w:pPr>
      <w:spacing w:after="0"/>
    </w:pPr>
  </w:style>
  <w:style w:type="table" w:styleId="TableGrid">
    <w:name w:val="Table Grid"/>
    <w:basedOn w:val="TableNormal"/>
    <w:uiPriority w:val="59"/>
    <w:rsid w:val="00C72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Heading0">
    <w:name w:val="B&amp;B Heading 0"/>
    <w:basedOn w:val="BodyText"/>
    <w:next w:val="BodyText"/>
    <w:uiPriority w:val="8"/>
    <w:qFormat/>
    <w:rsid w:val="001A4225"/>
    <w:pPr>
      <w:keepNext/>
      <w:jc w:val="left"/>
    </w:pPr>
    <w:rPr>
      <w:b/>
      <w:caps/>
    </w:rPr>
  </w:style>
  <w:style w:type="paragraph" w:customStyle="1" w:styleId="BBHeading0Lower">
    <w:name w:val="B&amp;B Heading 0 (Lower)"/>
    <w:basedOn w:val="BodyText"/>
    <w:next w:val="BodyText"/>
    <w:uiPriority w:val="8"/>
    <w:qFormat/>
    <w:rsid w:val="00F754B8"/>
    <w:rPr>
      <w:b/>
      <w:szCs w:val="20"/>
    </w:rPr>
  </w:style>
  <w:style w:type="paragraph" w:styleId="BodyTextIndent2">
    <w:name w:val="Body Text Indent 2"/>
    <w:basedOn w:val="Normal"/>
    <w:link w:val="BodyTextIndent2Char"/>
    <w:rsid w:val="00E3252C"/>
    <w:pPr>
      <w:spacing w:after="120" w:line="480" w:lineRule="auto"/>
      <w:ind w:left="283"/>
      <w:jc w:val="left"/>
    </w:pPr>
    <w:rPr>
      <w:rFonts w:eastAsia="Times New Roman"/>
      <w:szCs w:val="20"/>
      <w:lang w:eastAsia="en-GB"/>
    </w:rPr>
  </w:style>
  <w:style w:type="character" w:customStyle="1" w:styleId="BodyTextIndent2Char">
    <w:name w:val="Body Text Indent 2 Char"/>
    <w:link w:val="BodyTextIndent2"/>
    <w:rsid w:val="00E3252C"/>
    <w:rPr>
      <w:rFonts w:ascii="Georgia" w:eastAsia="Times New Roman" w:hAnsi="Georgia"/>
      <w:sz w:val="22"/>
    </w:rPr>
  </w:style>
  <w:style w:type="character" w:styleId="Hyperlink">
    <w:name w:val="Hyperlink"/>
    <w:rsid w:val="00E3252C"/>
    <w:rPr>
      <w:color w:val="0000FF"/>
      <w:u w:val="single"/>
    </w:rPr>
  </w:style>
  <w:style w:type="character" w:styleId="PlaceholderText">
    <w:name w:val="Placeholder Text"/>
    <w:basedOn w:val="DefaultParagraphFont"/>
    <w:uiPriority w:val="99"/>
    <w:semiHidden/>
    <w:rsid w:val="004C2071"/>
    <w:rPr>
      <w:color w:val="808080"/>
    </w:rPr>
  </w:style>
  <w:style w:type="paragraph" w:styleId="FootnoteText">
    <w:name w:val="footnote text"/>
    <w:basedOn w:val="Normal"/>
    <w:link w:val="FootnoteTextChar"/>
    <w:uiPriority w:val="99"/>
    <w:rsid w:val="00615081"/>
    <w:pPr>
      <w:ind w:left="113" w:hanging="113"/>
      <w:jc w:val="left"/>
    </w:pPr>
    <w:rPr>
      <w:rFonts w:eastAsia="Times New Roman"/>
      <w:sz w:val="16"/>
      <w:szCs w:val="20"/>
      <w:lang w:eastAsia="en-GB"/>
    </w:rPr>
  </w:style>
  <w:style w:type="character" w:customStyle="1" w:styleId="FootnoteTextChar">
    <w:name w:val="Footnote Text Char"/>
    <w:basedOn w:val="DefaultParagraphFont"/>
    <w:link w:val="FootnoteText"/>
    <w:uiPriority w:val="99"/>
    <w:rsid w:val="00615081"/>
    <w:rPr>
      <w:rFonts w:ascii="Georgia" w:eastAsia="Times New Roman" w:hAnsi="Georgia"/>
      <w:sz w:val="16"/>
    </w:rPr>
  </w:style>
  <w:style w:type="character" w:styleId="FootnoteReference">
    <w:name w:val="footnote reference"/>
    <w:uiPriority w:val="99"/>
    <w:rsid w:val="00615081"/>
    <w:rPr>
      <w:vertAlign w:val="superscript"/>
    </w:rPr>
  </w:style>
  <w:style w:type="paragraph" w:customStyle="1" w:styleId="MemoHeading">
    <w:name w:val="Memo Heading"/>
    <w:basedOn w:val="BodyText"/>
    <w:next w:val="BodyText"/>
    <w:semiHidden/>
    <w:qFormat/>
    <w:rsid w:val="000160F1"/>
    <w:pPr>
      <w:spacing w:after="480"/>
      <w:jc w:val="center"/>
    </w:pPr>
    <w:rPr>
      <w:rFonts w:eastAsiaTheme="minorHAnsi"/>
      <w:b/>
      <w:spacing w:val="50"/>
      <w:sz w:val="28"/>
      <w:szCs w:val="20"/>
    </w:rPr>
  </w:style>
  <w:style w:type="paragraph" w:styleId="ListParagraph">
    <w:name w:val="List Paragraph"/>
    <w:basedOn w:val="Normal"/>
    <w:uiPriority w:val="34"/>
    <w:qFormat/>
    <w:rsid w:val="00193AE4"/>
    <w:pPr>
      <w:ind w:left="720"/>
      <w:contextualSpacing/>
    </w:pPr>
  </w:style>
  <w:style w:type="character" w:styleId="UnresolvedMention">
    <w:name w:val="Unresolved Mention"/>
    <w:basedOn w:val="DefaultParagraphFont"/>
    <w:uiPriority w:val="99"/>
    <w:semiHidden/>
    <w:unhideWhenUsed/>
    <w:rsid w:val="00AC020D"/>
    <w:rPr>
      <w:color w:val="605E5C"/>
      <w:shd w:val="clear" w:color="auto" w:fill="E1DFDD"/>
    </w:rPr>
  </w:style>
  <w:style w:type="character" w:styleId="FollowedHyperlink">
    <w:name w:val="FollowedHyperlink"/>
    <w:basedOn w:val="DefaultParagraphFont"/>
    <w:uiPriority w:val="99"/>
    <w:semiHidden/>
    <w:unhideWhenUsed/>
    <w:rsid w:val="002F5947"/>
    <w:rPr>
      <w:color w:val="800080" w:themeColor="followedHyperlink"/>
      <w:u w:val="single"/>
    </w:rPr>
  </w:style>
  <w:style w:type="paragraph" w:customStyle="1" w:styleId="BBCLause10">
    <w:name w:val="B&amp;B  CLause 1"/>
    <w:basedOn w:val="BBHeading1"/>
    <w:rsid w:val="0008692F"/>
  </w:style>
  <w:style w:type="character" w:styleId="CommentReference">
    <w:name w:val="annotation reference"/>
    <w:basedOn w:val="DefaultParagraphFont"/>
    <w:uiPriority w:val="99"/>
    <w:semiHidden/>
    <w:unhideWhenUsed/>
    <w:rsid w:val="00A2523A"/>
    <w:rPr>
      <w:sz w:val="16"/>
      <w:szCs w:val="16"/>
    </w:rPr>
  </w:style>
  <w:style w:type="paragraph" w:styleId="CommentText">
    <w:name w:val="annotation text"/>
    <w:basedOn w:val="Normal"/>
    <w:link w:val="CommentTextChar"/>
    <w:uiPriority w:val="99"/>
    <w:unhideWhenUsed/>
    <w:rsid w:val="00A2523A"/>
    <w:rPr>
      <w:sz w:val="20"/>
      <w:szCs w:val="20"/>
    </w:rPr>
  </w:style>
  <w:style w:type="character" w:customStyle="1" w:styleId="CommentTextChar">
    <w:name w:val="Comment Text Char"/>
    <w:basedOn w:val="DefaultParagraphFont"/>
    <w:link w:val="CommentText"/>
    <w:uiPriority w:val="99"/>
    <w:rsid w:val="00A2523A"/>
    <w:rPr>
      <w:rFonts w:ascii="Georgia" w:hAnsi="Georgia"/>
      <w:lang w:eastAsia="en-US"/>
    </w:rPr>
  </w:style>
  <w:style w:type="paragraph" w:styleId="CommentSubject">
    <w:name w:val="annotation subject"/>
    <w:basedOn w:val="CommentText"/>
    <w:next w:val="CommentText"/>
    <w:link w:val="CommentSubjectChar"/>
    <w:uiPriority w:val="99"/>
    <w:semiHidden/>
    <w:unhideWhenUsed/>
    <w:rsid w:val="00A2523A"/>
    <w:rPr>
      <w:b/>
      <w:bCs/>
    </w:rPr>
  </w:style>
  <w:style w:type="character" w:customStyle="1" w:styleId="CommentSubjectChar">
    <w:name w:val="Comment Subject Char"/>
    <w:basedOn w:val="CommentTextChar"/>
    <w:link w:val="CommentSubject"/>
    <w:uiPriority w:val="99"/>
    <w:semiHidden/>
    <w:rsid w:val="00A2523A"/>
    <w:rPr>
      <w:rFonts w:ascii="Georgia" w:hAnsi="Georgia"/>
      <w:b/>
      <w:bCs/>
      <w:lang w:eastAsia="en-US"/>
    </w:rPr>
  </w:style>
  <w:style w:type="paragraph" w:styleId="Revision">
    <w:name w:val="Revision"/>
    <w:hidden/>
    <w:uiPriority w:val="99"/>
    <w:semiHidden/>
    <w:rsid w:val="007B37A7"/>
    <w:rPr>
      <w:rFonts w:ascii="Georgia" w:hAnsi="Georgia"/>
      <w:sz w:val="22"/>
      <w:szCs w:val="22"/>
      <w:lang w:eastAsia="en-US"/>
    </w:rPr>
  </w:style>
  <w:style w:type="table" w:styleId="GridTable3-Accent5">
    <w:name w:val="Grid Table 3 Accent 5"/>
    <w:basedOn w:val="TableNormal"/>
    <w:uiPriority w:val="48"/>
    <w:rsid w:val="00D05E4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1Light-Accent5">
    <w:name w:val="Grid Table 1 Light Accent 5"/>
    <w:basedOn w:val="TableNormal"/>
    <w:uiPriority w:val="46"/>
    <w:rsid w:val="00D05E4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86701">
      <w:bodyDiv w:val="1"/>
      <w:marLeft w:val="0"/>
      <w:marRight w:val="0"/>
      <w:marTop w:val="0"/>
      <w:marBottom w:val="0"/>
      <w:divBdr>
        <w:top w:val="none" w:sz="0" w:space="0" w:color="auto"/>
        <w:left w:val="none" w:sz="0" w:space="0" w:color="auto"/>
        <w:bottom w:val="none" w:sz="0" w:space="0" w:color="auto"/>
        <w:right w:val="none" w:sz="0" w:space="0" w:color="auto"/>
      </w:divBdr>
    </w:div>
    <w:div w:id="34355285">
      <w:bodyDiv w:val="1"/>
      <w:marLeft w:val="0"/>
      <w:marRight w:val="0"/>
      <w:marTop w:val="0"/>
      <w:marBottom w:val="0"/>
      <w:divBdr>
        <w:top w:val="none" w:sz="0" w:space="0" w:color="auto"/>
        <w:left w:val="none" w:sz="0" w:space="0" w:color="auto"/>
        <w:bottom w:val="none" w:sz="0" w:space="0" w:color="auto"/>
        <w:right w:val="none" w:sz="0" w:space="0" w:color="auto"/>
      </w:divBdr>
    </w:div>
    <w:div w:id="93867667">
      <w:bodyDiv w:val="1"/>
      <w:marLeft w:val="0"/>
      <w:marRight w:val="0"/>
      <w:marTop w:val="0"/>
      <w:marBottom w:val="0"/>
      <w:divBdr>
        <w:top w:val="none" w:sz="0" w:space="0" w:color="auto"/>
        <w:left w:val="none" w:sz="0" w:space="0" w:color="auto"/>
        <w:bottom w:val="none" w:sz="0" w:space="0" w:color="auto"/>
        <w:right w:val="none" w:sz="0" w:space="0" w:color="auto"/>
      </w:divBdr>
      <w:divsChild>
        <w:div w:id="271982187">
          <w:marLeft w:val="0"/>
          <w:marRight w:val="0"/>
          <w:marTop w:val="0"/>
          <w:marBottom w:val="0"/>
          <w:divBdr>
            <w:top w:val="none" w:sz="0" w:space="0" w:color="auto"/>
            <w:left w:val="none" w:sz="0" w:space="0" w:color="auto"/>
            <w:bottom w:val="none" w:sz="0" w:space="0" w:color="auto"/>
            <w:right w:val="none" w:sz="0" w:space="0" w:color="auto"/>
          </w:divBdr>
          <w:divsChild>
            <w:div w:id="1600524413">
              <w:marLeft w:val="0"/>
              <w:marRight w:val="0"/>
              <w:marTop w:val="0"/>
              <w:marBottom w:val="0"/>
              <w:divBdr>
                <w:top w:val="none" w:sz="0" w:space="0" w:color="auto"/>
                <w:left w:val="none" w:sz="0" w:space="0" w:color="auto"/>
                <w:bottom w:val="none" w:sz="0" w:space="0" w:color="auto"/>
                <w:right w:val="none" w:sz="0" w:space="0" w:color="auto"/>
              </w:divBdr>
            </w:div>
            <w:div w:id="5750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54025">
      <w:bodyDiv w:val="1"/>
      <w:marLeft w:val="0"/>
      <w:marRight w:val="0"/>
      <w:marTop w:val="0"/>
      <w:marBottom w:val="0"/>
      <w:divBdr>
        <w:top w:val="none" w:sz="0" w:space="0" w:color="auto"/>
        <w:left w:val="none" w:sz="0" w:space="0" w:color="auto"/>
        <w:bottom w:val="none" w:sz="0" w:space="0" w:color="auto"/>
        <w:right w:val="none" w:sz="0" w:space="0" w:color="auto"/>
      </w:divBdr>
    </w:div>
    <w:div w:id="344941516">
      <w:bodyDiv w:val="1"/>
      <w:marLeft w:val="0"/>
      <w:marRight w:val="0"/>
      <w:marTop w:val="0"/>
      <w:marBottom w:val="0"/>
      <w:divBdr>
        <w:top w:val="none" w:sz="0" w:space="0" w:color="auto"/>
        <w:left w:val="none" w:sz="0" w:space="0" w:color="auto"/>
        <w:bottom w:val="none" w:sz="0" w:space="0" w:color="auto"/>
        <w:right w:val="none" w:sz="0" w:space="0" w:color="auto"/>
      </w:divBdr>
    </w:div>
    <w:div w:id="349726816">
      <w:bodyDiv w:val="1"/>
      <w:marLeft w:val="0"/>
      <w:marRight w:val="0"/>
      <w:marTop w:val="0"/>
      <w:marBottom w:val="0"/>
      <w:divBdr>
        <w:top w:val="none" w:sz="0" w:space="0" w:color="auto"/>
        <w:left w:val="none" w:sz="0" w:space="0" w:color="auto"/>
        <w:bottom w:val="none" w:sz="0" w:space="0" w:color="auto"/>
        <w:right w:val="none" w:sz="0" w:space="0" w:color="auto"/>
      </w:divBdr>
    </w:div>
    <w:div w:id="491871651">
      <w:bodyDiv w:val="1"/>
      <w:marLeft w:val="0"/>
      <w:marRight w:val="0"/>
      <w:marTop w:val="0"/>
      <w:marBottom w:val="0"/>
      <w:divBdr>
        <w:top w:val="none" w:sz="0" w:space="0" w:color="auto"/>
        <w:left w:val="none" w:sz="0" w:space="0" w:color="auto"/>
        <w:bottom w:val="none" w:sz="0" w:space="0" w:color="auto"/>
        <w:right w:val="none" w:sz="0" w:space="0" w:color="auto"/>
      </w:divBdr>
    </w:div>
    <w:div w:id="527304439">
      <w:bodyDiv w:val="1"/>
      <w:marLeft w:val="0"/>
      <w:marRight w:val="0"/>
      <w:marTop w:val="0"/>
      <w:marBottom w:val="0"/>
      <w:divBdr>
        <w:top w:val="none" w:sz="0" w:space="0" w:color="auto"/>
        <w:left w:val="none" w:sz="0" w:space="0" w:color="auto"/>
        <w:bottom w:val="none" w:sz="0" w:space="0" w:color="auto"/>
        <w:right w:val="none" w:sz="0" w:space="0" w:color="auto"/>
      </w:divBdr>
    </w:div>
    <w:div w:id="624310789">
      <w:bodyDiv w:val="1"/>
      <w:marLeft w:val="0"/>
      <w:marRight w:val="0"/>
      <w:marTop w:val="0"/>
      <w:marBottom w:val="0"/>
      <w:divBdr>
        <w:top w:val="none" w:sz="0" w:space="0" w:color="auto"/>
        <w:left w:val="none" w:sz="0" w:space="0" w:color="auto"/>
        <w:bottom w:val="none" w:sz="0" w:space="0" w:color="auto"/>
        <w:right w:val="none" w:sz="0" w:space="0" w:color="auto"/>
      </w:divBdr>
    </w:div>
    <w:div w:id="855774821">
      <w:bodyDiv w:val="1"/>
      <w:marLeft w:val="0"/>
      <w:marRight w:val="0"/>
      <w:marTop w:val="0"/>
      <w:marBottom w:val="0"/>
      <w:divBdr>
        <w:top w:val="none" w:sz="0" w:space="0" w:color="auto"/>
        <w:left w:val="none" w:sz="0" w:space="0" w:color="auto"/>
        <w:bottom w:val="none" w:sz="0" w:space="0" w:color="auto"/>
        <w:right w:val="none" w:sz="0" w:space="0" w:color="auto"/>
      </w:divBdr>
    </w:div>
    <w:div w:id="1122112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footer" Target="footer1.xml" />
  <Relationship Id="rId18" Type="http://schemas.openxmlformats.org/officeDocument/2006/relationships/theme" Target="theme/theme1.xml" />
  <Relationship Id="rId3" Type="http://schemas.openxmlformats.org/officeDocument/2006/relationships/numbering" Target="numbering.xml" />
  <Relationship Id="rId7" Type="http://schemas.openxmlformats.org/officeDocument/2006/relationships/footnotes" Target="footnotes.xml" />
  <Relationship Id="rId12" Type="http://schemas.openxmlformats.org/officeDocument/2006/relationships/header" Target="header2.xml" />
  <Relationship Id="rId17" Type="http://schemas.openxmlformats.org/officeDocument/2006/relationships/fontTable" Target="fontTable.xml" />
  <Relationship Id="rId2" Type="http://schemas.openxmlformats.org/officeDocument/2006/relationships/customXml" Target="../customXml/item2.xml" />
  <Relationship Id="rId16" Type="http://schemas.openxmlformats.org/officeDocument/2006/relationships/footer" Target="footer3.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header" Target="header1.xml" />
  <Relationship Id="rId5" Type="http://schemas.openxmlformats.org/officeDocument/2006/relationships/settings" Target="settings.xml" />
  <Relationship Id="rId15" Type="http://schemas.openxmlformats.org/officeDocument/2006/relationships/header" Target="header3.xml" />
  <Relationship Id="rId10" Type="http://schemas.openxmlformats.org/officeDocument/2006/relationships/hyperlink" Target="https://community.icann.org/download/attachments/111388744/Memo%20-%20ICANN%20-%2004.02.2020.docx?version=1&amp;modificationDate=1581360214000&amp;api=v2" TargetMode="External" />
  <Relationship Id="rId4" Type="http://schemas.openxmlformats.org/officeDocument/2006/relationships/styles" Target="styles.xml" />
  <Relationship Id="rId9" Type="http://schemas.openxmlformats.org/officeDocument/2006/relationships/hyperlink" Target="https://www.icann.org/en/system/files/correspondence/jelinek-to-marby-05jul18-en.pdf" TargetMode="External" />
  <Relationship Id="rId14" Type="http://schemas.openxmlformats.org/officeDocument/2006/relationships/footer" Target="footer2.xml" />
</Relationships>
</file>

<file path=word/_rels/footer3.xml.rels>&#65279;<?xml version="1.0" encoding="UTF-8" standalone="yes"?>
<Relationships xmlns="http://schemas.openxmlformats.org/package/2006/relationships">
  <Relationship Id="rId1" Type="http://schemas.openxmlformats.org/officeDocument/2006/relationships/image" Target="media/image3.png" />
</Relationships>
</file>

<file path=word/_rels/footnotes.xml.rels>&#65279;<?xml version="1.0" encoding="UTF-8" standalone="yes"?>
<Relationships xmlns="http://schemas.openxmlformats.org/package/2006/relationships">
  <Relationship Id="rId8" Type="http://schemas.openxmlformats.org/officeDocument/2006/relationships/hyperlink" Target="https://edpb.europa.eu/sites/edpb/files/files/file1/edpb_guidelines_201904_dataprotection_by_design_and_by_default_v2.0_en.pdf" TargetMode="External" />
  <Relationship Id="rId3" Type="http://schemas.openxmlformats.org/officeDocument/2006/relationships/hyperlink" Target="https://www.autoriteprotectiondonnees.be/citoyen/vie-privee/lexique" TargetMode="External" />
  <Relationship Id="rId7" Type="http://schemas.openxmlformats.org/officeDocument/2006/relationships/hyperlink" Target="https://www.icann.org/en/system/files/files/sac-023-en.pdf" TargetMode="External" />
  <Relationship Id="rId2" Type="http://schemas.openxmlformats.org/officeDocument/2006/relationships/hyperlink" Target="mailto:enquiries@example.com" TargetMode="External" />
  <Relationship Id="rId1" Type="http://schemas.openxmlformats.org/officeDocument/2006/relationships/hyperlink" Target="https://ec.europa.eu/justice/article-29/documentation/opinion-recommendation/files/2014/wp216_en.pdf" TargetMode="External" />
  <Relationship Id="rId6" Type="http://schemas.openxmlformats.org/officeDocument/2006/relationships/hyperlink" Target="https://ec.europa.eu/justice/article-29/documentation/opinion-recommendation/files/2000/wp33_en.pdf" TargetMode="External" />
  <Relationship Id="rId5" Type="http://schemas.openxmlformats.org/officeDocument/2006/relationships/hyperlink" Target="https://ec.europa.eu/justice/article-29/documentation/opinion-recommendation/files/2007/wp136_en.pdf" TargetMode="External" />
  <Relationship Id="rId4" Type="http://schemas.openxmlformats.org/officeDocument/2006/relationships/hyperlink" Target="https://ico.org.uk/for-organisations/guide-to-data-protection/guide-to-the-general-data-protection-regulation-gdpr/what-is-personal-data/what-is-the-meaning-of-relates-to/" TargetMode="External" />
</Relationships>
</file>

<file path=word/_rels/header2.xml.rels>&#65279;<?xml version="1.0" encoding="UTF-8" standalone="yes"?>
<Relationships xmlns="http://schemas.openxmlformats.org/package/2006/relationships">
  <Relationship Id="rId1" Type="http://schemas.openxmlformats.org/officeDocument/2006/relationships/image" Target="media/image1.png" />
</Relationships>
</file>

<file path=word/_rels/header3.xml.rels>&#65279;<?xml version="1.0" encoding="UTF-8" standalone="yes"?>
<Relationships xmlns="http://schemas.openxmlformats.org/package/2006/relationships">
  <Relationship Id="rId3" Type="http://schemas.openxmlformats.org/officeDocument/2006/relationships/image" Target="media/image1.png" />
  <Relationship Id="rId2" Type="http://schemas.openxmlformats.org/officeDocument/2006/relationships/image" Target="media/image20.png" />
  <Relationship Id="rId1" Type="http://schemas.openxmlformats.org/officeDocument/2006/relationships/image" Target="media/image2.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 M a t t e r s ! 5 9 2 3 7 8 3 0 . 1 < / d o c u m e n t i d >  
     < s e n d e r i d > R J B < / s e n d e r i d >  
     < s e n d e r e m a i l > R U T H . B O A R D M A N @ T W O B I R D S . C O M < / s e n d e r e m a i l >  
     < l a s t m o d i f i e d > 2 0 2 1 - 0 4 - 0 9 T 1 6 : 3 2 : 0 0 . 0 0 0 0 0 0 0 + 0 1 : 0 0 < / l a s t m o d i f i e d >  
     < d a t a b a s e > M a t t e r s < / d a t a b a s e >  
 < / p r o p e r t i e s > 
</file>

<file path=customXml/itemProps1.xml><?xml version="1.0" encoding="utf-8"?>
<ds:datastoreItem xmlns:ds="http://schemas.openxmlformats.org/officeDocument/2006/customXml" ds:itemID="{AB94E6A3-9D0D-4311-AE32-DD70C5FA5E51}">
  <ds:schemaRefs>
    <ds:schemaRef ds:uri="http://schemas.openxmlformats.org/officeDocument/2006/bibliography"/>
  </ds:schemaRefs>
</ds:datastoreItem>
</file>

<file path=customXml/itemProps2.xml><?xml version="1.0" encoding="utf-8"?>
<ds:datastoreItem xmlns:ds="http://schemas.openxmlformats.org/officeDocument/2006/customXml" ds:itemID="{B0888891-9053-48EA-ACBB-1C07BE83240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Pages>7</Pages>
  <Words>3060</Words>
  <Characters>16769</Characters>
  <Application>Microsoft Office Word</Application>
  <DocSecurity>0</DocSecurity>
  <Lines>289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19745</CharactersWithSpaces>
  <SharedDoc>false</SharedDoc>
  <HyperlinkBase/>
  <HLinks>
    <vt:vector size="6" baseType="variant">
      <vt:variant>
        <vt:i4>5439562</vt:i4>
      </vt:variant>
      <vt:variant>
        <vt:i4>0</vt:i4>
      </vt:variant>
      <vt:variant>
        <vt:i4>0</vt:i4>
      </vt:variant>
      <vt:variant>
        <vt:i4>5</vt:i4>
      </vt:variant>
      <vt:variant>
        <vt:lpwstr>http://www.twobirds.com/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BBDocRef">
    <vt:lpwstr>Matters\59237830.1</vt:lpwstr>
  </property>
</Properties>
</file>