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93A74" w14:textId="77777777" w:rsidR="00C015B5" w:rsidRDefault="00A8570F">
      <w:pPr>
        <w:jc w:val="right"/>
        <w:rPr>
          <w:b/>
          <w:sz w:val="32"/>
          <w:szCs w:val="32"/>
        </w:rPr>
      </w:pPr>
      <w:r>
        <w:rPr>
          <w:b/>
          <w:sz w:val="32"/>
          <w:szCs w:val="32"/>
        </w:rPr>
        <w:t>EN</w:t>
      </w:r>
      <w:r>
        <w:rPr>
          <w:noProof/>
        </w:rPr>
        <w:drawing>
          <wp:anchor distT="0" distB="0" distL="114300" distR="114300" simplePos="0" relativeHeight="251658240" behindDoc="0" locked="0" layoutInCell="1" hidden="0" allowOverlap="1" wp14:anchorId="15593AB7" wp14:editId="15593AB8">
            <wp:simplePos x="0" y="0"/>
            <wp:positionH relativeFrom="column">
              <wp:posOffset>1</wp:posOffset>
            </wp:positionH>
            <wp:positionV relativeFrom="paragraph">
              <wp:posOffset>15723</wp:posOffset>
            </wp:positionV>
            <wp:extent cx="1604456" cy="124301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04456" cy="1243013"/>
                    </a:xfrm>
                    <a:prstGeom prst="rect">
                      <a:avLst/>
                    </a:prstGeom>
                    <a:ln/>
                  </pic:spPr>
                </pic:pic>
              </a:graphicData>
            </a:graphic>
          </wp:anchor>
        </w:drawing>
      </w:r>
    </w:p>
    <w:p w14:paraId="15593A75" w14:textId="77777777" w:rsidR="00C015B5" w:rsidRDefault="00A8570F">
      <w:pPr>
        <w:jc w:val="both"/>
        <w:rPr>
          <w:b/>
          <w:sz w:val="20"/>
          <w:szCs w:val="20"/>
        </w:rPr>
      </w:pPr>
      <w:r>
        <w:rPr>
          <w:b/>
          <w:sz w:val="20"/>
          <w:szCs w:val="20"/>
        </w:rPr>
        <w:t xml:space="preserve"> </w:t>
      </w:r>
    </w:p>
    <w:p w14:paraId="15593A76" w14:textId="77777777" w:rsidR="00C015B5" w:rsidRDefault="00A8570F">
      <w:pPr>
        <w:ind w:left="4320" w:firstLine="720"/>
        <w:jc w:val="both"/>
        <w:rPr>
          <w:b/>
          <w:sz w:val="20"/>
          <w:szCs w:val="20"/>
        </w:rPr>
      </w:pPr>
      <w:r>
        <w:rPr>
          <w:b/>
          <w:sz w:val="20"/>
          <w:szCs w:val="20"/>
        </w:rPr>
        <w:t>AL-ALAC-ST-0421-01-00-EN</w:t>
      </w:r>
    </w:p>
    <w:p w14:paraId="15593A77" w14:textId="77777777" w:rsidR="00C015B5" w:rsidRDefault="00A8570F">
      <w:pPr>
        <w:ind w:left="4320" w:firstLine="720"/>
        <w:jc w:val="both"/>
        <w:rPr>
          <w:b/>
          <w:sz w:val="20"/>
          <w:szCs w:val="20"/>
        </w:rPr>
      </w:pPr>
      <w:r>
        <w:rPr>
          <w:b/>
          <w:sz w:val="20"/>
          <w:szCs w:val="20"/>
        </w:rPr>
        <w:t>ORIGINAL: English</w:t>
      </w:r>
    </w:p>
    <w:p w14:paraId="15593A78" w14:textId="77777777" w:rsidR="00C015B5" w:rsidRDefault="00A8570F">
      <w:pPr>
        <w:ind w:left="5040"/>
        <w:jc w:val="both"/>
        <w:rPr>
          <w:b/>
          <w:sz w:val="20"/>
          <w:szCs w:val="20"/>
        </w:rPr>
      </w:pPr>
      <w:r>
        <w:rPr>
          <w:b/>
          <w:sz w:val="20"/>
          <w:szCs w:val="20"/>
        </w:rPr>
        <w:t>DATE: 31 March 2021</w:t>
      </w:r>
    </w:p>
    <w:p w14:paraId="15593A79" w14:textId="77777777" w:rsidR="00C015B5" w:rsidRDefault="00A8570F">
      <w:pPr>
        <w:ind w:left="4320" w:firstLine="720"/>
        <w:jc w:val="both"/>
        <w:rPr>
          <w:b/>
          <w:sz w:val="20"/>
          <w:szCs w:val="20"/>
        </w:rPr>
      </w:pPr>
      <w:r>
        <w:rPr>
          <w:b/>
          <w:sz w:val="20"/>
          <w:szCs w:val="20"/>
        </w:rPr>
        <w:t>STATUS: Pending Ratification</w:t>
      </w:r>
    </w:p>
    <w:p w14:paraId="15593A7A" w14:textId="77777777" w:rsidR="00C015B5" w:rsidRDefault="00A8570F">
      <w:pPr>
        <w:jc w:val="center"/>
        <w:rPr>
          <w:b/>
          <w:sz w:val="28"/>
          <w:szCs w:val="28"/>
        </w:rPr>
      </w:pPr>
      <w:r>
        <w:rPr>
          <w:b/>
          <w:sz w:val="28"/>
          <w:szCs w:val="28"/>
        </w:rPr>
        <w:t xml:space="preserve"> </w:t>
      </w:r>
    </w:p>
    <w:p w14:paraId="15593A7B" w14:textId="77777777" w:rsidR="00C015B5" w:rsidRDefault="00A8570F">
      <w:pPr>
        <w:jc w:val="center"/>
        <w:rPr>
          <w:b/>
          <w:sz w:val="24"/>
          <w:szCs w:val="24"/>
        </w:rPr>
      </w:pPr>
      <w:r>
        <w:rPr>
          <w:b/>
          <w:sz w:val="24"/>
          <w:szCs w:val="24"/>
        </w:rPr>
        <w:t>AT-LARGE ADVISORY COMMITTEE</w:t>
      </w:r>
    </w:p>
    <w:p w14:paraId="15593A7C" w14:textId="77777777" w:rsidR="00C015B5" w:rsidRDefault="00A8570F">
      <w:pPr>
        <w:jc w:val="center"/>
        <w:rPr>
          <w:b/>
          <w:sz w:val="20"/>
          <w:szCs w:val="20"/>
        </w:rPr>
      </w:pPr>
      <w:r>
        <w:rPr>
          <w:b/>
          <w:sz w:val="20"/>
          <w:szCs w:val="20"/>
        </w:rPr>
        <w:t>ALAC Statement on Second Security, Stability and Resiliency (SSR2) Review Team Final Report</w:t>
      </w:r>
    </w:p>
    <w:p w14:paraId="15593A7D" w14:textId="77777777" w:rsidR="00C015B5" w:rsidRDefault="00C015B5">
      <w:pPr>
        <w:ind w:left="-220" w:right="-220"/>
        <w:jc w:val="both"/>
        <w:rPr>
          <w:b/>
          <w:sz w:val="18"/>
          <w:szCs w:val="18"/>
        </w:rPr>
      </w:pPr>
    </w:p>
    <w:p w14:paraId="15593A7E" w14:textId="77777777" w:rsidR="00C015B5" w:rsidRDefault="00C015B5">
      <w:pPr>
        <w:ind w:left="-220" w:right="-220"/>
        <w:jc w:val="both"/>
        <w:rPr>
          <w:b/>
          <w:sz w:val="18"/>
          <w:szCs w:val="18"/>
        </w:rPr>
      </w:pPr>
    </w:p>
    <w:p w14:paraId="15593A7F" w14:textId="77777777" w:rsidR="00C015B5" w:rsidRDefault="00A8570F">
      <w:pPr>
        <w:ind w:left="-220" w:right="-220"/>
        <w:jc w:val="both"/>
        <w:rPr>
          <w:b/>
          <w:sz w:val="18"/>
          <w:szCs w:val="18"/>
        </w:rPr>
      </w:pPr>
      <w:r>
        <w:rPr>
          <w:b/>
          <w:sz w:val="18"/>
          <w:szCs w:val="18"/>
        </w:rPr>
        <w:t>Introduction</w:t>
      </w:r>
    </w:p>
    <w:p w14:paraId="15593A80" w14:textId="77777777" w:rsidR="00C015B5" w:rsidRDefault="00C015B5">
      <w:pPr>
        <w:ind w:left="-220" w:right="-220"/>
        <w:jc w:val="both"/>
        <w:rPr>
          <w:sz w:val="20"/>
          <w:szCs w:val="20"/>
        </w:rPr>
      </w:pPr>
    </w:p>
    <w:p w14:paraId="15593A81" w14:textId="77777777" w:rsidR="00C015B5" w:rsidRDefault="00A8570F">
      <w:pPr>
        <w:rPr>
          <w:b/>
          <w:sz w:val="20"/>
          <w:szCs w:val="20"/>
        </w:rPr>
      </w:pPr>
      <w:r>
        <w:rPr>
          <w:sz w:val="20"/>
          <w:szCs w:val="20"/>
        </w:rPr>
        <w:t>EE to complete (</w:t>
      </w:r>
      <w:r>
        <w:rPr>
          <w:color w:val="FF0000"/>
          <w:sz w:val="20"/>
          <w:szCs w:val="20"/>
        </w:rPr>
        <w:t>ALAC statement on next page</w:t>
      </w:r>
      <w:r>
        <w:rPr>
          <w:sz w:val="20"/>
          <w:szCs w:val="20"/>
        </w:rPr>
        <w:t>)</w:t>
      </w:r>
    </w:p>
    <w:p w14:paraId="15593A82" w14:textId="77777777" w:rsidR="00C015B5" w:rsidRDefault="00A8570F">
      <w:pPr>
        <w:jc w:val="center"/>
        <w:rPr>
          <w:b/>
          <w:sz w:val="20"/>
          <w:szCs w:val="20"/>
        </w:rPr>
      </w:pPr>
      <w:r>
        <w:br w:type="page"/>
      </w:r>
    </w:p>
    <w:p w14:paraId="15593A83" w14:textId="77777777" w:rsidR="00C015B5" w:rsidRDefault="00A8570F">
      <w:pPr>
        <w:jc w:val="center"/>
        <w:rPr>
          <w:b/>
          <w:sz w:val="20"/>
          <w:szCs w:val="20"/>
        </w:rPr>
      </w:pPr>
      <w:r>
        <w:rPr>
          <w:b/>
          <w:sz w:val="20"/>
          <w:szCs w:val="20"/>
        </w:rPr>
        <w:lastRenderedPageBreak/>
        <w:t>AT-LARGE ADVISORY COMMITTEE</w:t>
      </w:r>
    </w:p>
    <w:p w14:paraId="15593A84" w14:textId="77777777" w:rsidR="00C015B5" w:rsidRDefault="00A8570F">
      <w:pPr>
        <w:jc w:val="center"/>
        <w:rPr>
          <w:b/>
          <w:sz w:val="20"/>
          <w:szCs w:val="20"/>
        </w:rPr>
      </w:pPr>
      <w:r>
        <w:rPr>
          <w:b/>
          <w:sz w:val="20"/>
          <w:szCs w:val="20"/>
        </w:rPr>
        <w:t xml:space="preserve">ALAC Statement on </w:t>
      </w:r>
      <w:r>
        <w:rPr>
          <w:b/>
          <w:sz w:val="20"/>
          <w:szCs w:val="20"/>
        </w:rPr>
        <w:t xml:space="preserve">the </w:t>
      </w:r>
      <w:r>
        <w:rPr>
          <w:b/>
          <w:sz w:val="20"/>
          <w:szCs w:val="20"/>
        </w:rPr>
        <w:t>Second Security, Stability and Resiliency (SSR2) Re</w:t>
      </w:r>
      <w:r>
        <w:rPr>
          <w:b/>
          <w:sz w:val="20"/>
          <w:szCs w:val="20"/>
        </w:rPr>
        <w:t>view Team Final Report</w:t>
      </w:r>
    </w:p>
    <w:p w14:paraId="15593A85" w14:textId="77777777" w:rsidR="00C015B5" w:rsidRDefault="00C015B5">
      <w:pPr>
        <w:spacing w:after="160" w:line="256" w:lineRule="auto"/>
        <w:rPr>
          <w:sz w:val="20"/>
          <w:szCs w:val="20"/>
        </w:rPr>
      </w:pPr>
    </w:p>
    <w:p w14:paraId="15593A86" w14:textId="022EC434" w:rsidR="00C015B5" w:rsidRDefault="00A8570F">
      <w:pPr>
        <w:spacing w:line="256" w:lineRule="auto"/>
        <w:rPr>
          <w:sz w:val="20"/>
          <w:szCs w:val="20"/>
        </w:rPr>
      </w:pPr>
      <w:r>
        <w:rPr>
          <w:sz w:val="20"/>
          <w:szCs w:val="20"/>
        </w:rPr>
        <w:t xml:space="preserve">The </w:t>
      </w:r>
      <w:r>
        <w:rPr>
          <w:sz w:val="20"/>
          <w:szCs w:val="20"/>
        </w:rPr>
        <w:t>At-Large Advisory Committee (</w:t>
      </w:r>
      <w:r>
        <w:rPr>
          <w:sz w:val="20"/>
          <w:szCs w:val="20"/>
        </w:rPr>
        <w:t>ALAC</w:t>
      </w:r>
      <w:r>
        <w:rPr>
          <w:sz w:val="20"/>
          <w:szCs w:val="20"/>
        </w:rPr>
        <w:t>), on behalf of the At-Large Community, thanks the Second Security, Stability and Resiliency (SSR2) Review Team for its significant efforts resulting in the SSR2 Review Team Final Report.  The Final Report consists of a series of well-considered recommenda</w:t>
      </w:r>
      <w:r>
        <w:rPr>
          <w:sz w:val="20"/>
          <w:szCs w:val="20"/>
        </w:rPr>
        <w:t>tions that would improve ICANN’s fidelity to the core principles of security, stability and resiliency that lie at the heart of ICANN’s mission.  SSR2 builds on the work of the first SSR-RT (SSR1) and the ALAC</w:t>
      </w:r>
      <w:r>
        <w:rPr>
          <w:sz w:val="20"/>
          <w:szCs w:val="20"/>
        </w:rPr>
        <w:t xml:space="preserve"> is pleased to observe that the SSR2 has ratifi</w:t>
      </w:r>
      <w:r>
        <w:rPr>
          <w:sz w:val="20"/>
          <w:szCs w:val="20"/>
        </w:rPr>
        <w:t xml:space="preserve">ed most of the work of the </w:t>
      </w:r>
      <w:r>
        <w:rPr>
          <w:sz w:val="20"/>
          <w:szCs w:val="20"/>
        </w:rPr>
        <w:t>SSR1</w:t>
      </w:r>
      <w:r>
        <w:rPr>
          <w:sz w:val="20"/>
          <w:szCs w:val="20"/>
        </w:rPr>
        <w:t xml:space="preserve">. Please note that one of the drafting team members of this ALAC statement, Alejandro Pisanty, was also a member of the </w:t>
      </w:r>
      <w:hyperlink r:id="rId8">
        <w:r>
          <w:rPr>
            <w:color w:val="1155CC"/>
            <w:sz w:val="20"/>
            <w:szCs w:val="20"/>
            <w:u w:val="single"/>
          </w:rPr>
          <w:t>SSR1</w:t>
        </w:r>
      </w:hyperlink>
      <w:r>
        <w:rPr>
          <w:sz w:val="20"/>
          <w:szCs w:val="20"/>
        </w:rPr>
        <w:t xml:space="preserve">. </w:t>
      </w:r>
    </w:p>
    <w:p w14:paraId="15593A87" w14:textId="77777777" w:rsidR="00C015B5" w:rsidRDefault="00C015B5">
      <w:pPr>
        <w:spacing w:line="256" w:lineRule="auto"/>
        <w:rPr>
          <w:sz w:val="20"/>
          <w:szCs w:val="20"/>
        </w:rPr>
      </w:pPr>
    </w:p>
    <w:p w14:paraId="15593A88" w14:textId="77777777" w:rsidR="00C015B5" w:rsidRDefault="00A8570F">
      <w:pPr>
        <w:spacing w:line="256" w:lineRule="auto"/>
        <w:rPr>
          <w:sz w:val="20"/>
          <w:szCs w:val="20"/>
        </w:rPr>
      </w:pPr>
      <w:r>
        <w:rPr>
          <w:sz w:val="20"/>
          <w:szCs w:val="20"/>
        </w:rPr>
        <w:t xml:space="preserve">The ALAC </w:t>
      </w:r>
      <w:r>
        <w:rPr>
          <w:sz w:val="20"/>
          <w:szCs w:val="20"/>
        </w:rPr>
        <w:t>t</w:t>
      </w:r>
      <w:r>
        <w:rPr>
          <w:sz w:val="20"/>
          <w:szCs w:val="20"/>
        </w:rPr>
        <w:t>akes specific note that the SSR2 reached full consensus on each recommendation.  This underscores both the importance and broad support for these recommendations.  We are pleased to state our support for or lack of objects to each of the recommendations in</w:t>
      </w:r>
      <w:r>
        <w:rPr>
          <w:sz w:val="20"/>
          <w:szCs w:val="20"/>
        </w:rPr>
        <w:t xml:space="preserve"> the SSR2 Final Report.  Our comments below are intended to highlight recommendations and other elements of particular importance or relevance, to help guide ICANN in adopting and implementing the Final Report.</w:t>
      </w:r>
    </w:p>
    <w:p w14:paraId="15593A89" w14:textId="77777777" w:rsidR="00C015B5" w:rsidRDefault="00C015B5">
      <w:pPr>
        <w:spacing w:line="256" w:lineRule="auto"/>
        <w:rPr>
          <w:sz w:val="20"/>
          <w:szCs w:val="20"/>
        </w:rPr>
      </w:pPr>
    </w:p>
    <w:p w14:paraId="15593A8A" w14:textId="1B97866B" w:rsidR="00C015B5" w:rsidRDefault="00A8570F">
      <w:pPr>
        <w:spacing w:line="256" w:lineRule="auto"/>
        <w:rPr>
          <w:sz w:val="20"/>
          <w:szCs w:val="20"/>
        </w:rPr>
      </w:pPr>
      <w:r>
        <w:rPr>
          <w:sz w:val="20"/>
          <w:szCs w:val="20"/>
        </w:rPr>
        <w:t xml:space="preserve">The ALAC </w:t>
      </w:r>
      <w:r>
        <w:rPr>
          <w:sz w:val="20"/>
          <w:szCs w:val="20"/>
        </w:rPr>
        <w:t xml:space="preserve">agrees with the </w:t>
      </w:r>
      <w:r>
        <w:rPr>
          <w:sz w:val="20"/>
          <w:szCs w:val="20"/>
        </w:rPr>
        <w:t xml:space="preserve">adoption of </w:t>
      </w:r>
      <w:r>
        <w:rPr>
          <w:sz w:val="20"/>
          <w:szCs w:val="20"/>
        </w:rPr>
        <w:t xml:space="preserve">SMART </w:t>
      </w:r>
      <w:r>
        <w:rPr>
          <w:sz w:val="20"/>
          <w:szCs w:val="20"/>
        </w:rPr>
        <w:t xml:space="preserve">(Speciific, Measurable, Assignable and Trackable) criteria and </w:t>
      </w:r>
      <w:r>
        <w:rPr>
          <w:sz w:val="20"/>
          <w:szCs w:val="20"/>
        </w:rPr>
        <w:t>objectives</w:t>
      </w:r>
      <w:r>
        <w:rPr>
          <w:sz w:val="20"/>
          <w:szCs w:val="20"/>
        </w:rPr>
        <w:t xml:space="preserve">, and with the SSR2’s observation that SMART criteria should be used by both the SSR1 implementation team and by future SSR Review Teams. </w:t>
      </w:r>
      <w:r>
        <w:rPr>
          <w:sz w:val="20"/>
          <w:szCs w:val="20"/>
        </w:rPr>
        <w:t xml:space="preserve"> </w:t>
      </w:r>
      <w:r>
        <w:rPr>
          <w:sz w:val="20"/>
          <w:szCs w:val="20"/>
        </w:rPr>
        <w:t>We observe with interest that the SSR2 team met the same difficulty as SSR1 in prioritizing recommendations. We attribute this to the multipl</w:t>
      </w:r>
      <w:r>
        <w:rPr>
          <w:sz w:val="20"/>
          <w:szCs w:val="20"/>
        </w:rPr>
        <w:t xml:space="preserve">e views both reports provide. The SSR2 team invested great effort and time in finding the right level of aggregation for their analysis and report, which (as the SSR1 team found) could </w:t>
      </w:r>
      <w:r>
        <w:rPr>
          <w:sz w:val="20"/>
          <w:szCs w:val="20"/>
        </w:rPr>
        <w:t>neither</w:t>
      </w:r>
      <w:r>
        <w:rPr>
          <w:sz w:val="20"/>
          <w:szCs w:val="20"/>
        </w:rPr>
        <w:t xml:space="preserve"> be </w:t>
      </w:r>
      <w:r>
        <w:rPr>
          <w:sz w:val="20"/>
          <w:szCs w:val="20"/>
        </w:rPr>
        <w:t xml:space="preserve">a narrowly focused but </w:t>
      </w:r>
      <w:r>
        <w:rPr>
          <w:sz w:val="20"/>
          <w:szCs w:val="20"/>
        </w:rPr>
        <w:t xml:space="preserve">in-depth security audit, nor </w:t>
      </w:r>
      <w:r>
        <w:rPr>
          <w:sz w:val="20"/>
          <w:szCs w:val="20"/>
        </w:rPr>
        <w:t>an over</w:t>
      </w:r>
      <w:r>
        <w:rPr>
          <w:sz w:val="20"/>
          <w:szCs w:val="20"/>
        </w:rPr>
        <w:t>broad</w:t>
      </w:r>
      <w:r>
        <w:rPr>
          <w:sz w:val="20"/>
          <w:szCs w:val="20"/>
        </w:rPr>
        <w:t xml:space="preserve"> and superficial collection of observations</w:t>
      </w:r>
      <w:r>
        <w:rPr>
          <w:sz w:val="20"/>
          <w:szCs w:val="20"/>
        </w:rPr>
        <w:t>.</w:t>
      </w:r>
    </w:p>
    <w:p w14:paraId="15593A8B" w14:textId="77777777" w:rsidR="00C015B5" w:rsidRDefault="00C015B5">
      <w:pPr>
        <w:spacing w:line="256" w:lineRule="auto"/>
        <w:rPr>
          <w:sz w:val="20"/>
          <w:szCs w:val="20"/>
        </w:rPr>
      </w:pPr>
    </w:p>
    <w:p w14:paraId="15593A8C" w14:textId="77777777" w:rsidR="00C015B5" w:rsidRDefault="00A8570F">
      <w:pPr>
        <w:spacing w:line="256" w:lineRule="auto"/>
        <w:rPr>
          <w:sz w:val="20"/>
          <w:szCs w:val="20"/>
        </w:rPr>
      </w:pPr>
      <w:r>
        <w:rPr>
          <w:sz w:val="20"/>
          <w:szCs w:val="20"/>
        </w:rPr>
        <w:t xml:space="preserve">Some significant developments impacting ICANN in the time between SSR1 and SSR2 have been: </w:t>
      </w:r>
    </w:p>
    <w:p w14:paraId="15593A8D" w14:textId="77777777" w:rsidR="00C015B5" w:rsidRDefault="00C015B5">
      <w:pPr>
        <w:spacing w:line="256" w:lineRule="auto"/>
        <w:rPr>
          <w:sz w:val="20"/>
          <w:szCs w:val="20"/>
        </w:rPr>
      </w:pPr>
    </w:p>
    <w:p w14:paraId="15593A8E" w14:textId="77777777" w:rsidR="00C015B5" w:rsidRDefault="00A8570F">
      <w:pPr>
        <w:numPr>
          <w:ilvl w:val="0"/>
          <w:numId w:val="1"/>
        </w:numPr>
        <w:spacing w:line="256" w:lineRule="auto"/>
        <w:rPr>
          <w:sz w:val="20"/>
          <w:szCs w:val="20"/>
        </w:rPr>
      </w:pPr>
      <w:r>
        <w:rPr>
          <w:sz w:val="20"/>
          <w:szCs w:val="20"/>
        </w:rPr>
        <w:t>DNS abuse</w:t>
      </w:r>
    </w:p>
    <w:p w14:paraId="15593A8F" w14:textId="77777777" w:rsidR="00C015B5" w:rsidRDefault="00A8570F">
      <w:pPr>
        <w:numPr>
          <w:ilvl w:val="0"/>
          <w:numId w:val="1"/>
        </w:numPr>
        <w:spacing w:line="256" w:lineRule="auto"/>
        <w:rPr>
          <w:sz w:val="20"/>
          <w:szCs w:val="20"/>
        </w:rPr>
      </w:pPr>
      <w:r>
        <w:rPr>
          <w:sz w:val="20"/>
          <w:szCs w:val="20"/>
        </w:rPr>
        <w:t>The introduction of GDPR</w:t>
      </w:r>
    </w:p>
    <w:p w14:paraId="15593A90" w14:textId="77777777" w:rsidR="00C015B5" w:rsidRDefault="00A8570F">
      <w:pPr>
        <w:numPr>
          <w:ilvl w:val="0"/>
          <w:numId w:val="1"/>
        </w:numPr>
        <w:spacing w:line="256" w:lineRule="auto"/>
        <w:rPr>
          <w:sz w:val="20"/>
          <w:szCs w:val="20"/>
        </w:rPr>
      </w:pPr>
      <w:r>
        <w:rPr>
          <w:sz w:val="20"/>
          <w:szCs w:val="20"/>
        </w:rPr>
        <w:t>Evolution of ICANN after changes in i</w:t>
      </w:r>
      <w:r>
        <w:rPr>
          <w:sz w:val="20"/>
          <w:szCs w:val="20"/>
        </w:rPr>
        <w:t>ts contractual relationships with the United States government (IANA transition)</w:t>
      </w:r>
    </w:p>
    <w:p w14:paraId="15593A91" w14:textId="77777777" w:rsidR="00C015B5" w:rsidRDefault="00A8570F">
      <w:pPr>
        <w:numPr>
          <w:ilvl w:val="0"/>
          <w:numId w:val="1"/>
        </w:numPr>
        <w:spacing w:line="256" w:lineRule="auto"/>
        <w:rPr>
          <w:sz w:val="20"/>
          <w:szCs w:val="20"/>
        </w:rPr>
      </w:pPr>
      <w:r>
        <w:rPr>
          <w:sz w:val="20"/>
          <w:szCs w:val="20"/>
        </w:rPr>
        <w:t xml:space="preserve">Significant mood changes in the Internet environment </w:t>
      </w:r>
    </w:p>
    <w:p w14:paraId="15593A92" w14:textId="77777777" w:rsidR="00C015B5" w:rsidRDefault="00A8570F">
      <w:pPr>
        <w:numPr>
          <w:ilvl w:val="0"/>
          <w:numId w:val="1"/>
        </w:numPr>
        <w:spacing w:line="256" w:lineRule="auto"/>
        <w:rPr>
          <w:sz w:val="20"/>
          <w:szCs w:val="20"/>
        </w:rPr>
      </w:pPr>
      <w:r>
        <w:rPr>
          <w:sz w:val="20"/>
          <w:szCs w:val="20"/>
        </w:rPr>
        <w:t>Additional geopolitical shifts</w:t>
      </w:r>
    </w:p>
    <w:p w14:paraId="15593A93" w14:textId="77777777" w:rsidR="00C015B5" w:rsidRDefault="00A8570F">
      <w:pPr>
        <w:numPr>
          <w:ilvl w:val="0"/>
          <w:numId w:val="1"/>
        </w:numPr>
        <w:spacing w:line="256" w:lineRule="auto"/>
        <w:rPr>
          <w:sz w:val="20"/>
          <w:szCs w:val="20"/>
        </w:rPr>
      </w:pPr>
      <w:r>
        <w:rPr>
          <w:sz w:val="20"/>
          <w:szCs w:val="20"/>
        </w:rPr>
        <w:t>A global health crisis</w:t>
      </w:r>
    </w:p>
    <w:p w14:paraId="15593A94" w14:textId="77777777" w:rsidR="00C015B5" w:rsidRDefault="00C015B5">
      <w:pPr>
        <w:spacing w:line="256" w:lineRule="auto"/>
        <w:rPr>
          <w:sz w:val="20"/>
          <w:szCs w:val="20"/>
        </w:rPr>
      </w:pPr>
    </w:p>
    <w:p w14:paraId="15593A95" w14:textId="77777777" w:rsidR="00C015B5" w:rsidRDefault="00A8570F">
      <w:pPr>
        <w:spacing w:line="256" w:lineRule="auto"/>
        <w:rPr>
          <w:sz w:val="20"/>
          <w:szCs w:val="20"/>
        </w:rPr>
      </w:pPr>
      <w:r>
        <w:rPr>
          <w:sz w:val="20"/>
          <w:szCs w:val="20"/>
        </w:rPr>
        <w:t>While this has been an extremely eventful period, there is no reas</w:t>
      </w:r>
      <w:r>
        <w:rPr>
          <w:sz w:val="20"/>
          <w:szCs w:val="20"/>
        </w:rPr>
        <w:t>on to believe the next 5+ years will be significantly less eventful. ICANN must always prepare for new events, or else it risks being overtaken by them.  The SSR2 Final Report shows the way for ICANN to continuously improve its position with regard to inte</w:t>
      </w:r>
      <w:r>
        <w:rPr>
          <w:sz w:val="20"/>
          <w:szCs w:val="20"/>
        </w:rPr>
        <w:t>rnal and external factors that impact Internet security, stability and resiliency.</w:t>
      </w:r>
    </w:p>
    <w:p w14:paraId="15593A96" w14:textId="77777777" w:rsidR="00C015B5" w:rsidRDefault="00C015B5">
      <w:pPr>
        <w:spacing w:line="256" w:lineRule="auto"/>
        <w:rPr>
          <w:sz w:val="20"/>
          <w:szCs w:val="20"/>
        </w:rPr>
      </w:pPr>
    </w:p>
    <w:p w14:paraId="15593A97" w14:textId="77777777" w:rsidR="00C015B5" w:rsidRDefault="00A8570F">
      <w:pPr>
        <w:spacing w:line="256" w:lineRule="auto"/>
        <w:rPr>
          <w:sz w:val="20"/>
          <w:szCs w:val="20"/>
        </w:rPr>
      </w:pPr>
      <w:r>
        <w:rPr>
          <w:sz w:val="20"/>
          <w:szCs w:val="20"/>
        </w:rPr>
        <w:t xml:space="preserve">It is useful to divide the </w:t>
      </w:r>
      <w:r>
        <w:rPr>
          <w:sz w:val="20"/>
          <w:szCs w:val="20"/>
        </w:rPr>
        <w:t xml:space="preserve">focus, and ultimately the </w:t>
      </w:r>
      <w:r>
        <w:rPr>
          <w:sz w:val="20"/>
          <w:szCs w:val="20"/>
        </w:rPr>
        <w:t>implementation</w:t>
      </w:r>
      <w:r>
        <w:rPr>
          <w:sz w:val="20"/>
          <w:szCs w:val="20"/>
        </w:rPr>
        <w:t>,</w:t>
      </w:r>
      <w:r>
        <w:rPr>
          <w:sz w:val="20"/>
          <w:szCs w:val="20"/>
        </w:rPr>
        <w:t xml:space="preserve"> of the report into three areas. The tools required for each area are different: </w:t>
      </w:r>
    </w:p>
    <w:p w14:paraId="15593A98" w14:textId="77777777" w:rsidR="00C015B5" w:rsidRDefault="00C015B5">
      <w:pPr>
        <w:spacing w:line="256" w:lineRule="auto"/>
        <w:rPr>
          <w:sz w:val="20"/>
          <w:szCs w:val="20"/>
        </w:rPr>
      </w:pPr>
    </w:p>
    <w:p w14:paraId="15593A99" w14:textId="0207CF78" w:rsidR="00C015B5" w:rsidRDefault="00A8570F">
      <w:pPr>
        <w:numPr>
          <w:ilvl w:val="0"/>
          <w:numId w:val="2"/>
        </w:numPr>
        <w:spacing w:line="256" w:lineRule="auto"/>
        <w:rPr>
          <w:sz w:val="20"/>
          <w:szCs w:val="20"/>
        </w:rPr>
      </w:pPr>
      <w:r>
        <w:rPr>
          <w:sz w:val="20"/>
          <w:szCs w:val="20"/>
        </w:rPr>
        <w:t xml:space="preserve">ICANN: </w:t>
      </w:r>
      <w:r>
        <w:rPr>
          <w:sz w:val="20"/>
          <w:szCs w:val="20"/>
        </w:rPr>
        <w:t>What ICANN doe</w:t>
      </w:r>
      <w:r>
        <w:rPr>
          <w:sz w:val="20"/>
          <w:szCs w:val="20"/>
        </w:rPr>
        <w:t>s</w:t>
      </w:r>
      <w:r>
        <w:rPr>
          <w:sz w:val="20"/>
          <w:szCs w:val="20"/>
        </w:rPr>
        <w:t xml:space="preserve"> or manages</w:t>
      </w:r>
      <w:r>
        <w:rPr>
          <w:sz w:val="20"/>
          <w:szCs w:val="20"/>
        </w:rPr>
        <w:t xml:space="preserve"> (</w:t>
      </w:r>
      <w:r>
        <w:rPr>
          <w:sz w:val="20"/>
          <w:szCs w:val="20"/>
        </w:rPr>
        <w:t>primarily,</w:t>
      </w:r>
      <w:r>
        <w:rPr>
          <w:sz w:val="20"/>
          <w:szCs w:val="20"/>
        </w:rPr>
        <w:t>ICANN as an operating entity</w:t>
      </w:r>
      <w:r>
        <w:rPr>
          <w:sz w:val="20"/>
          <w:szCs w:val="20"/>
        </w:rPr>
        <w:t xml:space="preserve"> (</w:t>
      </w:r>
      <w:r>
        <w:rPr>
          <w:sz w:val="20"/>
          <w:szCs w:val="20"/>
        </w:rPr>
        <w:t>ICANN org</w:t>
      </w:r>
      <w:r>
        <w:rPr>
          <w:sz w:val="20"/>
          <w:szCs w:val="20"/>
        </w:rPr>
        <w:t>)</w:t>
      </w:r>
      <w:r>
        <w:rPr>
          <w:sz w:val="20"/>
          <w:szCs w:val="20"/>
        </w:rPr>
        <w:t xml:space="preserve"> and</w:t>
      </w:r>
      <w:r>
        <w:rPr>
          <w:sz w:val="20"/>
          <w:szCs w:val="20"/>
        </w:rPr>
        <w:t>, to a lesser extent,</w:t>
      </w:r>
      <w:r>
        <w:rPr>
          <w:sz w:val="20"/>
          <w:szCs w:val="20"/>
        </w:rPr>
        <w:t xml:space="preserve"> the SOACs</w:t>
      </w:r>
      <w:r>
        <w:rPr>
          <w:sz w:val="20"/>
          <w:szCs w:val="20"/>
        </w:rPr>
        <w:t xml:space="preserve"> and the Board</w:t>
      </w:r>
      <w:r>
        <w:rPr>
          <w:sz w:val="20"/>
          <w:szCs w:val="20"/>
        </w:rPr>
        <w:t>)</w:t>
      </w:r>
    </w:p>
    <w:p w14:paraId="15593A9A" w14:textId="77777777" w:rsidR="00C015B5" w:rsidRDefault="00A8570F">
      <w:pPr>
        <w:numPr>
          <w:ilvl w:val="0"/>
          <w:numId w:val="2"/>
        </w:numPr>
        <w:spacing w:line="256" w:lineRule="auto"/>
        <w:rPr>
          <w:sz w:val="20"/>
          <w:szCs w:val="20"/>
        </w:rPr>
      </w:pPr>
      <w:r>
        <w:rPr>
          <w:sz w:val="20"/>
          <w:szCs w:val="20"/>
        </w:rPr>
        <w:t xml:space="preserve">The ICANN “Ecosystem”: </w:t>
      </w:r>
      <w:r>
        <w:rPr>
          <w:sz w:val="20"/>
          <w:szCs w:val="20"/>
        </w:rPr>
        <w:t>What ICANN influences</w:t>
      </w:r>
      <w:r>
        <w:rPr>
          <w:sz w:val="20"/>
          <w:szCs w:val="20"/>
        </w:rPr>
        <w:t xml:space="preserve"> or oversees</w:t>
      </w:r>
      <w:r>
        <w:rPr>
          <w:sz w:val="20"/>
          <w:szCs w:val="20"/>
        </w:rPr>
        <w:t xml:space="preserve"> (contracted parties and participants in ICANN policy processes, especially PDPs)</w:t>
      </w:r>
    </w:p>
    <w:p w14:paraId="15593A9B" w14:textId="4F93E4AE" w:rsidR="00C015B5" w:rsidRDefault="00A8570F">
      <w:pPr>
        <w:numPr>
          <w:ilvl w:val="0"/>
          <w:numId w:val="2"/>
        </w:numPr>
        <w:spacing w:line="256" w:lineRule="auto"/>
        <w:rPr>
          <w:sz w:val="20"/>
          <w:szCs w:val="20"/>
        </w:rPr>
      </w:pPr>
      <w:r w:rsidRPr="00A93E13">
        <w:rPr>
          <w:sz w:val="20"/>
          <w:szCs w:val="20"/>
          <w:u w:val="single"/>
        </w:rPr>
        <w:t xml:space="preserve">The </w:t>
      </w:r>
      <w:r w:rsidRPr="00A93E13">
        <w:rPr>
          <w:sz w:val="20"/>
          <w:szCs w:val="20"/>
          <w:u w:val="single"/>
        </w:rPr>
        <w:t>R</w:t>
      </w:r>
      <w:r w:rsidRPr="00A93E13">
        <w:rPr>
          <w:sz w:val="20"/>
          <w:szCs w:val="20"/>
          <w:u w:val="single"/>
        </w:rPr>
        <w:t xml:space="preserve">est of the </w:t>
      </w:r>
      <w:r w:rsidRPr="00A93E13">
        <w:rPr>
          <w:sz w:val="20"/>
          <w:szCs w:val="20"/>
          <w:u w:val="single"/>
        </w:rPr>
        <w:t>W</w:t>
      </w:r>
      <w:r w:rsidRPr="00A93E13">
        <w:rPr>
          <w:sz w:val="20"/>
          <w:szCs w:val="20"/>
          <w:u w:val="single"/>
        </w:rPr>
        <w:t>orld</w:t>
      </w:r>
      <w:r w:rsidRPr="00A93E13">
        <w:rPr>
          <w:sz w:val="20"/>
          <w:szCs w:val="20"/>
          <w:u w:val="single"/>
        </w:rPr>
        <w:t xml:space="preserve">: </w:t>
      </w:r>
      <w:r>
        <w:rPr>
          <w:sz w:val="20"/>
          <w:szCs w:val="20"/>
        </w:rPr>
        <w:t xml:space="preserve"> </w:t>
      </w:r>
      <w:r>
        <w:rPr>
          <w:sz w:val="20"/>
          <w:szCs w:val="20"/>
        </w:rPr>
        <w:t>Everything beyond the first two areas.</w:t>
      </w:r>
    </w:p>
    <w:p w14:paraId="15593A9C" w14:textId="77777777" w:rsidR="00C015B5" w:rsidRDefault="00C015B5">
      <w:pPr>
        <w:spacing w:line="256" w:lineRule="auto"/>
        <w:rPr>
          <w:sz w:val="20"/>
          <w:szCs w:val="20"/>
        </w:rPr>
      </w:pPr>
    </w:p>
    <w:p w14:paraId="15593A9D" w14:textId="77777777" w:rsidR="00C015B5" w:rsidRDefault="00A8570F">
      <w:pPr>
        <w:spacing w:line="256" w:lineRule="auto"/>
        <w:rPr>
          <w:sz w:val="20"/>
          <w:szCs w:val="20"/>
        </w:rPr>
      </w:pPr>
      <w:r>
        <w:rPr>
          <w:sz w:val="20"/>
          <w:szCs w:val="20"/>
        </w:rPr>
        <w:t>In the first area (ICANN itself), the ALAC notes an important theme that runs through most, if not all, reco</w:t>
      </w:r>
      <w:r>
        <w:rPr>
          <w:sz w:val="20"/>
          <w:szCs w:val="20"/>
        </w:rPr>
        <w:t xml:space="preserve">mmendations: ICANN must strive to adopt industry standard and state-of-the-art practices for </w:t>
      </w:r>
      <w:r>
        <w:rPr>
          <w:sz w:val="20"/>
          <w:szCs w:val="20"/>
        </w:rPr>
        <w:lastRenderedPageBreak/>
        <w:t xml:space="preserve">technical and technology-driven organizations. While ICANN is relatively small in size, it is a critical actor in global Internet security and thus in information </w:t>
      </w:r>
      <w:r>
        <w:rPr>
          <w:sz w:val="20"/>
          <w:szCs w:val="20"/>
        </w:rPr>
        <w:t>security (InfoSec) more broadly.  We recognize that ICANN has significantly professionalized its operations over the years, but more needs to be done to keep pace in a relentlessly evolving world.</w:t>
      </w:r>
    </w:p>
    <w:p w14:paraId="15593A9E" w14:textId="77777777" w:rsidR="00C015B5" w:rsidRDefault="00C015B5">
      <w:pPr>
        <w:spacing w:line="256" w:lineRule="auto"/>
        <w:rPr>
          <w:sz w:val="20"/>
          <w:szCs w:val="20"/>
        </w:rPr>
      </w:pPr>
    </w:p>
    <w:p w14:paraId="15593A9F" w14:textId="77B8BF78" w:rsidR="00C015B5" w:rsidRDefault="00A8570F">
      <w:pPr>
        <w:spacing w:line="256" w:lineRule="auto"/>
        <w:rPr>
          <w:sz w:val="20"/>
          <w:szCs w:val="20"/>
        </w:rPr>
      </w:pPr>
      <w:r>
        <w:rPr>
          <w:sz w:val="20"/>
          <w:szCs w:val="20"/>
        </w:rPr>
        <w:t xml:space="preserve">In particular, </w:t>
      </w:r>
      <w:r>
        <w:rPr>
          <w:sz w:val="20"/>
          <w:szCs w:val="20"/>
        </w:rPr>
        <w:t>t</w:t>
      </w:r>
      <w:r>
        <w:rPr>
          <w:sz w:val="20"/>
          <w:szCs w:val="20"/>
        </w:rPr>
        <w:t xml:space="preserve">he ALAC applauds </w:t>
      </w:r>
      <w:r w:rsidRPr="00A93E13">
        <w:rPr>
          <w:b/>
          <w:sz w:val="20"/>
          <w:szCs w:val="20"/>
        </w:rPr>
        <w:t>Recommendation 2</w:t>
      </w:r>
      <w:r>
        <w:rPr>
          <w:sz w:val="20"/>
          <w:szCs w:val="20"/>
        </w:rPr>
        <w:t xml:space="preserve"> for the</w:t>
      </w:r>
      <w:r>
        <w:rPr>
          <w:sz w:val="20"/>
          <w:szCs w:val="20"/>
        </w:rPr>
        <w:t xml:space="preserve"> creation of a CSO</w:t>
      </w:r>
      <w:r>
        <w:rPr>
          <w:sz w:val="20"/>
          <w:szCs w:val="20"/>
        </w:rPr>
        <w:t xml:space="preserve"> (or CISO)</w:t>
      </w:r>
      <w:r>
        <w:rPr>
          <w:sz w:val="20"/>
          <w:szCs w:val="20"/>
        </w:rPr>
        <w:t xml:space="preserve"> position, recommending that it take into account the best people, work, practices, and experience, including those who have already demonstrated foresight and are proactive in their work.</w:t>
      </w:r>
      <w:r>
        <w:rPr>
          <w:sz w:val="20"/>
          <w:szCs w:val="20"/>
        </w:rPr>
        <w:t xml:space="preserve">  This is, if anything, long overdue.</w:t>
      </w:r>
    </w:p>
    <w:p w14:paraId="15593AA0" w14:textId="77777777" w:rsidR="00C015B5" w:rsidRDefault="00C015B5">
      <w:pPr>
        <w:spacing w:line="256" w:lineRule="auto"/>
        <w:rPr>
          <w:sz w:val="20"/>
          <w:szCs w:val="20"/>
        </w:rPr>
      </w:pPr>
    </w:p>
    <w:p w14:paraId="15593AA1" w14:textId="05964AA5" w:rsidR="00C015B5" w:rsidRDefault="00A8570F">
      <w:pPr>
        <w:spacing w:line="256" w:lineRule="auto"/>
        <w:rPr>
          <w:sz w:val="20"/>
          <w:szCs w:val="20"/>
        </w:rPr>
      </w:pPr>
      <w:r>
        <w:rPr>
          <w:sz w:val="20"/>
          <w:szCs w:val="20"/>
        </w:rPr>
        <w:t xml:space="preserve">In addition, the ALAC </w:t>
      </w:r>
      <w:r>
        <w:rPr>
          <w:sz w:val="20"/>
          <w:szCs w:val="20"/>
        </w:rPr>
        <w:t>wishes to highlight it strong support for</w:t>
      </w:r>
      <w:r>
        <w:rPr>
          <w:sz w:val="20"/>
          <w:szCs w:val="20"/>
        </w:rPr>
        <w:t xml:space="preserve"> following recommendations: </w:t>
      </w:r>
    </w:p>
    <w:p w14:paraId="15593AA2" w14:textId="77777777" w:rsidR="00C015B5" w:rsidRDefault="00C015B5">
      <w:pPr>
        <w:spacing w:line="256" w:lineRule="auto"/>
        <w:rPr>
          <w:sz w:val="20"/>
          <w:szCs w:val="20"/>
        </w:rPr>
      </w:pPr>
    </w:p>
    <w:p w14:paraId="15593AA3" w14:textId="131E1234" w:rsidR="00C015B5" w:rsidRDefault="00A8570F" w:rsidP="00A93E13">
      <w:pPr>
        <w:numPr>
          <w:ilvl w:val="0"/>
          <w:numId w:val="3"/>
        </w:numPr>
        <w:spacing w:after="200" w:line="256" w:lineRule="auto"/>
        <w:rPr>
          <w:sz w:val="20"/>
          <w:szCs w:val="20"/>
        </w:rPr>
      </w:pPr>
      <w:r w:rsidRPr="00A93E13">
        <w:rPr>
          <w:b/>
          <w:sz w:val="20"/>
          <w:szCs w:val="20"/>
        </w:rPr>
        <w:t>Recommendation 4</w:t>
      </w:r>
      <w:r>
        <w:rPr>
          <w:sz w:val="20"/>
          <w:szCs w:val="20"/>
        </w:rPr>
        <w:t>, improving risk management</w:t>
      </w:r>
      <w:r>
        <w:rPr>
          <w:sz w:val="20"/>
          <w:szCs w:val="20"/>
        </w:rPr>
        <w:t>. Risk Management has become a core concern and core organizationa</w:t>
      </w:r>
      <w:r>
        <w:rPr>
          <w:sz w:val="20"/>
          <w:szCs w:val="20"/>
        </w:rPr>
        <w:t>l goal for organizations of all sizes.  Creating a centralized risk management function and adopting a recognized risk management standard (ISO 31000) would bring ICANN into alignment with best practices, both in technology-centric organizations and beyond</w:t>
      </w:r>
      <w:r>
        <w:rPr>
          <w:sz w:val="20"/>
          <w:szCs w:val="20"/>
        </w:rPr>
        <w:t xml:space="preserve">.  However, ICANN needs to recognize the unique risks and risk management challenges that ICANN faces due to its unique mandate and structure, in particular its policy development processes. </w:t>
      </w:r>
      <w:r>
        <w:rPr>
          <w:sz w:val="20"/>
          <w:szCs w:val="20"/>
        </w:rPr>
        <w:t>ICANN’s risk management structure must</w:t>
      </w:r>
      <w:r>
        <w:rPr>
          <w:sz w:val="20"/>
          <w:szCs w:val="20"/>
        </w:rPr>
        <w:t xml:space="preserve"> ensure</w:t>
      </w:r>
      <w:r>
        <w:rPr>
          <w:sz w:val="20"/>
          <w:szCs w:val="20"/>
        </w:rPr>
        <w:t xml:space="preserve"> </w:t>
      </w:r>
      <w:r>
        <w:rPr>
          <w:sz w:val="20"/>
          <w:szCs w:val="20"/>
        </w:rPr>
        <w:t xml:space="preserve">that </w:t>
      </w:r>
      <w:r>
        <w:rPr>
          <w:sz w:val="20"/>
          <w:szCs w:val="20"/>
        </w:rPr>
        <w:t>all ri</w:t>
      </w:r>
      <w:r>
        <w:rPr>
          <w:sz w:val="20"/>
          <w:szCs w:val="20"/>
        </w:rPr>
        <w:t>sks are considered, including community participation that is balanced in order to avoid risks of capture, disproportionate influence by parties with less at stake and/or the ability to stagnate processes.</w:t>
      </w:r>
      <w:r>
        <w:rPr>
          <w:sz w:val="20"/>
          <w:szCs w:val="20"/>
        </w:rPr>
        <w:t xml:space="preserve">  This is intertwined with Recommendation 5, recomm</w:t>
      </w:r>
      <w:r>
        <w:rPr>
          <w:sz w:val="20"/>
          <w:szCs w:val="20"/>
        </w:rPr>
        <w:t>ending adoption of industry security and security auditing standards such as ISO 27000 and SSAE-18, and concomitant training and employee standards for relevant positions.</w:t>
      </w:r>
    </w:p>
    <w:p w14:paraId="15593AA4" w14:textId="77777777" w:rsidR="00C015B5" w:rsidRDefault="00A8570F" w:rsidP="00A93E13">
      <w:pPr>
        <w:numPr>
          <w:ilvl w:val="0"/>
          <w:numId w:val="3"/>
        </w:numPr>
        <w:spacing w:after="200" w:line="256" w:lineRule="auto"/>
        <w:rPr>
          <w:sz w:val="20"/>
          <w:szCs w:val="20"/>
        </w:rPr>
      </w:pPr>
      <w:r w:rsidRPr="00A93E13">
        <w:rPr>
          <w:b/>
          <w:sz w:val="20"/>
          <w:szCs w:val="20"/>
        </w:rPr>
        <w:t>Recommendation 6</w:t>
      </w:r>
      <w:r>
        <w:rPr>
          <w:sz w:val="20"/>
          <w:szCs w:val="20"/>
        </w:rPr>
        <w:t>, on vulnerability disclosures, recommending the highest possible level of interaction</w:t>
      </w:r>
      <w:r>
        <w:rPr>
          <w:sz w:val="20"/>
          <w:szCs w:val="20"/>
        </w:rPr>
        <w:t xml:space="preserve"> with the broader ecosystem</w:t>
      </w:r>
      <w:r>
        <w:rPr>
          <w:sz w:val="20"/>
          <w:szCs w:val="20"/>
        </w:rPr>
        <w:t>. Vulnerability disclosures are sensitive and subject to different norms of practice in different communities, among which are software, ser</w:t>
      </w:r>
      <w:r>
        <w:rPr>
          <w:sz w:val="20"/>
          <w:szCs w:val="20"/>
        </w:rPr>
        <w:t>vice providers, specialists, bounty hunters, and many others. Establishing trust takes time and effort which should be expended constantly.</w:t>
      </w:r>
      <w:r>
        <w:rPr>
          <w:sz w:val="20"/>
          <w:szCs w:val="20"/>
        </w:rPr>
        <w:t xml:space="preserve"> In the end, the goal is the same -- to promote the implementation of and (voluntary) adherence to standards for v</w:t>
      </w:r>
      <w:r>
        <w:rPr>
          <w:sz w:val="20"/>
          <w:szCs w:val="20"/>
        </w:rPr>
        <w:t>ulnerability reporting, by the contracted parties and by ICANN itself</w:t>
      </w:r>
      <w:r>
        <w:rPr>
          <w:sz w:val="20"/>
          <w:szCs w:val="20"/>
        </w:rPr>
        <w:t>.</w:t>
      </w:r>
    </w:p>
    <w:p w14:paraId="15593AA5" w14:textId="1F57D922" w:rsidR="00C015B5" w:rsidRDefault="00A8570F">
      <w:pPr>
        <w:numPr>
          <w:ilvl w:val="0"/>
          <w:numId w:val="3"/>
        </w:numPr>
        <w:spacing w:after="200" w:line="256" w:lineRule="auto"/>
        <w:rPr>
          <w:sz w:val="20"/>
          <w:szCs w:val="20"/>
        </w:rPr>
      </w:pPr>
      <w:r w:rsidRPr="00A93E13">
        <w:rPr>
          <w:b/>
          <w:sz w:val="20"/>
          <w:szCs w:val="20"/>
        </w:rPr>
        <w:t>Recommendation 7</w:t>
      </w:r>
      <w:r>
        <w:rPr>
          <w:sz w:val="20"/>
          <w:szCs w:val="20"/>
        </w:rPr>
        <w:t xml:space="preserve">, </w:t>
      </w:r>
      <w:r>
        <w:rPr>
          <w:sz w:val="20"/>
          <w:szCs w:val="20"/>
        </w:rPr>
        <w:t xml:space="preserve">the adoption of business </w:t>
      </w:r>
      <w:r>
        <w:rPr>
          <w:sz w:val="20"/>
          <w:szCs w:val="20"/>
        </w:rPr>
        <w:t>continuity</w:t>
      </w:r>
      <w:r>
        <w:rPr>
          <w:sz w:val="20"/>
          <w:szCs w:val="20"/>
        </w:rPr>
        <w:t xml:space="preserve"> and disaster recovery policies, plans and procedures, should be read in conjunction with Recommendations 2 and 5, discussed above. All of these recommendations (and others) support the overarching theme of bringing ICANN into alignment with InfoSec and op</w:t>
      </w:r>
      <w:r>
        <w:rPr>
          <w:sz w:val="20"/>
          <w:szCs w:val="20"/>
        </w:rPr>
        <w:t xml:space="preserve">erational security standards prevalent in technology-centric organizations worldwide.  </w:t>
      </w:r>
      <w:r>
        <w:rPr>
          <w:sz w:val="20"/>
          <w:szCs w:val="20"/>
        </w:rPr>
        <w:t>Practices such as these have moved from “nice to have” to “must have” over the last several years; over the next several years, they will move to “negligent to do withou</w:t>
      </w:r>
      <w:r>
        <w:rPr>
          <w:sz w:val="20"/>
          <w:szCs w:val="20"/>
        </w:rPr>
        <w:t>t.”</w:t>
      </w:r>
    </w:p>
    <w:p w14:paraId="15593AA6" w14:textId="0831BC8E" w:rsidR="00C015B5" w:rsidRDefault="00A8570F" w:rsidP="00A93E13">
      <w:pPr>
        <w:numPr>
          <w:ilvl w:val="0"/>
          <w:numId w:val="3"/>
        </w:numPr>
        <w:spacing w:after="200" w:line="256" w:lineRule="auto"/>
        <w:rPr>
          <w:sz w:val="20"/>
          <w:szCs w:val="20"/>
        </w:rPr>
      </w:pPr>
      <w:r>
        <w:rPr>
          <w:sz w:val="20"/>
          <w:szCs w:val="20"/>
        </w:rPr>
        <w:t xml:space="preserve">Recommendation 8, </w:t>
      </w:r>
      <w:r>
        <w:rPr>
          <w:sz w:val="20"/>
          <w:szCs w:val="20"/>
        </w:rPr>
        <w:t>representation of the “</w:t>
      </w:r>
      <w:r>
        <w:rPr>
          <w:sz w:val="20"/>
          <w:szCs w:val="20"/>
        </w:rPr>
        <w:t>public interest</w:t>
      </w:r>
      <w:r>
        <w:rPr>
          <w:sz w:val="20"/>
          <w:szCs w:val="20"/>
        </w:rPr>
        <w:t>” in negotiations with contracted parties</w:t>
      </w:r>
      <w:r>
        <w:rPr>
          <w:sz w:val="20"/>
          <w:szCs w:val="20"/>
        </w:rPr>
        <w:t>,</w:t>
      </w:r>
      <w:r>
        <w:rPr>
          <w:sz w:val="20"/>
          <w:szCs w:val="20"/>
        </w:rPr>
        <w:t xml:space="preserve"> is a recommendation of particular importance to the ALAC and the At-Large Community, which in many ways represents the public interest in the broad</w:t>
      </w:r>
      <w:r>
        <w:rPr>
          <w:sz w:val="20"/>
          <w:szCs w:val="20"/>
        </w:rPr>
        <w:t>est sense within the ICANN structure.  Independent abuse and security experts must have a voice in how these issues are represented in ICANN’s contracts. In addition, end users, who are often most affected (even if not always first affected) by abuse and s</w:t>
      </w:r>
      <w:r>
        <w:rPr>
          <w:sz w:val="20"/>
          <w:szCs w:val="20"/>
        </w:rPr>
        <w:t>ecurity incidents need a voice as well.  In each case, these additional “seats at the table”</w:t>
      </w:r>
      <w:r>
        <w:rPr>
          <w:sz w:val="20"/>
          <w:szCs w:val="20"/>
        </w:rPr>
        <w:t xml:space="preserve"> </w:t>
      </w:r>
      <w:r>
        <w:rPr>
          <w:sz w:val="20"/>
          <w:szCs w:val="20"/>
        </w:rPr>
        <w:t>must not be construed in ways that reduce efficiency</w:t>
      </w:r>
      <w:r>
        <w:rPr>
          <w:sz w:val="20"/>
          <w:szCs w:val="20"/>
        </w:rPr>
        <w:t>, either in contract negotiations and adoption, or in performance.</w:t>
      </w:r>
      <w:r>
        <w:rPr>
          <w:sz w:val="20"/>
          <w:szCs w:val="20"/>
        </w:rPr>
        <w:t>.</w:t>
      </w:r>
    </w:p>
    <w:p w14:paraId="15593AA7" w14:textId="77777777" w:rsidR="00C015B5" w:rsidRDefault="00A8570F">
      <w:pPr>
        <w:numPr>
          <w:ilvl w:val="0"/>
          <w:numId w:val="3"/>
        </w:numPr>
        <w:spacing w:after="200" w:line="256" w:lineRule="auto"/>
        <w:rPr>
          <w:sz w:val="20"/>
          <w:szCs w:val="20"/>
        </w:rPr>
      </w:pPr>
      <w:r>
        <w:rPr>
          <w:sz w:val="20"/>
          <w:szCs w:val="20"/>
        </w:rPr>
        <w:t>Recommendation 9, monitoring and enfo</w:t>
      </w:r>
      <w:r>
        <w:rPr>
          <w:sz w:val="20"/>
          <w:szCs w:val="20"/>
        </w:rPr>
        <w:t xml:space="preserve">rcing contractual compliance, is critical, particularly in connection with Recommendation 8.  A contract without compliance is only words on a page, with </w:t>
      </w:r>
      <w:r>
        <w:rPr>
          <w:sz w:val="20"/>
          <w:szCs w:val="20"/>
        </w:rPr>
        <w:lastRenderedPageBreak/>
        <w:t>little or no value except as “contractual theatre.”  This must be seen as a core SSR concern and not m</w:t>
      </w:r>
      <w:r>
        <w:rPr>
          <w:sz w:val="20"/>
          <w:szCs w:val="20"/>
        </w:rPr>
        <w:t xml:space="preserve">erely a legal one. </w:t>
      </w:r>
    </w:p>
    <w:p w14:paraId="15593AA8" w14:textId="77777777" w:rsidR="00C015B5" w:rsidRDefault="00A8570F">
      <w:pPr>
        <w:numPr>
          <w:ilvl w:val="0"/>
          <w:numId w:val="3"/>
        </w:numPr>
        <w:spacing w:after="200" w:line="256" w:lineRule="auto"/>
        <w:rPr>
          <w:sz w:val="20"/>
          <w:szCs w:val="20"/>
        </w:rPr>
      </w:pPr>
      <w:r>
        <w:rPr>
          <w:sz w:val="20"/>
          <w:szCs w:val="20"/>
        </w:rPr>
        <w:t xml:space="preserve">Recommendation 10 echoes one of the ALAC’s current major topics -- the proper definition of DNS abuse.  ICANN needs to take the lead in this area, rather than ceding this critical standard-setting activity to the contracted parties, no </w:t>
      </w:r>
      <w:r>
        <w:rPr>
          <w:sz w:val="20"/>
          <w:szCs w:val="20"/>
        </w:rPr>
        <w:t>matter how well meaning they may be.  If ICANN is to support the full implementation of the multistakeholder model, it must ensure that the full panoply of stakeholders are engaged and it must facilitate such engagement.  However, Recommendation 10.2 shoul</w:t>
      </w:r>
      <w:r>
        <w:rPr>
          <w:sz w:val="20"/>
          <w:szCs w:val="20"/>
        </w:rPr>
        <w:t>d include a voice for end-users directly and not merely indirectly via consumer protection stakeholders.  While end-users are in many cases consumers, they are much more than that. Recommendation 13 is a necessary companion to this Recommendation 10.</w:t>
      </w:r>
    </w:p>
    <w:p w14:paraId="15593AA9" w14:textId="771B46D5" w:rsidR="00C015B5" w:rsidRDefault="00A8570F">
      <w:pPr>
        <w:numPr>
          <w:ilvl w:val="0"/>
          <w:numId w:val="3"/>
        </w:numPr>
        <w:spacing w:after="200" w:line="256" w:lineRule="auto"/>
        <w:rPr>
          <w:sz w:val="20"/>
          <w:szCs w:val="20"/>
        </w:rPr>
      </w:pPr>
      <w:r w:rsidRPr="00A93E13">
        <w:rPr>
          <w:b/>
          <w:sz w:val="20"/>
          <w:szCs w:val="20"/>
        </w:rPr>
        <w:t>Recom</w:t>
      </w:r>
      <w:r w:rsidRPr="00A93E13">
        <w:rPr>
          <w:b/>
          <w:sz w:val="20"/>
          <w:szCs w:val="20"/>
        </w:rPr>
        <w:t>mendation 12</w:t>
      </w:r>
      <w:r>
        <w:rPr>
          <w:sz w:val="20"/>
          <w:szCs w:val="20"/>
        </w:rPr>
        <w:t xml:space="preserve"> on DNS abuse transparency, cautioning against implications which arise from the ongoing, complex relationship between GDPR and WHOIS/RDS; avoiding the paradoxical effect of </w:t>
      </w:r>
      <w:r>
        <w:rPr>
          <w:sz w:val="20"/>
          <w:szCs w:val="20"/>
        </w:rPr>
        <w:t xml:space="preserve">“personal </w:t>
      </w:r>
      <w:r>
        <w:rPr>
          <w:sz w:val="20"/>
          <w:szCs w:val="20"/>
        </w:rPr>
        <w:t>data</w:t>
      </w:r>
      <w:r>
        <w:rPr>
          <w:sz w:val="20"/>
          <w:szCs w:val="20"/>
        </w:rPr>
        <w:t>”</w:t>
      </w:r>
      <w:r>
        <w:rPr>
          <w:sz w:val="20"/>
          <w:szCs w:val="20"/>
        </w:rPr>
        <w:t xml:space="preserve"> being protected </w:t>
      </w:r>
      <w:r>
        <w:rPr>
          <w:sz w:val="20"/>
          <w:szCs w:val="20"/>
        </w:rPr>
        <w:t>while</w:t>
      </w:r>
      <w:r>
        <w:rPr>
          <w:sz w:val="20"/>
          <w:szCs w:val="20"/>
        </w:rPr>
        <w:t xml:space="preserve"> users and their assets are not.</w:t>
      </w:r>
    </w:p>
    <w:p w14:paraId="15593AAA" w14:textId="77777777" w:rsidR="00C015B5" w:rsidRPr="00A93E13" w:rsidRDefault="00A8570F" w:rsidP="00A93E13">
      <w:pPr>
        <w:numPr>
          <w:ilvl w:val="0"/>
          <w:numId w:val="3"/>
        </w:numPr>
        <w:spacing w:after="200" w:line="256" w:lineRule="auto"/>
        <w:rPr>
          <w:b/>
          <w:sz w:val="20"/>
          <w:szCs w:val="20"/>
        </w:rPr>
      </w:pPr>
      <w:r>
        <w:rPr>
          <w:sz w:val="20"/>
          <w:szCs w:val="20"/>
        </w:rPr>
        <w:t>Recommendations 14 and 15 are aligned with another oft-stated concern of the ALAC -- that ICANN must actively define and promote metrics for actions and inactions in the DNS, including those of contracted parties.  ALAC als</w:t>
      </w:r>
      <w:r>
        <w:rPr>
          <w:sz w:val="20"/>
          <w:szCs w:val="20"/>
        </w:rPr>
        <w:t>o notes that this is another necessary element of the suite of recommendations dealing with DNS abuse. Recommendation 22 is aligned with this concern as well.</w:t>
      </w:r>
    </w:p>
    <w:p w14:paraId="15593AAB" w14:textId="77777777" w:rsidR="00C015B5" w:rsidRDefault="00A8570F" w:rsidP="00A93E13">
      <w:pPr>
        <w:numPr>
          <w:ilvl w:val="0"/>
          <w:numId w:val="3"/>
        </w:numPr>
        <w:spacing w:after="200" w:line="256" w:lineRule="auto"/>
        <w:rPr>
          <w:sz w:val="20"/>
          <w:szCs w:val="20"/>
        </w:rPr>
      </w:pPr>
      <w:r w:rsidRPr="00A93E13">
        <w:rPr>
          <w:b/>
          <w:sz w:val="20"/>
          <w:szCs w:val="20"/>
        </w:rPr>
        <w:t>Recommendation 16</w:t>
      </w:r>
      <w:r>
        <w:rPr>
          <w:sz w:val="20"/>
          <w:szCs w:val="20"/>
        </w:rPr>
        <w:t xml:space="preserve"> on privacy and RDS, with the above caveat related to Recommendation 12 in mind.</w:t>
      </w:r>
    </w:p>
    <w:p w14:paraId="15593AAD" w14:textId="77777777" w:rsidR="00C015B5" w:rsidRDefault="00A8570F" w:rsidP="00A93E13">
      <w:pPr>
        <w:spacing w:after="200" w:line="256" w:lineRule="auto"/>
        <w:rPr>
          <w:sz w:val="20"/>
          <w:szCs w:val="20"/>
        </w:rPr>
      </w:pPr>
      <w:r>
        <w:rPr>
          <w:sz w:val="20"/>
          <w:szCs w:val="20"/>
        </w:rPr>
        <w:t xml:space="preserve">The ALAC agrees emphatically with: </w:t>
      </w:r>
    </w:p>
    <w:p w14:paraId="15593AAE" w14:textId="6C7962DF" w:rsidR="00C015B5" w:rsidRDefault="00A8570F" w:rsidP="00A93E13">
      <w:pPr>
        <w:numPr>
          <w:ilvl w:val="0"/>
          <w:numId w:val="4"/>
        </w:numPr>
        <w:spacing w:after="200" w:line="256" w:lineRule="auto"/>
        <w:rPr>
          <w:sz w:val="20"/>
          <w:szCs w:val="20"/>
        </w:rPr>
      </w:pPr>
      <w:r w:rsidRPr="00A93E13">
        <w:rPr>
          <w:b/>
          <w:sz w:val="20"/>
          <w:szCs w:val="20"/>
        </w:rPr>
        <w:t>Recommendation 17</w:t>
      </w:r>
      <w:r>
        <w:rPr>
          <w:sz w:val="20"/>
          <w:szCs w:val="20"/>
        </w:rPr>
        <w:t xml:space="preserve">, on the avoidance of </w:t>
      </w:r>
      <w:r>
        <w:rPr>
          <w:sz w:val="20"/>
          <w:szCs w:val="20"/>
        </w:rPr>
        <w:t>name collisions, which is particularly important for a diverse, global user base.</w:t>
      </w:r>
      <w:r>
        <w:rPr>
          <w:sz w:val="20"/>
          <w:szCs w:val="20"/>
        </w:rPr>
        <w:t xml:space="preserve"> During the 2012 New gTLD round, ICANN was somewhat taken by surprise with regard to name c</w:t>
      </w:r>
      <w:r>
        <w:rPr>
          <w:sz w:val="20"/>
          <w:szCs w:val="20"/>
        </w:rPr>
        <w:t xml:space="preserve">ollisions and cant’ afford for that to happen again. </w:t>
      </w:r>
    </w:p>
    <w:p w14:paraId="15593AAF" w14:textId="77777777" w:rsidR="00C015B5" w:rsidRDefault="00A8570F">
      <w:pPr>
        <w:numPr>
          <w:ilvl w:val="0"/>
          <w:numId w:val="4"/>
        </w:numPr>
        <w:spacing w:line="256" w:lineRule="auto"/>
        <w:rPr>
          <w:sz w:val="20"/>
          <w:szCs w:val="20"/>
        </w:rPr>
      </w:pPr>
      <w:r w:rsidRPr="00A93E13">
        <w:rPr>
          <w:b/>
          <w:sz w:val="20"/>
          <w:szCs w:val="20"/>
        </w:rPr>
        <w:t>Recommendation 18</w:t>
      </w:r>
      <w:r>
        <w:rPr>
          <w:sz w:val="20"/>
          <w:szCs w:val="20"/>
        </w:rPr>
        <w:t>, informing policy debate, for which increased engagement, attendance to meetings, and mutual participation are recommended, with organizations such as the IETF, IEEE, ACM, ISOC, and ma</w:t>
      </w:r>
      <w:r>
        <w:rPr>
          <w:sz w:val="20"/>
          <w:szCs w:val="20"/>
        </w:rPr>
        <w:t>ny other national and regional bodies, including universities and research centers.</w:t>
      </w:r>
      <w:r>
        <w:rPr>
          <w:sz w:val="20"/>
          <w:szCs w:val="20"/>
        </w:rPr>
        <w:t xml:space="preserve">  ICANN needs to take an active role in bringing information into the policy debates from the I* and other organizations relevant to the work of ICANN </w:t>
      </w:r>
    </w:p>
    <w:p w14:paraId="15593AB0" w14:textId="77777777" w:rsidR="00C015B5" w:rsidRDefault="00C015B5">
      <w:pPr>
        <w:spacing w:line="256" w:lineRule="auto"/>
        <w:rPr>
          <w:sz w:val="20"/>
          <w:szCs w:val="20"/>
        </w:rPr>
      </w:pPr>
    </w:p>
    <w:p w14:paraId="15593AB1" w14:textId="77777777" w:rsidR="00C015B5" w:rsidRDefault="00A8570F">
      <w:pPr>
        <w:spacing w:line="256" w:lineRule="auto"/>
        <w:rPr>
          <w:sz w:val="20"/>
          <w:szCs w:val="20"/>
        </w:rPr>
      </w:pPr>
      <w:r>
        <w:rPr>
          <w:sz w:val="20"/>
          <w:szCs w:val="20"/>
        </w:rPr>
        <w:t xml:space="preserve">Finally, we support </w:t>
      </w:r>
      <w:r w:rsidRPr="00A93E13">
        <w:rPr>
          <w:b/>
          <w:sz w:val="20"/>
          <w:szCs w:val="20"/>
        </w:rPr>
        <w:t>Recommendation 20</w:t>
      </w:r>
      <w:r>
        <w:rPr>
          <w:sz w:val="20"/>
          <w:szCs w:val="20"/>
        </w:rPr>
        <w:t xml:space="preserve"> on the key rollover, recommending further that the experience gained from the COVID-19 pandemic be carefully considered.</w:t>
      </w:r>
    </w:p>
    <w:p w14:paraId="15593AB2" w14:textId="77777777" w:rsidR="00C015B5" w:rsidRDefault="00C015B5">
      <w:pPr>
        <w:spacing w:line="256" w:lineRule="auto"/>
        <w:rPr>
          <w:sz w:val="20"/>
          <w:szCs w:val="20"/>
        </w:rPr>
      </w:pPr>
    </w:p>
    <w:p w14:paraId="15593AB3" w14:textId="77777777" w:rsidR="00C015B5" w:rsidRDefault="00A8570F">
      <w:pPr>
        <w:spacing w:after="160" w:line="256" w:lineRule="auto"/>
        <w:rPr>
          <w:sz w:val="20"/>
          <w:szCs w:val="20"/>
        </w:rPr>
      </w:pPr>
      <w:r>
        <w:rPr>
          <w:sz w:val="20"/>
          <w:szCs w:val="20"/>
        </w:rPr>
        <w:t>The ALAC recommends that geopolitical and similar risks, including consumer and citizen sentiment in different juris</w:t>
      </w:r>
      <w:r>
        <w:rPr>
          <w:sz w:val="20"/>
          <w:szCs w:val="20"/>
        </w:rPr>
        <w:t>dictions, be given a stronger consideration with the implication of maintaining a constant, high level of short, medium and long term situational awareness with as many relevant parties as possible.</w:t>
      </w:r>
    </w:p>
    <w:p w14:paraId="15593AB4" w14:textId="07D2EAD8" w:rsidR="00C015B5" w:rsidRDefault="00A8570F">
      <w:pPr>
        <w:spacing w:after="160" w:line="256" w:lineRule="auto"/>
        <w:rPr>
          <w:sz w:val="20"/>
          <w:szCs w:val="20"/>
        </w:rPr>
      </w:pPr>
      <w:r>
        <w:rPr>
          <w:sz w:val="20"/>
          <w:szCs w:val="20"/>
        </w:rPr>
        <w:t>As noted before</w:t>
      </w:r>
      <w:r>
        <w:rPr>
          <w:sz w:val="20"/>
          <w:szCs w:val="20"/>
        </w:rPr>
        <w:t>, regarding the recommendations not</w:t>
      </w:r>
      <w:r>
        <w:rPr>
          <w:sz w:val="20"/>
          <w:szCs w:val="20"/>
        </w:rPr>
        <w:t xml:space="preserve"> specifically</w:t>
      </w:r>
      <w:r>
        <w:rPr>
          <w:sz w:val="20"/>
          <w:szCs w:val="20"/>
        </w:rPr>
        <w:t xml:space="preserve"> mentioned here, the ALAC supports them “as is”, with no further comment.</w:t>
      </w:r>
    </w:p>
    <w:p w14:paraId="15593AB5" w14:textId="77777777" w:rsidR="00C015B5" w:rsidRDefault="00A8570F">
      <w:pPr>
        <w:spacing w:after="160" w:line="256" w:lineRule="auto"/>
        <w:rPr>
          <w:sz w:val="20"/>
          <w:szCs w:val="20"/>
        </w:rPr>
      </w:pPr>
      <w:r>
        <w:rPr>
          <w:sz w:val="20"/>
          <w:szCs w:val="20"/>
        </w:rPr>
        <w:t>In closing, the ALAC once again thanks the SSR2 Review Team for an important and highly relevant report, while noting with caution that implementation of the report is t</w:t>
      </w:r>
      <w:r>
        <w:rPr>
          <w:sz w:val="20"/>
          <w:szCs w:val="20"/>
        </w:rPr>
        <w:t>he most critical element of all, and one that is outside the remit of SSR2. The ALAC looks to ICANN org to make this Final Report (and the SSR1 Report) a reality with regard to each recommendation.</w:t>
      </w:r>
    </w:p>
    <w:p w14:paraId="15593AB6" w14:textId="77777777" w:rsidR="00C015B5" w:rsidRDefault="00C015B5">
      <w:pPr>
        <w:rPr>
          <w:sz w:val="20"/>
          <w:szCs w:val="20"/>
        </w:rPr>
      </w:pPr>
    </w:p>
    <w:sectPr w:rsidR="00C015B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1A280" w14:textId="77777777" w:rsidR="00A8570F" w:rsidRDefault="00A8570F" w:rsidP="00A93E13">
      <w:pPr>
        <w:spacing w:line="240" w:lineRule="auto"/>
      </w:pPr>
      <w:r>
        <w:separator/>
      </w:r>
    </w:p>
  </w:endnote>
  <w:endnote w:type="continuationSeparator" w:id="0">
    <w:p w14:paraId="4AF66638" w14:textId="77777777" w:rsidR="00A8570F" w:rsidRDefault="00A8570F" w:rsidP="00A93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E862" w14:textId="488F309F" w:rsidR="00A93E13" w:rsidRDefault="00A93E13" w:rsidP="00A93E1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340CE" w14:textId="77777777" w:rsidR="00A8570F" w:rsidRDefault="00A8570F" w:rsidP="00A93E13">
      <w:pPr>
        <w:spacing w:line="240" w:lineRule="auto"/>
      </w:pPr>
      <w:r>
        <w:separator/>
      </w:r>
    </w:p>
  </w:footnote>
  <w:footnote w:type="continuationSeparator" w:id="0">
    <w:p w14:paraId="4A73FBB5" w14:textId="77777777" w:rsidR="00A8570F" w:rsidRDefault="00A8570F" w:rsidP="00A93E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35646"/>
    <w:multiLevelType w:val="multilevel"/>
    <w:tmpl w:val="021A2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32174"/>
    <w:multiLevelType w:val="multilevel"/>
    <w:tmpl w:val="3C364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802C6D"/>
    <w:multiLevelType w:val="multilevel"/>
    <w:tmpl w:val="1004C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9518C0"/>
    <w:multiLevelType w:val="multilevel"/>
    <w:tmpl w:val="75B8A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B5"/>
    <w:rsid w:val="00A8570F"/>
    <w:rsid w:val="00A93E13"/>
    <w:rsid w:val="00C0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3A74"/>
  <w15:docId w15:val="{EAAA738F-C410-4CE0-AE55-295BE501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93E13"/>
    <w:pPr>
      <w:tabs>
        <w:tab w:val="center" w:pos="4680"/>
        <w:tab w:val="right" w:pos="9360"/>
      </w:tabs>
      <w:spacing w:line="240" w:lineRule="auto"/>
    </w:pPr>
  </w:style>
  <w:style w:type="character" w:customStyle="1" w:styleId="HeaderChar">
    <w:name w:val="Header Char"/>
    <w:basedOn w:val="DefaultParagraphFont"/>
    <w:link w:val="Header"/>
    <w:uiPriority w:val="99"/>
    <w:rsid w:val="00A93E13"/>
  </w:style>
  <w:style w:type="paragraph" w:styleId="Footer">
    <w:name w:val="footer"/>
    <w:basedOn w:val="Normal"/>
    <w:link w:val="FooterChar"/>
    <w:uiPriority w:val="99"/>
    <w:unhideWhenUsed/>
    <w:rsid w:val="00A93E13"/>
    <w:pPr>
      <w:tabs>
        <w:tab w:val="center" w:pos="4680"/>
        <w:tab w:val="right" w:pos="9360"/>
      </w:tabs>
      <w:spacing w:line="240" w:lineRule="auto"/>
    </w:pPr>
  </w:style>
  <w:style w:type="character" w:customStyle="1" w:styleId="FooterChar">
    <w:name w:val="Footer Char"/>
    <w:basedOn w:val="DefaultParagraphFont"/>
    <w:link w:val="Footer"/>
    <w:uiPriority w:val="99"/>
    <w:rsid w:val="00A9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ommunity.icann.org/display/SSR/DT+Subteam+1"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9375</Characters>
  <Application>Microsoft Office Word</Application>
  <DocSecurity>0</DocSecurity>
  <Lines>78</Lines>
  <Paragraphs>21</Paragraphs>
  <ScaleCrop>false</ScaleCrop>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Shatan</cp:lastModifiedBy>
  <cp:revision>2</cp:revision>
  <dcterms:created xsi:type="dcterms:W3CDTF">2021-03-31T07:17:00Z</dcterms:created>
  <dcterms:modified xsi:type="dcterms:W3CDTF">2021-03-31T07:19:00Z</dcterms:modified>
</cp:coreProperties>
</file>