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2A3" w:rsidRPr="000A6FC2" w:rsidRDefault="00F4371A" w:rsidP="000A6FC2">
      <w:pPr>
        <w:pStyle w:val="Heading3"/>
        <w:jc w:val="center"/>
        <w:rPr>
          <w:rFonts w:asciiTheme="minorHAnsi" w:hAnsiTheme="minorHAnsi" w:cstheme="minorHAnsi"/>
          <w:u w:val="none"/>
        </w:rPr>
      </w:pPr>
      <w:r w:rsidRPr="000A6FC2">
        <w:rPr>
          <w:rFonts w:asciiTheme="minorHAnsi" w:hAnsiTheme="minorHAnsi" w:cstheme="minorHAnsi"/>
          <w:u w:val="none"/>
        </w:rPr>
        <w:t>ALAC Statement on Data Protection/Privacy Issues: Draft Framework for a Possible Unified Access Model for Continued Access to Full WHOIS Data</w:t>
      </w:r>
    </w:p>
    <w:p w:rsidR="003E576D" w:rsidRPr="000950AF" w:rsidRDefault="00F4371A" w:rsidP="009F3F77">
      <w:pPr>
        <w:pStyle w:val="BodyText"/>
        <w:rPr>
          <w:rFonts w:asciiTheme="minorHAnsi" w:hAnsiTheme="minorHAnsi"/>
          <w:b/>
          <w:szCs w:val="24"/>
        </w:rPr>
      </w:pPr>
      <w:r w:rsidRPr="000950AF">
        <w:rPr>
          <w:rFonts w:asciiTheme="minorHAnsi" w:hAnsiTheme="minorHAnsi"/>
          <w:b/>
          <w:szCs w:val="24"/>
        </w:rPr>
        <w:t>Introduction</w:t>
      </w:r>
    </w:p>
    <w:p w:rsidR="009F3F77" w:rsidRPr="007D454C" w:rsidRDefault="00F4371A" w:rsidP="009F3F77">
      <w:pPr>
        <w:pStyle w:val="BodyText"/>
        <w:rPr>
          <w:rFonts w:asciiTheme="minorHAnsi" w:hAnsiTheme="minorHAnsi"/>
          <w:sz w:val="20"/>
        </w:rPr>
      </w:pPr>
      <w:r w:rsidRPr="007D454C">
        <w:rPr>
          <w:rFonts w:asciiTheme="minorHAnsi" w:hAnsiTheme="minorHAnsi"/>
          <w:sz w:val="20"/>
        </w:rPr>
        <w:t>As part of ICANN’s continuing efforts to address the impact of the European Union’s General Data Protection Regulation (GDPR) on the collection, retention and display of registration data in WHOIS services, ICANN</w:t>
      </w:r>
      <w:r>
        <w:rPr>
          <w:rFonts w:asciiTheme="minorHAnsi" w:hAnsiTheme="minorHAnsi"/>
          <w:sz w:val="20"/>
        </w:rPr>
        <w:t xml:space="preserve"> </w:t>
      </w:r>
      <w:r w:rsidRPr="007D454C">
        <w:rPr>
          <w:rFonts w:asciiTheme="minorHAnsi" w:hAnsiTheme="minorHAnsi"/>
          <w:sz w:val="20"/>
        </w:rPr>
        <w:t xml:space="preserve">published </w:t>
      </w:r>
      <w:r>
        <w:rPr>
          <w:rFonts w:asciiTheme="minorHAnsi" w:hAnsiTheme="minorHAnsi"/>
          <w:sz w:val="20"/>
        </w:rPr>
        <w:t xml:space="preserve">on 20 August 2018, the </w:t>
      </w:r>
      <w:r w:rsidRPr="007D454C">
        <w:rPr>
          <w:rFonts w:asciiTheme="minorHAnsi" w:hAnsiTheme="minorHAnsi"/>
          <w:sz w:val="20"/>
        </w:rPr>
        <w:t xml:space="preserve">“Draft Framework for a Possible Unified Access Model for Continued Access to Full WHOIS Data.”  </w:t>
      </w:r>
      <w:r>
        <w:rPr>
          <w:rFonts w:asciiTheme="minorHAnsi" w:hAnsiTheme="minorHAnsi"/>
          <w:sz w:val="20"/>
        </w:rPr>
        <w:t xml:space="preserve">This follows on ICANN’s earlier (and shorter) “Framework Elements for Unified Access Model,” published 18 June 2018. </w:t>
      </w:r>
      <w:r w:rsidRPr="007D454C">
        <w:rPr>
          <w:rFonts w:asciiTheme="minorHAnsi" w:hAnsiTheme="minorHAnsi"/>
          <w:sz w:val="20"/>
        </w:rPr>
        <w:t>The ALAC appreciates the opportunity to provide feedback on the proposed Framework for a</w:t>
      </w:r>
      <w:r>
        <w:rPr>
          <w:rFonts w:asciiTheme="minorHAnsi" w:hAnsiTheme="minorHAnsi"/>
          <w:sz w:val="20"/>
        </w:rPr>
        <w:t xml:space="preserve"> Possible</w:t>
      </w:r>
      <w:r w:rsidRPr="007D454C">
        <w:rPr>
          <w:rFonts w:asciiTheme="minorHAnsi" w:hAnsiTheme="minorHAnsi"/>
          <w:sz w:val="20"/>
        </w:rPr>
        <w:t xml:space="preserve"> Unified Access Model (UAM).  </w:t>
      </w:r>
    </w:p>
    <w:p w:rsidR="00D251D9" w:rsidRPr="007D454C" w:rsidRDefault="00F4371A" w:rsidP="009F3F77">
      <w:pPr>
        <w:pStyle w:val="BodyText"/>
        <w:rPr>
          <w:rFonts w:asciiTheme="minorHAnsi" w:hAnsiTheme="minorHAnsi"/>
          <w:sz w:val="20"/>
        </w:rPr>
      </w:pPr>
      <w:r w:rsidRPr="007D454C">
        <w:rPr>
          <w:rFonts w:asciiTheme="minorHAnsi" w:hAnsiTheme="minorHAnsi"/>
          <w:sz w:val="20"/>
        </w:rPr>
        <w:t>The ICANN CEO stated in a</w:t>
      </w:r>
      <w:r>
        <w:rPr>
          <w:rFonts w:asciiTheme="minorHAnsi" w:hAnsiTheme="minorHAnsi"/>
          <w:sz w:val="20"/>
        </w:rPr>
        <w:t>n accompanying</w:t>
      </w:r>
      <w:r w:rsidRPr="007D454C">
        <w:rPr>
          <w:rFonts w:asciiTheme="minorHAnsi" w:hAnsiTheme="minorHAnsi"/>
          <w:sz w:val="20"/>
        </w:rPr>
        <w:t xml:space="preserve"> blog</w:t>
      </w:r>
      <w:r>
        <w:rPr>
          <w:rFonts w:asciiTheme="minorHAnsi" w:hAnsiTheme="minorHAnsi"/>
          <w:sz w:val="20"/>
        </w:rPr>
        <w:t xml:space="preserve"> </w:t>
      </w:r>
      <w:r w:rsidRPr="007D454C">
        <w:rPr>
          <w:rFonts w:asciiTheme="minorHAnsi" w:hAnsiTheme="minorHAnsi"/>
          <w:sz w:val="20"/>
        </w:rPr>
        <w:t>post</w:t>
      </w:r>
      <w:r>
        <w:rPr>
          <w:rFonts w:asciiTheme="minorHAnsi" w:hAnsiTheme="minorHAnsi"/>
          <w:sz w:val="20"/>
        </w:rPr>
        <w:t>:</w:t>
      </w:r>
    </w:p>
    <w:p w:rsidR="00AE7EC0" w:rsidRPr="007D454C" w:rsidRDefault="00F4371A" w:rsidP="009F3F77">
      <w:pPr>
        <w:pStyle w:val="BodyText"/>
        <w:rPr>
          <w:rFonts w:asciiTheme="minorHAnsi" w:hAnsiTheme="minorHAnsi"/>
          <w:sz w:val="20"/>
        </w:rPr>
      </w:pPr>
      <w:r w:rsidRPr="007D454C">
        <w:rPr>
          <w:rFonts w:asciiTheme="minorHAnsi" w:hAnsiTheme="minorHAnsi"/>
          <w:sz w:val="20"/>
        </w:rPr>
        <w:t>“[The community’s] feedback will be important as we continue our dialogue with the European Data Protection Board (EDPB) in order to seek legal clarity for any such access mechanism. Lowering the legal risks for data controllers/contracted parties is necessary to develop a workable unified access model.”</w:t>
      </w:r>
    </w:p>
    <w:p w:rsidR="00264A9B" w:rsidRPr="007D454C" w:rsidRDefault="00F4371A" w:rsidP="009F3F77">
      <w:pPr>
        <w:pStyle w:val="BodyText"/>
        <w:rPr>
          <w:rFonts w:asciiTheme="minorHAnsi" w:hAnsiTheme="minorHAnsi"/>
          <w:sz w:val="20"/>
        </w:rPr>
      </w:pPr>
      <w:r w:rsidRPr="007D454C">
        <w:rPr>
          <w:rFonts w:asciiTheme="minorHAnsi" w:hAnsiTheme="minorHAnsi"/>
          <w:sz w:val="20"/>
        </w:rPr>
        <w:t>As noted in the blog</w:t>
      </w:r>
      <w:r>
        <w:rPr>
          <w:rFonts w:asciiTheme="minorHAnsi" w:hAnsiTheme="minorHAnsi"/>
          <w:sz w:val="20"/>
        </w:rPr>
        <w:t xml:space="preserve"> </w:t>
      </w:r>
      <w:r w:rsidRPr="007D454C">
        <w:rPr>
          <w:rFonts w:asciiTheme="minorHAnsi" w:hAnsiTheme="minorHAnsi"/>
          <w:sz w:val="20"/>
        </w:rPr>
        <w:t xml:space="preserve">post, ICANN is responding </w:t>
      </w:r>
      <w:r>
        <w:rPr>
          <w:rFonts w:asciiTheme="minorHAnsi" w:hAnsiTheme="minorHAnsi"/>
          <w:sz w:val="20"/>
        </w:rPr>
        <w:t xml:space="preserve">in part </w:t>
      </w:r>
      <w:r w:rsidRPr="007D454C">
        <w:rPr>
          <w:rFonts w:asciiTheme="minorHAnsi" w:hAnsiTheme="minorHAnsi"/>
          <w:sz w:val="20"/>
        </w:rPr>
        <w:t xml:space="preserve">to the May 27 statement by the European Data Protection </w:t>
      </w:r>
      <w:r>
        <w:rPr>
          <w:rFonts w:asciiTheme="minorHAnsi" w:hAnsiTheme="minorHAnsi"/>
          <w:sz w:val="20"/>
        </w:rPr>
        <w:t>Board (EDPB), which said</w:t>
      </w:r>
      <w:r w:rsidRPr="007D454C">
        <w:rPr>
          <w:rFonts w:asciiTheme="minorHAnsi" w:hAnsiTheme="minorHAnsi"/>
          <w:sz w:val="20"/>
        </w:rPr>
        <w:t>:</w:t>
      </w:r>
    </w:p>
    <w:p w:rsidR="00264A9B" w:rsidRPr="007D454C" w:rsidRDefault="00F4371A" w:rsidP="009F3F77">
      <w:pPr>
        <w:pStyle w:val="BodyText"/>
        <w:rPr>
          <w:rFonts w:asciiTheme="minorHAnsi" w:hAnsiTheme="minorHAnsi"/>
          <w:sz w:val="20"/>
        </w:rPr>
      </w:pPr>
      <w:r w:rsidRPr="007D454C">
        <w:rPr>
          <w:rFonts w:asciiTheme="minorHAnsi" w:hAnsiTheme="minorHAnsi"/>
          <w:sz w:val="20"/>
        </w:rPr>
        <w:t>“As expressed also in earlier correspondence with ICANN (including this letter of December 2017 and this letter of April 2018), WP29 expects ICANN to develop and implement a WHOIS model which will enable legitimate uses by relevant stakeholders, such as law enforcement, of personal data concerning registrants in compliance with the GDPR, without leading to an unlimited publication of those data.”</w:t>
      </w:r>
    </w:p>
    <w:p w:rsidR="00264A9B" w:rsidRPr="000C0C77" w:rsidRDefault="00F4371A" w:rsidP="00ED52A3">
      <w:pPr>
        <w:pStyle w:val="BodyText"/>
        <w:rPr>
          <w:rFonts w:asciiTheme="minorHAnsi" w:hAnsiTheme="minorHAnsi"/>
          <w:b/>
        </w:rPr>
      </w:pPr>
      <w:r w:rsidRPr="000C0C77">
        <w:rPr>
          <w:rFonts w:asciiTheme="minorHAnsi" w:hAnsiTheme="minorHAnsi"/>
          <w:b/>
        </w:rPr>
        <w:t>The Proposed Framework for a Unified Access Model</w:t>
      </w:r>
    </w:p>
    <w:p w:rsidR="00264A9B" w:rsidRPr="007D454C" w:rsidRDefault="00F4371A" w:rsidP="00ED52A3">
      <w:pPr>
        <w:pStyle w:val="BodyText"/>
        <w:rPr>
          <w:rFonts w:asciiTheme="minorHAnsi" w:hAnsiTheme="minorHAnsi"/>
          <w:sz w:val="20"/>
        </w:rPr>
      </w:pPr>
      <w:r w:rsidRPr="007D454C">
        <w:rPr>
          <w:rFonts w:asciiTheme="minorHAnsi" w:hAnsiTheme="minorHAnsi"/>
          <w:sz w:val="20"/>
        </w:rPr>
        <w:t>In this iteration, ICANN has proposed “a working draft framework for a possible unified approach to allow continued access to full WHOIS data for authenticated users with a legitimate interest for accessing non-pu</w:t>
      </w:r>
      <w:r>
        <w:rPr>
          <w:rFonts w:asciiTheme="minorHAnsi" w:hAnsiTheme="minorHAnsi"/>
          <w:sz w:val="20"/>
        </w:rPr>
        <w:t>blic WHOIS data consistent with”</w:t>
      </w:r>
      <w:r w:rsidRPr="007D454C">
        <w:rPr>
          <w:rFonts w:asciiTheme="minorHAnsi" w:hAnsiTheme="minorHAnsi"/>
          <w:sz w:val="20"/>
        </w:rPr>
        <w:t xml:space="preserve"> GPDR.</w:t>
      </w:r>
    </w:p>
    <w:p w:rsidR="004D6E03" w:rsidRPr="007D454C" w:rsidRDefault="00F4371A" w:rsidP="00ED52A3">
      <w:pPr>
        <w:pStyle w:val="BodyText"/>
        <w:rPr>
          <w:rFonts w:asciiTheme="minorHAnsi" w:hAnsiTheme="minorHAnsi"/>
          <w:sz w:val="20"/>
        </w:rPr>
      </w:pPr>
      <w:r w:rsidRPr="007D454C">
        <w:rPr>
          <w:rFonts w:asciiTheme="minorHAnsi" w:hAnsiTheme="minorHAnsi"/>
          <w:sz w:val="20"/>
        </w:rPr>
        <w:t xml:space="preserve">The Framework contemplates a system where a third party that is part of an “eligible user group” could apply for and receive credentials from an “accrediting body” (also referred to as an </w:t>
      </w:r>
      <w:r>
        <w:rPr>
          <w:rFonts w:asciiTheme="minorHAnsi" w:hAnsiTheme="minorHAnsi"/>
          <w:sz w:val="20"/>
        </w:rPr>
        <w:t>“authenticating body”)</w:t>
      </w:r>
      <w:r w:rsidRPr="007D454C">
        <w:rPr>
          <w:rFonts w:asciiTheme="minorHAnsi" w:hAnsiTheme="minorHAnsi"/>
          <w:sz w:val="20"/>
        </w:rPr>
        <w:t xml:space="preserve">.  Once accredited, the user would agree to Terms of Use, which would include provisions designed to adequately safeguard personal data that may be made available to the accredited user. </w:t>
      </w:r>
      <w:r>
        <w:rPr>
          <w:rFonts w:asciiTheme="minorHAnsi" w:hAnsiTheme="minorHAnsi"/>
          <w:sz w:val="20"/>
        </w:rPr>
        <w:t xml:space="preserve">When an </w:t>
      </w:r>
      <w:r w:rsidRPr="007D454C">
        <w:rPr>
          <w:rFonts w:asciiTheme="minorHAnsi" w:hAnsiTheme="minorHAnsi"/>
          <w:sz w:val="20"/>
        </w:rPr>
        <w:t xml:space="preserve">accredited user </w:t>
      </w:r>
      <w:r>
        <w:rPr>
          <w:rFonts w:asciiTheme="minorHAnsi" w:hAnsiTheme="minorHAnsi"/>
          <w:sz w:val="20"/>
        </w:rPr>
        <w:t xml:space="preserve">wants to get access to WHOIS information, the user </w:t>
      </w:r>
      <w:r w:rsidRPr="007D454C">
        <w:rPr>
          <w:rFonts w:asciiTheme="minorHAnsi" w:hAnsiTheme="minorHAnsi"/>
          <w:sz w:val="20"/>
        </w:rPr>
        <w:t>would submit a query to the relevant registry operator or registrar through an RDAP service. The query submission would require the user to specify its purpose for accessing the data, and could also require the user to agree to additional terms</w:t>
      </w:r>
      <w:r>
        <w:rPr>
          <w:rFonts w:asciiTheme="minorHAnsi" w:hAnsiTheme="minorHAnsi"/>
          <w:sz w:val="20"/>
        </w:rPr>
        <w:t xml:space="preserve"> of the registry/registrar</w:t>
      </w:r>
      <w:r w:rsidRPr="007D454C">
        <w:rPr>
          <w:rFonts w:asciiTheme="minorHAnsi" w:hAnsiTheme="minorHAnsi"/>
          <w:sz w:val="20"/>
        </w:rPr>
        <w:t xml:space="preserve">.  The registry/registrar would </w:t>
      </w:r>
      <w:r>
        <w:rPr>
          <w:rFonts w:asciiTheme="minorHAnsi" w:hAnsiTheme="minorHAnsi"/>
          <w:sz w:val="20"/>
        </w:rPr>
        <w:t xml:space="preserve">then </w:t>
      </w:r>
      <w:r w:rsidRPr="007D454C">
        <w:rPr>
          <w:rFonts w:asciiTheme="minorHAnsi" w:hAnsiTheme="minorHAnsi"/>
          <w:sz w:val="20"/>
        </w:rPr>
        <w:t xml:space="preserve">“validate” the credentials with the relevant </w:t>
      </w:r>
      <w:r>
        <w:rPr>
          <w:rFonts w:asciiTheme="minorHAnsi" w:hAnsiTheme="minorHAnsi"/>
          <w:sz w:val="20"/>
        </w:rPr>
        <w:t>authenticating body</w:t>
      </w:r>
      <w:r w:rsidRPr="007D454C">
        <w:rPr>
          <w:rFonts w:asciiTheme="minorHAnsi" w:hAnsiTheme="minorHAnsi"/>
          <w:sz w:val="20"/>
        </w:rPr>
        <w:t>.  After validation, the registry/registrar would provide user access to the non-public WHOIS data elements “consistent with the legitimate purpose identified in the query.”</w:t>
      </w:r>
    </w:p>
    <w:p w:rsidR="00F85011" w:rsidRPr="007D454C" w:rsidRDefault="00F4371A" w:rsidP="00F85011">
      <w:pPr>
        <w:pStyle w:val="BodyText"/>
        <w:rPr>
          <w:rFonts w:asciiTheme="minorHAnsi" w:hAnsiTheme="minorHAnsi"/>
          <w:sz w:val="20"/>
        </w:rPr>
      </w:pPr>
      <w:r>
        <w:rPr>
          <w:rFonts w:asciiTheme="minorHAnsi" w:hAnsiTheme="minorHAnsi"/>
          <w:sz w:val="20"/>
        </w:rPr>
        <w:t>In Section E of the Framework document (</w:t>
      </w:r>
      <w:r w:rsidRPr="002F077C">
        <w:rPr>
          <w:rFonts w:asciiTheme="minorHAnsi" w:hAnsiTheme="minorHAnsi"/>
          <w:sz w:val="20"/>
        </w:rPr>
        <w:t>Community Views about High-Level Elements of a U</w:t>
      </w:r>
      <w:r>
        <w:rPr>
          <w:rFonts w:asciiTheme="minorHAnsi" w:hAnsiTheme="minorHAnsi"/>
          <w:sz w:val="20"/>
        </w:rPr>
        <w:t xml:space="preserve">nified </w:t>
      </w:r>
      <w:r w:rsidRPr="002F077C">
        <w:rPr>
          <w:rFonts w:asciiTheme="minorHAnsi" w:hAnsiTheme="minorHAnsi"/>
          <w:sz w:val="20"/>
        </w:rPr>
        <w:t>A</w:t>
      </w:r>
      <w:r>
        <w:rPr>
          <w:rFonts w:asciiTheme="minorHAnsi" w:hAnsiTheme="minorHAnsi"/>
          <w:sz w:val="20"/>
        </w:rPr>
        <w:t xml:space="preserve">ccess </w:t>
      </w:r>
      <w:r w:rsidRPr="002F077C">
        <w:rPr>
          <w:rFonts w:asciiTheme="minorHAnsi" w:hAnsiTheme="minorHAnsi"/>
          <w:sz w:val="20"/>
        </w:rPr>
        <w:t>M</w:t>
      </w:r>
      <w:r>
        <w:rPr>
          <w:rFonts w:asciiTheme="minorHAnsi" w:hAnsiTheme="minorHAnsi"/>
          <w:sz w:val="20"/>
        </w:rPr>
        <w:t xml:space="preserve">odel) ICANN identifies three elements where it believes there is “convergence.”  ICANN also identifies six areas where ICANN believes there are “competing views,” regarding either </w:t>
      </w:r>
      <w:r w:rsidRPr="00F75027">
        <w:rPr>
          <w:rFonts w:asciiTheme="minorHAnsi" w:hAnsiTheme="minorHAnsi"/>
          <w:sz w:val="20"/>
          <w:u w:val="single"/>
        </w:rPr>
        <w:t>“</w:t>
      </w:r>
      <w:r w:rsidRPr="002F077C">
        <w:rPr>
          <w:rFonts w:asciiTheme="minorHAnsi" w:hAnsiTheme="minorHAnsi"/>
          <w:sz w:val="20"/>
        </w:rPr>
        <w:t>legal requirements of GDPR” or “certain key process elements” of a UAM.</w:t>
      </w:r>
      <w:r>
        <w:rPr>
          <w:rFonts w:asciiTheme="minorHAnsi" w:hAnsiTheme="minorHAnsi"/>
          <w:sz w:val="20"/>
        </w:rPr>
        <w:t xml:space="preserve">  These will be addressed below.</w:t>
      </w:r>
    </w:p>
    <w:p w:rsidR="00F85011" w:rsidRDefault="00F4371A" w:rsidP="00ED52A3">
      <w:pPr>
        <w:pStyle w:val="BodyText"/>
        <w:rPr>
          <w:rFonts w:asciiTheme="minorHAnsi" w:hAnsiTheme="minorHAnsi"/>
        </w:rPr>
      </w:pPr>
      <w:r>
        <w:rPr>
          <w:rFonts w:asciiTheme="minorHAnsi" w:hAnsiTheme="minorHAnsi"/>
        </w:rPr>
        <w:t>Prior ALAC Statements regarding Access</w:t>
      </w:r>
    </w:p>
    <w:p w:rsidR="00F85011" w:rsidRDefault="00F4371A" w:rsidP="00ED52A3">
      <w:pPr>
        <w:pStyle w:val="BodyText"/>
        <w:rPr>
          <w:rFonts w:asciiTheme="minorHAnsi" w:hAnsiTheme="minorHAnsi"/>
          <w:sz w:val="20"/>
        </w:rPr>
      </w:pPr>
      <w:r>
        <w:rPr>
          <w:rFonts w:asciiTheme="minorHAnsi" w:hAnsiTheme="minorHAnsi"/>
          <w:sz w:val="20"/>
        </w:rPr>
        <w:t>On 10 April 2018, the ALAC submitted the “</w:t>
      </w:r>
      <w:r w:rsidRPr="00F85011">
        <w:rPr>
          <w:rFonts w:asciiTheme="minorHAnsi" w:hAnsiTheme="minorHAnsi"/>
          <w:sz w:val="20"/>
        </w:rPr>
        <w:t>ALAC Statement on Data Protection/Privacy Issues: ICANN Proposed Interim Model</w:t>
      </w:r>
      <w:r>
        <w:rPr>
          <w:rFonts w:asciiTheme="minorHAnsi" w:hAnsiTheme="minorHAnsi"/>
          <w:sz w:val="20"/>
        </w:rPr>
        <w:t>.”  This Statement included the following views relating to access:</w:t>
      </w:r>
    </w:p>
    <w:p w:rsidR="00A53B6C" w:rsidRPr="00A53B6C" w:rsidRDefault="00F4371A" w:rsidP="00A53B6C">
      <w:pPr>
        <w:pStyle w:val="BodyText"/>
        <w:ind w:left="270"/>
        <w:rPr>
          <w:rFonts w:asciiTheme="minorHAnsi" w:hAnsiTheme="minorHAnsi"/>
          <w:color w:val="17365D" w:themeColor="text2" w:themeShade="BF"/>
          <w:sz w:val="20"/>
        </w:rPr>
      </w:pPr>
      <w:r w:rsidRPr="00A53B6C">
        <w:rPr>
          <w:rFonts w:asciiTheme="minorHAnsi" w:hAnsiTheme="minorHAnsi"/>
          <w:color w:val="17365D" w:themeColor="text2" w:themeShade="BF"/>
          <w:sz w:val="20"/>
        </w:rPr>
        <w:lastRenderedPageBreak/>
        <w:t>A question to be addressed as part of a layered/tiered approach in the Interim Compliance Model is what data elements can continue to be published in the public layer of WHOIS. And who can then access non- public WHOIS data, and by what method? It seems be impractical and unreasonable to require third-parties with a clear legitimate interest to obtain a court order to be granted access to non-public WHOIS data on a case-by-case basis.</w:t>
      </w:r>
    </w:p>
    <w:p w:rsidR="00A53B6C" w:rsidRPr="00A35829" w:rsidRDefault="00F4371A" w:rsidP="00A35829">
      <w:pPr>
        <w:pStyle w:val="BodyText"/>
        <w:ind w:left="720"/>
        <w:rPr>
          <w:rFonts w:asciiTheme="minorHAnsi" w:hAnsiTheme="minorHAnsi"/>
          <w:i/>
          <w:color w:val="17365D" w:themeColor="text2" w:themeShade="BF"/>
          <w:sz w:val="20"/>
        </w:rPr>
      </w:pPr>
      <w:r w:rsidRPr="00A35829">
        <w:rPr>
          <w:rFonts w:asciiTheme="minorHAnsi" w:hAnsiTheme="minorHAnsi"/>
          <w:i/>
          <w:color w:val="17365D" w:themeColor="text2" w:themeShade="BF"/>
          <w:sz w:val="20"/>
        </w:rPr>
        <w:t>Under the proposed approach, which the ALAC agrees with, user groups with a legitimate interest and who are bound to abide by adequate measures of protection, for example law enforcement agencies and intellectual property lawyers, should be able to access non-public WHOIS data based on explicit pre- defined criteria and limitations under a formal accreditation program. This approach attempts to provide a method beyond legal due process to provide continued access to full Thick WHOIS data for legitimate purposes consistent with the GDPR. Those legitimately combatting cyber abuse including spam, phishing and malware distribution must similarly be given appropriate access, but the methodology for doing so, particularly in the short term is less clear and must urgently be addressed.</w:t>
      </w:r>
    </w:p>
    <w:p w:rsidR="00A53B6C" w:rsidRPr="00A53B6C" w:rsidRDefault="00F4371A" w:rsidP="00A53B6C">
      <w:pPr>
        <w:pStyle w:val="BodyText"/>
        <w:ind w:left="270"/>
        <w:rPr>
          <w:rFonts w:asciiTheme="minorHAnsi" w:hAnsiTheme="minorHAnsi"/>
          <w:color w:val="17365D" w:themeColor="text2" w:themeShade="BF"/>
          <w:sz w:val="20"/>
        </w:rPr>
      </w:pPr>
      <w:r w:rsidRPr="00A53B6C">
        <w:rPr>
          <w:rFonts w:asciiTheme="minorHAnsi" w:hAnsiTheme="minorHAnsi"/>
          <w:color w:val="17365D" w:themeColor="text2" w:themeShade="BF"/>
          <w:sz w:val="20"/>
        </w:rPr>
        <w:t>As stated, the ALAC is concerned however with regard to the development of the accreditation program, the number of remaining open decision items and the very short timeline before the GDPR is applicable.</w:t>
      </w:r>
    </w:p>
    <w:p w:rsidR="00A53B6C" w:rsidRPr="00A35829" w:rsidRDefault="00F4371A" w:rsidP="00A35829">
      <w:pPr>
        <w:pStyle w:val="BodyText"/>
        <w:ind w:left="720"/>
        <w:rPr>
          <w:rFonts w:asciiTheme="minorHAnsi" w:hAnsiTheme="minorHAnsi"/>
          <w:i/>
          <w:color w:val="17365D" w:themeColor="text2" w:themeShade="BF"/>
          <w:sz w:val="20"/>
        </w:rPr>
      </w:pPr>
      <w:r w:rsidRPr="00A35829">
        <w:rPr>
          <w:rFonts w:asciiTheme="minorHAnsi" w:hAnsiTheme="minorHAnsi"/>
          <w:i/>
          <w:color w:val="17365D" w:themeColor="text2" w:themeShade="BF"/>
          <w:sz w:val="20"/>
        </w:rPr>
        <w:t>The ALAC can only stress the importance of further engagement with EU data protection authorities to define and reach agreement on an accreditation approach that satisfies the requirements of the GDPR, which approach could include the certification of codes of conduct or participation in a data protection certification. As legal analysis and response to community comments indicates.</w:t>
      </w:r>
    </w:p>
    <w:p w:rsidR="00A53B6C" w:rsidRPr="00A35829" w:rsidRDefault="00F4371A" w:rsidP="00A35829">
      <w:pPr>
        <w:pStyle w:val="BodyText"/>
        <w:ind w:left="720"/>
        <w:rPr>
          <w:rFonts w:asciiTheme="minorHAnsi" w:hAnsiTheme="minorHAnsi"/>
          <w:i/>
          <w:color w:val="17365D" w:themeColor="text2" w:themeShade="BF"/>
          <w:sz w:val="20"/>
        </w:rPr>
      </w:pPr>
      <w:r w:rsidRPr="00A35829">
        <w:rPr>
          <w:rFonts w:asciiTheme="minorHAnsi" w:hAnsiTheme="minorHAnsi"/>
          <w:i/>
          <w:color w:val="17365D" w:themeColor="text2" w:themeShade="BF"/>
          <w:sz w:val="20"/>
        </w:rPr>
        <w:t>The ALAC would like to see a reflection from the DPAs on which non-public WHOIS data should be accessible to accredited parties, whether there should be different levels of accreditation (levels of ‘layered/tiered access’, i.e. to different sets of WHOIS data) and, if so, what the associated criteria should be, and once a party is accredited how access to (a subset of) WHOIS data is provided and if that could be a form of ‘bulk’ access.</w:t>
      </w:r>
    </w:p>
    <w:p w:rsidR="00E9714C" w:rsidRPr="000A6FC2" w:rsidRDefault="00F4371A" w:rsidP="00ED52A3">
      <w:pPr>
        <w:pStyle w:val="BodyText"/>
        <w:rPr>
          <w:rFonts w:asciiTheme="minorHAnsi" w:hAnsiTheme="minorHAnsi"/>
          <w:b/>
          <w:szCs w:val="24"/>
        </w:rPr>
      </w:pPr>
      <w:r w:rsidRPr="000A6FC2">
        <w:rPr>
          <w:rFonts w:asciiTheme="minorHAnsi" w:hAnsiTheme="minorHAnsi"/>
          <w:b/>
          <w:szCs w:val="24"/>
        </w:rPr>
        <w:t>Framework for a Possible Unified Access Model</w:t>
      </w:r>
    </w:p>
    <w:p w:rsidR="00046A60" w:rsidRDefault="00F4371A" w:rsidP="00046A60">
      <w:pPr>
        <w:pStyle w:val="BodyText"/>
        <w:rPr>
          <w:rFonts w:asciiTheme="minorHAnsi" w:hAnsiTheme="minorHAnsi"/>
          <w:sz w:val="20"/>
        </w:rPr>
      </w:pPr>
      <w:r>
        <w:rPr>
          <w:rFonts w:asciiTheme="minorHAnsi" w:hAnsiTheme="minorHAnsi"/>
          <w:sz w:val="20"/>
        </w:rPr>
        <w:t xml:space="preserve">The document describes the UAM through a series of questions and answers, broken down into categories.  </w:t>
      </w:r>
      <w:r w:rsidRPr="00046A60">
        <w:rPr>
          <w:rFonts w:asciiTheme="minorHAnsi" w:hAnsiTheme="minorHAnsi"/>
          <w:sz w:val="20"/>
        </w:rPr>
        <w:t xml:space="preserve">Most of the </w:t>
      </w:r>
      <w:r>
        <w:rPr>
          <w:rFonts w:asciiTheme="minorHAnsi" w:hAnsiTheme="minorHAnsi"/>
          <w:sz w:val="20"/>
        </w:rPr>
        <w:t xml:space="preserve">proposed Framework seems to be quite reasonable.  </w:t>
      </w:r>
      <w:r w:rsidR="000A6FC2">
        <w:rPr>
          <w:rFonts w:asciiTheme="minorHAnsi" w:hAnsiTheme="minorHAnsi"/>
          <w:sz w:val="20"/>
        </w:rPr>
        <w:t xml:space="preserve">The ALAC’s views on each of these </w:t>
      </w:r>
      <w:r w:rsidR="000873CE">
        <w:rPr>
          <w:rFonts w:asciiTheme="minorHAnsi" w:hAnsiTheme="minorHAnsi"/>
          <w:sz w:val="20"/>
        </w:rPr>
        <w:t xml:space="preserve">specific </w:t>
      </w:r>
      <w:r w:rsidR="000A6FC2">
        <w:rPr>
          <w:rFonts w:asciiTheme="minorHAnsi" w:hAnsiTheme="minorHAnsi"/>
          <w:sz w:val="20"/>
        </w:rPr>
        <w:t>topics is stated below.</w:t>
      </w:r>
    </w:p>
    <w:p w:rsidR="00B07D39" w:rsidRPr="00F116C2" w:rsidRDefault="000873CE" w:rsidP="000873CE">
      <w:pPr>
        <w:pStyle w:val="BodyText"/>
        <w:rPr>
          <w:rFonts w:asciiTheme="minorHAnsi" w:hAnsiTheme="minorHAnsi" w:cstheme="minorHAnsi"/>
          <w:sz w:val="20"/>
        </w:rPr>
      </w:pPr>
      <w:r w:rsidRPr="00F116C2">
        <w:rPr>
          <w:rFonts w:asciiTheme="minorHAnsi" w:hAnsiTheme="minorHAnsi" w:cstheme="minorHAnsi"/>
          <w:sz w:val="20"/>
        </w:rPr>
        <w:t>On a more general level, it is critical that the unified access model be scalable and perform at scale.  A</w:t>
      </w:r>
      <w:r w:rsidRPr="00F116C2">
        <w:rPr>
          <w:rFonts w:asciiTheme="minorHAnsi" w:hAnsiTheme="minorHAnsi" w:cstheme="minorHAnsi"/>
          <w:sz w:val="20"/>
        </w:rPr>
        <w:t xml:space="preserve"> system that is dependent on manual determination of issues by all parties </w:t>
      </w:r>
      <w:r w:rsidRPr="00F116C2">
        <w:rPr>
          <w:rFonts w:asciiTheme="minorHAnsi" w:hAnsiTheme="minorHAnsi" w:cstheme="minorHAnsi"/>
          <w:sz w:val="20"/>
        </w:rPr>
        <w:t xml:space="preserve">will not </w:t>
      </w:r>
      <w:r w:rsidRPr="00F116C2">
        <w:rPr>
          <w:rFonts w:asciiTheme="minorHAnsi" w:hAnsiTheme="minorHAnsi" w:cstheme="minorHAnsi"/>
          <w:sz w:val="20"/>
        </w:rPr>
        <w:t>be useful in the real world of abuse th</w:t>
      </w:r>
      <w:r w:rsidRPr="00F116C2">
        <w:rPr>
          <w:rFonts w:asciiTheme="minorHAnsi" w:hAnsiTheme="minorHAnsi" w:cstheme="minorHAnsi"/>
          <w:sz w:val="20"/>
        </w:rPr>
        <w:t>at moves at automated speeds (</w:t>
      </w:r>
      <w:r w:rsidRPr="00F116C2">
        <w:rPr>
          <w:rFonts w:asciiTheme="minorHAnsi" w:hAnsiTheme="minorHAnsi" w:cstheme="minorHAnsi"/>
          <w:sz w:val="20"/>
        </w:rPr>
        <w:t>e</w:t>
      </w:r>
      <w:r w:rsidRPr="00F116C2">
        <w:rPr>
          <w:rFonts w:asciiTheme="minorHAnsi" w:hAnsiTheme="minorHAnsi" w:cstheme="minorHAnsi"/>
          <w:sz w:val="20"/>
        </w:rPr>
        <w:t>.g.,</w:t>
      </w:r>
      <w:r w:rsidRPr="00F116C2">
        <w:rPr>
          <w:rFonts w:asciiTheme="minorHAnsi" w:hAnsiTheme="minorHAnsi" w:cstheme="minorHAnsi"/>
          <w:sz w:val="20"/>
        </w:rPr>
        <w:t xml:space="preserve"> bad guys registering or compromising domains at scale (each using thousands of domains per day via automation)</w:t>
      </w:r>
      <w:r w:rsidRPr="00F116C2">
        <w:rPr>
          <w:rFonts w:asciiTheme="minorHAnsi" w:hAnsiTheme="minorHAnsi" w:cstheme="minorHAnsi"/>
          <w:sz w:val="20"/>
        </w:rPr>
        <w:t>)</w:t>
      </w:r>
      <w:r w:rsidRPr="00F116C2">
        <w:rPr>
          <w:rFonts w:asciiTheme="minorHAnsi" w:hAnsiTheme="minorHAnsi" w:cstheme="minorHAnsi"/>
          <w:sz w:val="20"/>
        </w:rPr>
        <w:t xml:space="preserve">. </w:t>
      </w:r>
      <w:r w:rsidRPr="00F116C2">
        <w:rPr>
          <w:rFonts w:asciiTheme="minorHAnsi" w:hAnsiTheme="minorHAnsi" w:cstheme="minorHAnsi"/>
          <w:sz w:val="20"/>
        </w:rPr>
        <w:t xml:space="preserve">A useful access model should have </w:t>
      </w:r>
      <w:r w:rsidRPr="00F116C2">
        <w:rPr>
          <w:rFonts w:asciiTheme="minorHAnsi" w:hAnsiTheme="minorHAnsi" w:cstheme="minorHAnsi"/>
          <w:sz w:val="20"/>
        </w:rPr>
        <w:t>a well-defined taxonomy of abuse types</w:t>
      </w:r>
      <w:r w:rsidRPr="00F116C2">
        <w:rPr>
          <w:rFonts w:asciiTheme="minorHAnsi" w:hAnsiTheme="minorHAnsi" w:cstheme="minorHAnsi"/>
          <w:sz w:val="20"/>
        </w:rPr>
        <w:t xml:space="preserve"> and other legitimate interest types</w:t>
      </w:r>
      <w:r w:rsidRPr="00F116C2">
        <w:rPr>
          <w:rFonts w:asciiTheme="minorHAnsi" w:hAnsiTheme="minorHAnsi" w:cstheme="minorHAnsi"/>
          <w:sz w:val="20"/>
        </w:rPr>
        <w:t xml:space="preserve">, domain abuse scenarios (e.g. abusively registered, compromised in-part, compromised in-full), and threat level (e.g. ongoing mass attack, ongoing targeted attack, potential attack). </w:t>
      </w:r>
      <w:r w:rsidRPr="00F116C2">
        <w:rPr>
          <w:rFonts w:asciiTheme="minorHAnsi" w:hAnsiTheme="minorHAnsi" w:cstheme="minorHAnsi"/>
          <w:sz w:val="20"/>
        </w:rPr>
        <w:t xml:space="preserve">This information would support a coordinated understanding (e.g., a </w:t>
      </w:r>
      <w:r w:rsidRPr="00F116C2">
        <w:rPr>
          <w:rFonts w:asciiTheme="minorHAnsi" w:hAnsiTheme="minorHAnsi" w:cstheme="minorHAnsi"/>
          <w:sz w:val="20"/>
        </w:rPr>
        <w:t>matrix</w:t>
      </w:r>
      <w:r w:rsidRPr="00F116C2">
        <w:rPr>
          <w:rFonts w:asciiTheme="minorHAnsi" w:hAnsiTheme="minorHAnsi" w:cstheme="minorHAnsi"/>
          <w:sz w:val="20"/>
        </w:rPr>
        <w:t>)</w:t>
      </w:r>
      <w:r w:rsidRPr="00F116C2">
        <w:rPr>
          <w:rFonts w:asciiTheme="minorHAnsi" w:hAnsiTheme="minorHAnsi" w:cstheme="minorHAnsi"/>
          <w:sz w:val="20"/>
        </w:rPr>
        <w:t xml:space="preserve"> of </w:t>
      </w:r>
      <w:r w:rsidRPr="00F116C2">
        <w:rPr>
          <w:rFonts w:asciiTheme="minorHAnsi" w:hAnsiTheme="minorHAnsi" w:cstheme="minorHAnsi"/>
          <w:sz w:val="20"/>
        </w:rPr>
        <w:t>the</w:t>
      </w:r>
      <w:r w:rsidRPr="00F116C2">
        <w:rPr>
          <w:rFonts w:asciiTheme="minorHAnsi" w:hAnsiTheme="minorHAnsi" w:cstheme="minorHAnsi"/>
          <w:sz w:val="20"/>
        </w:rPr>
        <w:t xml:space="preserve"> information required, </w:t>
      </w:r>
      <w:r w:rsidRPr="00F116C2">
        <w:rPr>
          <w:rFonts w:asciiTheme="minorHAnsi" w:hAnsiTheme="minorHAnsi" w:cstheme="minorHAnsi"/>
          <w:sz w:val="20"/>
        </w:rPr>
        <w:t>the</w:t>
      </w:r>
      <w:r w:rsidRPr="00F116C2">
        <w:rPr>
          <w:rFonts w:asciiTheme="minorHAnsi" w:hAnsiTheme="minorHAnsi" w:cstheme="minorHAnsi"/>
          <w:sz w:val="20"/>
        </w:rPr>
        <w:t xml:space="preserve"> information about </w:t>
      </w:r>
      <w:r w:rsidRPr="00F116C2">
        <w:rPr>
          <w:rFonts w:asciiTheme="minorHAnsi" w:hAnsiTheme="minorHAnsi" w:cstheme="minorHAnsi"/>
          <w:sz w:val="20"/>
        </w:rPr>
        <w:t>Users that</w:t>
      </w:r>
      <w:r w:rsidRPr="00F116C2">
        <w:rPr>
          <w:rFonts w:asciiTheme="minorHAnsi" w:hAnsiTheme="minorHAnsi" w:cstheme="minorHAnsi"/>
          <w:sz w:val="20"/>
        </w:rPr>
        <w:t xml:space="preserve"> can be readily revealed, </w:t>
      </w:r>
      <w:r w:rsidRPr="00F116C2">
        <w:rPr>
          <w:rFonts w:asciiTheme="minorHAnsi" w:hAnsiTheme="minorHAnsi" w:cstheme="minorHAnsi"/>
          <w:sz w:val="20"/>
        </w:rPr>
        <w:t>the actions to be taken and the necessary timeframes.</w:t>
      </w:r>
      <w:r w:rsidRPr="00F116C2">
        <w:rPr>
          <w:rFonts w:asciiTheme="minorHAnsi" w:hAnsiTheme="minorHAnsi" w:cstheme="minorHAnsi"/>
          <w:sz w:val="20"/>
        </w:rPr>
        <w:t xml:space="preserve"> For example, </w:t>
      </w:r>
      <w:r w:rsidRPr="00F116C2">
        <w:rPr>
          <w:rFonts w:asciiTheme="minorHAnsi" w:hAnsiTheme="minorHAnsi" w:cstheme="minorHAnsi"/>
          <w:sz w:val="20"/>
        </w:rPr>
        <w:t>where there is</w:t>
      </w:r>
      <w:r w:rsidRPr="00F116C2">
        <w:rPr>
          <w:rFonts w:asciiTheme="minorHAnsi" w:hAnsiTheme="minorHAnsi" w:cstheme="minorHAnsi"/>
          <w:sz w:val="20"/>
        </w:rPr>
        <w:t xml:space="preserve"> a wide-scale, current phishing attack using a compromised website, very timely </w:t>
      </w:r>
      <w:r w:rsidRPr="00F116C2">
        <w:rPr>
          <w:rFonts w:asciiTheme="minorHAnsi" w:hAnsiTheme="minorHAnsi" w:cstheme="minorHAnsi"/>
          <w:sz w:val="20"/>
        </w:rPr>
        <w:t>access</w:t>
      </w:r>
      <w:r w:rsidRPr="00F116C2">
        <w:rPr>
          <w:rFonts w:asciiTheme="minorHAnsi" w:hAnsiTheme="minorHAnsi" w:cstheme="minorHAnsi"/>
          <w:sz w:val="20"/>
        </w:rPr>
        <w:t xml:space="preserve"> (</w:t>
      </w:r>
      <w:r w:rsidRPr="00F116C2">
        <w:rPr>
          <w:rFonts w:asciiTheme="minorHAnsi" w:hAnsiTheme="minorHAnsi" w:cstheme="minorHAnsi"/>
          <w:sz w:val="20"/>
        </w:rPr>
        <w:t xml:space="preserve">i.e., </w:t>
      </w:r>
      <w:r w:rsidRPr="00F116C2">
        <w:rPr>
          <w:rFonts w:asciiTheme="minorHAnsi" w:hAnsiTheme="minorHAnsi" w:cstheme="minorHAnsi"/>
          <w:sz w:val="20"/>
        </w:rPr>
        <w:t>within minutes</w:t>
      </w:r>
      <w:r w:rsidRPr="00F116C2">
        <w:rPr>
          <w:rFonts w:asciiTheme="minorHAnsi" w:hAnsiTheme="minorHAnsi" w:cstheme="minorHAnsi"/>
          <w:sz w:val="20"/>
        </w:rPr>
        <w:t>) to the</w:t>
      </w:r>
      <w:r w:rsidRPr="00F116C2">
        <w:rPr>
          <w:rFonts w:asciiTheme="minorHAnsi" w:hAnsiTheme="minorHAnsi" w:cstheme="minorHAnsi"/>
          <w:sz w:val="20"/>
        </w:rPr>
        <w:t xml:space="preserve"> technical contact and registrant contact </w:t>
      </w:r>
      <w:r w:rsidRPr="00F116C2">
        <w:rPr>
          <w:rFonts w:asciiTheme="minorHAnsi" w:hAnsiTheme="minorHAnsi" w:cstheme="minorHAnsi"/>
          <w:sz w:val="20"/>
        </w:rPr>
        <w:t xml:space="preserve">data (primarily </w:t>
      </w:r>
      <w:r w:rsidRPr="00F116C2">
        <w:rPr>
          <w:rFonts w:asciiTheme="minorHAnsi" w:hAnsiTheme="minorHAnsi" w:cstheme="minorHAnsi"/>
          <w:sz w:val="20"/>
        </w:rPr>
        <w:t>e-mail and phone number</w:t>
      </w:r>
      <w:r w:rsidRPr="00F116C2">
        <w:rPr>
          <w:rFonts w:asciiTheme="minorHAnsi" w:hAnsiTheme="minorHAnsi" w:cstheme="minorHAnsi"/>
          <w:sz w:val="20"/>
        </w:rPr>
        <w:t>)</w:t>
      </w:r>
      <w:r w:rsidRPr="00F116C2">
        <w:rPr>
          <w:rFonts w:asciiTheme="minorHAnsi" w:hAnsiTheme="minorHAnsi" w:cstheme="minorHAnsi"/>
          <w:sz w:val="20"/>
        </w:rPr>
        <w:t xml:space="preserve"> would facilitate solving both the phishing attack and the potential for the registrant to be exposing PII of its own users given that their website tied to a domain is compromised. </w:t>
      </w:r>
      <w:r w:rsidR="00B07D39" w:rsidRPr="00F116C2">
        <w:rPr>
          <w:rFonts w:asciiTheme="minorHAnsi" w:hAnsiTheme="minorHAnsi" w:cstheme="minorHAnsi"/>
          <w:sz w:val="20"/>
        </w:rPr>
        <w:t>In contrast, d</w:t>
      </w:r>
      <w:r w:rsidRPr="00F116C2">
        <w:rPr>
          <w:rFonts w:asciiTheme="minorHAnsi" w:hAnsiTheme="minorHAnsi" w:cstheme="minorHAnsi"/>
          <w:sz w:val="20"/>
        </w:rPr>
        <w:t xml:space="preserve">etection of </w:t>
      </w:r>
      <w:r w:rsidR="00B07D39" w:rsidRPr="00F116C2">
        <w:rPr>
          <w:rFonts w:asciiTheme="minorHAnsi" w:hAnsiTheme="minorHAnsi" w:cstheme="minorHAnsi"/>
          <w:sz w:val="20"/>
        </w:rPr>
        <w:t xml:space="preserve">a </w:t>
      </w:r>
      <w:r w:rsidRPr="00F116C2">
        <w:rPr>
          <w:rFonts w:asciiTheme="minorHAnsi" w:hAnsiTheme="minorHAnsi" w:cstheme="minorHAnsi"/>
          <w:sz w:val="20"/>
        </w:rPr>
        <w:t xml:space="preserve">potentially malicious set of domain registrations </w:t>
      </w:r>
      <w:r w:rsidR="00B07D39" w:rsidRPr="00F116C2">
        <w:rPr>
          <w:rFonts w:asciiTheme="minorHAnsi" w:hAnsiTheme="minorHAnsi" w:cstheme="minorHAnsi"/>
          <w:sz w:val="20"/>
        </w:rPr>
        <w:t>highly likely to</w:t>
      </w:r>
      <w:r w:rsidRPr="00F116C2">
        <w:rPr>
          <w:rFonts w:asciiTheme="minorHAnsi" w:hAnsiTheme="minorHAnsi" w:cstheme="minorHAnsi"/>
          <w:sz w:val="20"/>
        </w:rPr>
        <w:t xml:space="preserve"> be used to launch various fraudulent and illegal scams based on prior observed behavior could </w:t>
      </w:r>
      <w:r w:rsidR="00B07D39" w:rsidRPr="00F116C2">
        <w:rPr>
          <w:rFonts w:asciiTheme="minorHAnsi" w:hAnsiTheme="minorHAnsi" w:cstheme="minorHAnsi"/>
          <w:sz w:val="20"/>
        </w:rPr>
        <w:t>tolerate a somewhat</w:t>
      </w:r>
      <w:r w:rsidRPr="00F116C2">
        <w:rPr>
          <w:rFonts w:asciiTheme="minorHAnsi" w:hAnsiTheme="minorHAnsi" w:cstheme="minorHAnsi"/>
          <w:sz w:val="20"/>
        </w:rPr>
        <w:t xml:space="preserve"> longer-term response (</w:t>
      </w:r>
      <w:r w:rsidR="00B07D39" w:rsidRPr="00F116C2">
        <w:rPr>
          <w:rFonts w:asciiTheme="minorHAnsi" w:hAnsiTheme="minorHAnsi" w:cstheme="minorHAnsi"/>
          <w:sz w:val="20"/>
        </w:rPr>
        <w:t xml:space="preserve">e.g., a </w:t>
      </w:r>
      <w:r w:rsidRPr="00F116C2">
        <w:rPr>
          <w:rFonts w:asciiTheme="minorHAnsi" w:hAnsiTheme="minorHAnsi" w:cstheme="minorHAnsi"/>
          <w:sz w:val="20"/>
        </w:rPr>
        <w:t>day)</w:t>
      </w:r>
      <w:r w:rsidR="00B07D39" w:rsidRPr="00F116C2">
        <w:rPr>
          <w:rFonts w:asciiTheme="minorHAnsi" w:hAnsiTheme="minorHAnsi" w:cstheme="minorHAnsi"/>
          <w:sz w:val="20"/>
        </w:rPr>
        <w:t xml:space="preserve">, but would require full </w:t>
      </w:r>
      <w:r w:rsidRPr="00F116C2">
        <w:rPr>
          <w:rFonts w:asciiTheme="minorHAnsi" w:hAnsiTheme="minorHAnsi" w:cstheme="minorHAnsi"/>
          <w:sz w:val="20"/>
        </w:rPr>
        <w:t xml:space="preserve">information about the registrant and </w:t>
      </w:r>
      <w:r w:rsidR="00B07D39" w:rsidRPr="00F116C2">
        <w:rPr>
          <w:rFonts w:asciiTheme="minorHAnsi" w:hAnsiTheme="minorHAnsi" w:cstheme="minorHAnsi"/>
          <w:sz w:val="20"/>
        </w:rPr>
        <w:t>if possible other domains registered around</w:t>
      </w:r>
      <w:r w:rsidRPr="00F116C2">
        <w:rPr>
          <w:rFonts w:asciiTheme="minorHAnsi" w:hAnsiTheme="minorHAnsi" w:cstheme="minorHAnsi"/>
          <w:sz w:val="20"/>
        </w:rPr>
        <w:t xml:space="preserve"> the same time</w:t>
      </w:r>
      <w:r w:rsidR="00B07D39" w:rsidRPr="00F116C2">
        <w:rPr>
          <w:rFonts w:asciiTheme="minorHAnsi" w:hAnsiTheme="minorHAnsi" w:cstheme="minorHAnsi"/>
          <w:sz w:val="20"/>
        </w:rPr>
        <w:t>.  In the first instance, access to query logs by the registrant would not be an issue (because the registrant is a victim); in the second case, registrant access to query logs would be highly detrimental and should require a process to determine if such access can be granted.</w:t>
      </w:r>
      <w:r w:rsidRPr="00F116C2">
        <w:rPr>
          <w:rFonts w:asciiTheme="minorHAnsi" w:hAnsiTheme="minorHAnsi" w:cstheme="minorHAnsi"/>
          <w:sz w:val="20"/>
        </w:rPr>
        <w:t xml:space="preserve"> </w:t>
      </w:r>
      <w:r w:rsidR="00B07D39" w:rsidRPr="00F116C2">
        <w:rPr>
          <w:rFonts w:asciiTheme="minorHAnsi" w:hAnsiTheme="minorHAnsi" w:cstheme="minorHAnsi"/>
          <w:sz w:val="20"/>
        </w:rPr>
        <w:t>Once there is a common understanding, parties will be able to build or access</w:t>
      </w:r>
      <w:r w:rsidRPr="00F116C2">
        <w:rPr>
          <w:rFonts w:asciiTheme="minorHAnsi" w:hAnsiTheme="minorHAnsi" w:cstheme="minorHAnsi"/>
          <w:sz w:val="20"/>
        </w:rPr>
        <w:t xml:space="preserve"> automated systems to create and accept responses for contact information requests, </w:t>
      </w:r>
    </w:p>
    <w:p w:rsidR="000873CE" w:rsidRPr="00F116C2" w:rsidRDefault="000873CE" w:rsidP="00046A60">
      <w:pPr>
        <w:pStyle w:val="BodyText"/>
        <w:rPr>
          <w:rFonts w:asciiTheme="minorHAnsi" w:hAnsiTheme="minorHAnsi" w:cstheme="minorHAnsi"/>
          <w:sz w:val="20"/>
        </w:rPr>
      </w:pPr>
      <w:r w:rsidRPr="00F116C2">
        <w:rPr>
          <w:rFonts w:asciiTheme="minorHAnsi" w:hAnsiTheme="minorHAnsi" w:cstheme="minorHAnsi"/>
          <w:sz w:val="20"/>
        </w:rPr>
        <w:t xml:space="preserve">It’s </w:t>
      </w:r>
      <w:r w:rsidR="00B07D39" w:rsidRPr="00F116C2">
        <w:rPr>
          <w:rFonts w:asciiTheme="minorHAnsi" w:hAnsiTheme="minorHAnsi" w:cstheme="minorHAnsi"/>
          <w:sz w:val="20"/>
        </w:rPr>
        <w:t>important for the</w:t>
      </w:r>
      <w:r w:rsidRPr="00F116C2">
        <w:rPr>
          <w:rFonts w:asciiTheme="minorHAnsi" w:hAnsiTheme="minorHAnsi" w:cstheme="minorHAnsi"/>
          <w:sz w:val="20"/>
        </w:rPr>
        <w:t xml:space="preserve"> various harms to be balanced in a non-biased fashion</w:t>
      </w:r>
      <w:r w:rsidR="00B07D39" w:rsidRPr="00F116C2">
        <w:rPr>
          <w:rFonts w:asciiTheme="minorHAnsi" w:hAnsiTheme="minorHAnsi" w:cstheme="minorHAnsi"/>
          <w:sz w:val="20"/>
        </w:rPr>
        <w:t xml:space="preserve">, and for </w:t>
      </w:r>
      <w:r w:rsidRPr="00F116C2">
        <w:rPr>
          <w:rFonts w:asciiTheme="minorHAnsi" w:hAnsiTheme="minorHAnsi" w:cstheme="minorHAnsi"/>
          <w:sz w:val="20"/>
        </w:rPr>
        <w:t xml:space="preserve">the various scenarios </w:t>
      </w:r>
      <w:r w:rsidR="00B07D39" w:rsidRPr="00F116C2">
        <w:rPr>
          <w:rFonts w:asciiTheme="minorHAnsi" w:hAnsiTheme="minorHAnsi" w:cstheme="minorHAnsi"/>
          <w:sz w:val="20"/>
        </w:rPr>
        <w:t xml:space="preserve">to be approached </w:t>
      </w:r>
      <w:r w:rsidRPr="00F116C2">
        <w:rPr>
          <w:rFonts w:asciiTheme="minorHAnsi" w:hAnsiTheme="minorHAnsi" w:cstheme="minorHAnsi"/>
          <w:sz w:val="20"/>
        </w:rPr>
        <w:t>dispassionately and scientifically</w:t>
      </w:r>
      <w:r w:rsidR="00B07D39" w:rsidRPr="00F116C2">
        <w:rPr>
          <w:rFonts w:asciiTheme="minorHAnsi" w:hAnsiTheme="minorHAnsi" w:cstheme="minorHAnsi"/>
          <w:sz w:val="20"/>
        </w:rPr>
        <w:t xml:space="preserve">.  Too often, this area becomes an ideological minefield, which in turn tests the multistakeholder model.  A more balanced and detached approach is more likely to lead to </w:t>
      </w:r>
      <w:r w:rsidRPr="00F116C2">
        <w:rPr>
          <w:rFonts w:asciiTheme="minorHAnsi" w:hAnsiTheme="minorHAnsi" w:cstheme="minorHAnsi"/>
          <w:sz w:val="20"/>
        </w:rPr>
        <w:t>solid guidance</w:t>
      </w:r>
      <w:r w:rsidR="00B07D39" w:rsidRPr="00F116C2">
        <w:rPr>
          <w:rFonts w:asciiTheme="minorHAnsi" w:hAnsiTheme="minorHAnsi" w:cstheme="minorHAnsi"/>
          <w:sz w:val="20"/>
        </w:rPr>
        <w:t>, decision-making and implementation</w:t>
      </w:r>
      <w:r w:rsidR="00B07D39">
        <w:t>.</w:t>
      </w:r>
    </w:p>
    <w:p w:rsidR="00F116C2" w:rsidRPr="00F116C2" w:rsidRDefault="00F116C2" w:rsidP="00046A60">
      <w:pPr>
        <w:pStyle w:val="BodyText"/>
        <w:rPr>
          <w:rFonts w:asciiTheme="minorHAnsi" w:hAnsiTheme="minorHAnsi" w:cstheme="minorHAnsi"/>
          <w:b/>
          <w:bCs/>
          <w:sz w:val="20"/>
        </w:rPr>
      </w:pPr>
      <w:r>
        <w:rPr>
          <w:rFonts w:asciiTheme="minorHAnsi" w:hAnsiTheme="minorHAnsi" w:cstheme="minorHAnsi"/>
          <w:sz w:val="20"/>
        </w:rPr>
        <w:t xml:space="preserve">We should also keep in mind the rights of end-users in all of this.  Doesn’t an email recipient have </w:t>
      </w:r>
      <w:r w:rsidRPr="00F116C2">
        <w:rPr>
          <w:rFonts w:asciiTheme="minorHAnsi" w:hAnsiTheme="minorHAnsi" w:cstheme="minorHAnsi"/>
          <w:sz w:val="20"/>
        </w:rPr>
        <w:t xml:space="preserve">the right </w:t>
      </w:r>
      <w:r>
        <w:rPr>
          <w:rFonts w:asciiTheme="minorHAnsi" w:hAnsiTheme="minorHAnsi" w:cstheme="minorHAnsi"/>
          <w:sz w:val="20"/>
        </w:rPr>
        <w:t>to know the true</w:t>
      </w:r>
      <w:r w:rsidRPr="00F116C2">
        <w:rPr>
          <w:rFonts w:asciiTheme="minorHAnsi" w:hAnsiTheme="minorHAnsi" w:cstheme="minorHAnsi"/>
          <w:sz w:val="20"/>
        </w:rPr>
        <w:t xml:space="preserve"> identity of the person </w:t>
      </w:r>
      <w:r>
        <w:rPr>
          <w:rFonts w:asciiTheme="minorHAnsi" w:hAnsiTheme="minorHAnsi" w:cstheme="minorHAnsi"/>
          <w:sz w:val="20"/>
        </w:rPr>
        <w:t xml:space="preserve">(or thing) </w:t>
      </w:r>
      <w:r w:rsidRPr="00F116C2">
        <w:rPr>
          <w:rFonts w:asciiTheme="minorHAnsi" w:hAnsiTheme="minorHAnsi" w:cstheme="minorHAnsi"/>
          <w:sz w:val="20"/>
        </w:rPr>
        <w:t xml:space="preserve">sending them e-mail?  </w:t>
      </w:r>
      <w:r>
        <w:rPr>
          <w:rFonts w:asciiTheme="minorHAnsi" w:hAnsiTheme="minorHAnsi" w:cstheme="minorHAnsi"/>
          <w:sz w:val="20"/>
        </w:rPr>
        <w:t>Doesn’t a</w:t>
      </w:r>
      <w:r w:rsidRPr="00F116C2">
        <w:rPr>
          <w:rFonts w:asciiTheme="minorHAnsi" w:hAnsiTheme="minorHAnsi" w:cstheme="minorHAnsi"/>
          <w:sz w:val="20"/>
        </w:rPr>
        <w:t xml:space="preserve"> mail service provider </w:t>
      </w:r>
      <w:r>
        <w:rPr>
          <w:rFonts w:asciiTheme="minorHAnsi" w:hAnsiTheme="minorHAnsi" w:cstheme="minorHAnsi"/>
          <w:sz w:val="20"/>
        </w:rPr>
        <w:t xml:space="preserve">have the right to know who is </w:t>
      </w:r>
      <w:r w:rsidRPr="00F116C2">
        <w:rPr>
          <w:rFonts w:asciiTheme="minorHAnsi" w:hAnsiTheme="minorHAnsi" w:cstheme="minorHAnsi"/>
          <w:sz w:val="20"/>
        </w:rPr>
        <w:t xml:space="preserve">using </w:t>
      </w:r>
      <w:r>
        <w:rPr>
          <w:rFonts w:asciiTheme="minorHAnsi" w:hAnsiTheme="minorHAnsi" w:cstheme="minorHAnsi"/>
          <w:sz w:val="20"/>
        </w:rPr>
        <w:t>their</w:t>
      </w:r>
      <w:r w:rsidRPr="00F116C2">
        <w:rPr>
          <w:rFonts w:asciiTheme="minorHAnsi" w:hAnsiTheme="minorHAnsi" w:cstheme="minorHAnsi"/>
          <w:sz w:val="20"/>
        </w:rPr>
        <w:t xml:space="preserve"> resources and determine if </w:t>
      </w:r>
      <w:r>
        <w:rPr>
          <w:rFonts w:asciiTheme="minorHAnsi" w:hAnsiTheme="minorHAnsi" w:cstheme="minorHAnsi"/>
          <w:sz w:val="20"/>
        </w:rPr>
        <w:t xml:space="preserve">they are a </w:t>
      </w:r>
      <w:r w:rsidRPr="00F116C2">
        <w:rPr>
          <w:rFonts w:asciiTheme="minorHAnsi" w:hAnsiTheme="minorHAnsi" w:cstheme="minorHAnsi"/>
          <w:sz w:val="20"/>
        </w:rPr>
        <w:t>spammer?</w:t>
      </w:r>
      <w:r>
        <w:rPr>
          <w:rFonts w:asciiTheme="minorHAnsi" w:hAnsiTheme="minorHAnsi" w:cstheme="minorHAnsi"/>
          <w:sz w:val="20"/>
        </w:rPr>
        <w:t xml:space="preserve">  The examples are endless, but unfortunately not often brought up in this process, even though end-users are by far the most numerous participants, and by far the most likely to be harmed by abuse and other violations.</w:t>
      </w:r>
    </w:p>
    <w:p w:rsidR="00046A60" w:rsidRPr="00D74DD2" w:rsidRDefault="00F4371A" w:rsidP="00D74DD2">
      <w:pPr>
        <w:pStyle w:val="BodyText"/>
        <w:tabs>
          <w:tab w:val="left" w:pos="1325"/>
        </w:tabs>
        <w:rPr>
          <w:rFonts w:asciiTheme="minorHAnsi" w:hAnsiTheme="minorHAnsi" w:cstheme="minorHAnsi"/>
          <w:b/>
          <w:sz w:val="22"/>
          <w:szCs w:val="22"/>
        </w:rPr>
      </w:pPr>
      <w:r>
        <w:rPr>
          <w:rFonts w:asciiTheme="minorHAnsi" w:hAnsiTheme="minorHAnsi" w:cstheme="minorHAnsi"/>
          <w:b/>
          <w:sz w:val="22"/>
          <w:szCs w:val="22"/>
        </w:rPr>
        <w:t>Eligibility</w:t>
      </w:r>
    </w:p>
    <w:p w:rsidR="00D74DD2" w:rsidRPr="00D74DD2" w:rsidRDefault="00F4371A" w:rsidP="00ED52A3">
      <w:pPr>
        <w:pStyle w:val="BodyText"/>
        <w:rPr>
          <w:rFonts w:asciiTheme="minorHAnsi" w:hAnsiTheme="minorHAnsi" w:cstheme="minorHAnsi"/>
          <w:b/>
          <w:sz w:val="20"/>
        </w:rPr>
      </w:pPr>
      <w:r w:rsidRPr="00D74DD2">
        <w:rPr>
          <w:rFonts w:asciiTheme="minorHAnsi" w:hAnsiTheme="minorHAnsi" w:cstheme="minorHAnsi"/>
          <w:b/>
          <w:sz w:val="20"/>
        </w:rPr>
        <w:t>1</w:t>
      </w:r>
      <w:r>
        <w:rPr>
          <w:rFonts w:asciiTheme="minorHAnsi" w:hAnsiTheme="minorHAnsi" w:cstheme="minorHAnsi"/>
          <w:b/>
          <w:sz w:val="20"/>
        </w:rPr>
        <w:t>.</w:t>
      </w:r>
      <w:r w:rsidRPr="00D74DD2">
        <w:rPr>
          <w:rFonts w:asciiTheme="minorHAnsi" w:hAnsiTheme="minorHAnsi" w:cstheme="minorHAnsi"/>
          <w:b/>
          <w:sz w:val="20"/>
        </w:rPr>
        <w:t xml:space="preserve"> Who would be eligible for continued access for WHOIS data via a unified access model?</w:t>
      </w:r>
    </w:p>
    <w:p w:rsidR="001F0BAC" w:rsidRDefault="00F4371A" w:rsidP="00ED52A3">
      <w:pPr>
        <w:pStyle w:val="BodyText"/>
        <w:rPr>
          <w:rFonts w:asciiTheme="minorHAnsi" w:hAnsiTheme="minorHAnsi" w:cstheme="minorHAnsi"/>
          <w:sz w:val="20"/>
        </w:rPr>
      </w:pPr>
      <w:r>
        <w:rPr>
          <w:rFonts w:asciiTheme="minorHAnsi" w:hAnsiTheme="minorHAnsi" w:cstheme="minorHAnsi"/>
          <w:sz w:val="20"/>
        </w:rPr>
        <w:t>The proposed UAM would be open to a “defined set” of “user groups” with “legitimate interests.”  The Framework describes this as an attempt to strike a balance between types of third parties with legitimate interests who may regularly request access “where additional safeguards and process may be required or warranted” and other third parties who might request access more rarely.  The Framework notes that other elements of the Framework are designed to ensure that data subject rights are adequately protected.</w:t>
      </w:r>
    </w:p>
    <w:p w:rsidR="00ED52A3" w:rsidRPr="00916F1C" w:rsidRDefault="00F4371A" w:rsidP="00ED52A3">
      <w:pPr>
        <w:pStyle w:val="BodyText"/>
        <w:rPr>
          <w:rFonts w:asciiTheme="minorHAnsi" w:hAnsiTheme="minorHAnsi" w:cstheme="minorHAnsi"/>
          <w:sz w:val="20"/>
        </w:rPr>
      </w:pPr>
      <w:r w:rsidRPr="00D74DD2">
        <w:rPr>
          <w:rFonts w:asciiTheme="minorHAnsi" w:hAnsiTheme="minorHAnsi" w:cstheme="minorHAnsi"/>
          <w:i/>
          <w:sz w:val="20"/>
        </w:rPr>
        <w:t xml:space="preserve">It seems self-evident that a UAM would need to be based on a finite list of types of third parties likely to have legitimate interests in accessing non-public WHOIS data.  </w:t>
      </w:r>
      <w:r>
        <w:rPr>
          <w:rFonts w:asciiTheme="minorHAnsi" w:hAnsiTheme="minorHAnsi" w:cstheme="minorHAnsi"/>
          <w:i/>
          <w:sz w:val="20"/>
        </w:rPr>
        <w:t>This list should not be exhaustive, and needs to be fairly limited – not to exclude third parties with legitimate interests from access (since they will not be excluded), but rather to give this process the best chance of being completed in a realistic timeframe.  The Framework is very short on specifics and does not define what is meant by “user groups,” though it mentions “law enforcement authorities” and “intellectual property rightsholders.” Clearly, these are just examples.  Developing this list of “user groups” will be a critical element in the development of the UAM. While it is premature to focus on any single potential user group, one submission suggests that IP rightsholder access should be limited to the “individual rights</w:t>
      </w:r>
      <w:r w:rsidRPr="00916F1C">
        <w:rPr>
          <w:rFonts w:asciiTheme="minorHAnsi" w:hAnsiTheme="minorHAnsi" w:cstheme="minorHAnsi"/>
          <w:i/>
          <w:sz w:val="20"/>
        </w:rPr>
        <w:t>holder</w:t>
      </w:r>
      <w:r>
        <w:rPr>
          <w:rFonts w:asciiTheme="minorHAnsi" w:hAnsiTheme="minorHAnsi" w:cstheme="minorHAnsi"/>
          <w:i/>
          <w:sz w:val="20"/>
        </w:rPr>
        <w:t>”</w:t>
      </w:r>
      <w:r w:rsidRPr="00916F1C">
        <w:rPr>
          <w:rFonts w:asciiTheme="minorHAnsi" w:hAnsiTheme="minorHAnsi" w:cstheme="minorHAnsi"/>
          <w:i/>
          <w:sz w:val="20"/>
        </w:rPr>
        <w:t xml:space="preserve"> of a </w:t>
      </w:r>
      <w:r>
        <w:rPr>
          <w:rFonts w:asciiTheme="minorHAnsi" w:hAnsiTheme="minorHAnsi" w:cstheme="minorHAnsi"/>
          <w:i/>
          <w:sz w:val="20"/>
        </w:rPr>
        <w:t>“</w:t>
      </w:r>
      <w:r w:rsidRPr="00916F1C">
        <w:rPr>
          <w:rFonts w:asciiTheme="minorHAnsi" w:hAnsiTheme="minorHAnsi" w:cstheme="minorHAnsi"/>
          <w:i/>
          <w:sz w:val="20"/>
        </w:rPr>
        <w:t>specific IPR</w:t>
      </w:r>
      <w:r>
        <w:rPr>
          <w:rFonts w:asciiTheme="minorHAnsi" w:hAnsiTheme="minorHAnsi" w:cstheme="minorHAnsi"/>
          <w:i/>
          <w:sz w:val="20"/>
        </w:rPr>
        <w:t>”</w:t>
      </w:r>
      <w:r w:rsidRPr="00916F1C">
        <w:rPr>
          <w:rFonts w:asciiTheme="minorHAnsi" w:hAnsiTheme="minorHAnsi" w:cstheme="minorHAnsi"/>
          <w:i/>
          <w:sz w:val="20"/>
        </w:rPr>
        <w:t xml:space="preserve"> and </w:t>
      </w:r>
      <w:r>
        <w:rPr>
          <w:rFonts w:asciiTheme="minorHAnsi" w:hAnsiTheme="minorHAnsi" w:cstheme="minorHAnsi"/>
          <w:i/>
          <w:sz w:val="20"/>
        </w:rPr>
        <w:t xml:space="preserve">should </w:t>
      </w:r>
      <w:r w:rsidRPr="00916F1C">
        <w:rPr>
          <w:rFonts w:asciiTheme="minorHAnsi" w:hAnsiTheme="minorHAnsi" w:cstheme="minorHAnsi"/>
          <w:i/>
          <w:sz w:val="20"/>
        </w:rPr>
        <w:t xml:space="preserve">not </w:t>
      </w:r>
      <w:r>
        <w:rPr>
          <w:rFonts w:asciiTheme="minorHAnsi" w:hAnsiTheme="minorHAnsi" w:cstheme="minorHAnsi"/>
          <w:i/>
          <w:sz w:val="20"/>
        </w:rPr>
        <w:t>include “</w:t>
      </w:r>
      <w:r w:rsidRPr="00916F1C">
        <w:rPr>
          <w:rFonts w:asciiTheme="minorHAnsi" w:hAnsiTheme="minorHAnsi" w:cstheme="minorHAnsi"/>
          <w:i/>
          <w:sz w:val="20"/>
        </w:rPr>
        <w:t>any agent or other third party</w:t>
      </w:r>
      <w:r>
        <w:rPr>
          <w:rFonts w:asciiTheme="minorHAnsi" w:hAnsiTheme="minorHAnsi" w:cstheme="minorHAnsi"/>
          <w:i/>
          <w:sz w:val="20"/>
        </w:rPr>
        <w:t xml:space="preserve">” (e.g., attorneys, brand protection firms, etc.).  This has no benefit to end-users; rather, it would be detrimental, since end-users (as both Internet users and as consumers) often benefit from many forms IP rights enforcement.  It is also unworkable, and unfairly restricts the rights of people and entities to seek representation. The ALAC does not support this suggestion. </w:t>
      </w:r>
    </w:p>
    <w:p w:rsidR="00995140" w:rsidRDefault="00F4371A" w:rsidP="00ED52A3">
      <w:pPr>
        <w:pStyle w:val="BodyText"/>
        <w:rPr>
          <w:rFonts w:asciiTheme="minorHAnsi" w:hAnsiTheme="minorHAnsi" w:cstheme="minorHAnsi"/>
          <w:b/>
          <w:sz w:val="20"/>
        </w:rPr>
      </w:pPr>
      <w:r w:rsidRPr="00995140">
        <w:rPr>
          <w:rFonts w:asciiTheme="minorHAnsi" w:hAnsiTheme="minorHAnsi" w:cstheme="minorHAnsi"/>
          <w:b/>
          <w:sz w:val="20"/>
        </w:rPr>
        <w:t>2. Who would determine eligibility?</w:t>
      </w:r>
      <w:r>
        <w:rPr>
          <w:rFonts w:asciiTheme="minorHAnsi" w:hAnsiTheme="minorHAnsi" w:cstheme="minorHAnsi"/>
          <w:b/>
          <w:sz w:val="20"/>
        </w:rPr>
        <w:t xml:space="preserve"> </w:t>
      </w:r>
    </w:p>
    <w:p w:rsidR="00024222" w:rsidRDefault="00F4371A" w:rsidP="00ED52A3">
      <w:pPr>
        <w:pStyle w:val="BodyText"/>
        <w:rPr>
          <w:rFonts w:asciiTheme="minorHAnsi" w:hAnsiTheme="minorHAnsi" w:cstheme="minorHAnsi"/>
          <w:sz w:val="20"/>
        </w:rPr>
      </w:pPr>
      <w:r>
        <w:rPr>
          <w:rFonts w:asciiTheme="minorHAnsi" w:hAnsiTheme="minorHAnsi" w:cstheme="minorHAnsi"/>
          <w:sz w:val="20"/>
        </w:rPr>
        <w:t>The Framework proposes that governments within the EEA (and who are GAC members) would identify or “facilitate identification” of broad categories of “Eligible User Groups,” after which ICANN org would engage with other governments through GAC to identify specific Eligible User Groups.  Examples of such groups include “intellectual property rights holders, law enforcement authorities, operational security researchers, and individual registrants.”</w:t>
      </w:r>
    </w:p>
    <w:p w:rsidR="007E73D8" w:rsidRPr="00710986" w:rsidRDefault="00F4371A" w:rsidP="007E73D8">
      <w:pPr>
        <w:pStyle w:val="BodyText"/>
        <w:rPr>
          <w:rFonts w:asciiTheme="minorHAnsi" w:hAnsiTheme="minorHAnsi" w:cstheme="minorHAnsi"/>
          <w:i/>
          <w:sz w:val="20"/>
        </w:rPr>
      </w:pPr>
      <w:r w:rsidRPr="00710986">
        <w:rPr>
          <w:rFonts w:asciiTheme="minorHAnsi" w:hAnsiTheme="minorHAnsi" w:cstheme="minorHAnsi"/>
          <w:i/>
          <w:sz w:val="20"/>
        </w:rPr>
        <w:t>The ALAC previously commented on a very similar issue in the “ALAC Statement on Data Protection/Privacy Issues: ICANN Proposed Interim Model,” submitted</w:t>
      </w:r>
      <w:r>
        <w:rPr>
          <w:rFonts w:asciiTheme="minorHAnsi" w:hAnsiTheme="minorHAnsi" w:cstheme="minorHAnsi"/>
          <w:i/>
          <w:sz w:val="20"/>
        </w:rPr>
        <w:t xml:space="preserve"> 10 April 2018, which stated that</w:t>
      </w:r>
      <w:r w:rsidRPr="00710986">
        <w:rPr>
          <w:rFonts w:asciiTheme="minorHAnsi" w:hAnsiTheme="minorHAnsi" w:cstheme="minorHAnsi"/>
          <w:i/>
          <w:sz w:val="20"/>
        </w:rPr>
        <w:t xml:space="preserve"> ALAC “believes that the accreditation mechanism to be applied should be developed by the entire community, in a true multistakeholder fashion.”  “The ALAC doubts whether the GAC should be given such a – seemingly – prominent role to establish … what the criteria for accreditation should be. Again, this should be a multistakeholder process.”</w:t>
      </w:r>
    </w:p>
    <w:p w:rsidR="007E73D8" w:rsidRPr="00024222" w:rsidRDefault="00F4371A" w:rsidP="00ED52A3">
      <w:pPr>
        <w:pStyle w:val="BodyText"/>
        <w:rPr>
          <w:rFonts w:asciiTheme="minorHAnsi" w:hAnsiTheme="minorHAnsi" w:cstheme="minorHAnsi"/>
          <w:sz w:val="20"/>
        </w:rPr>
      </w:pPr>
      <w:r>
        <w:rPr>
          <w:rFonts w:asciiTheme="minorHAnsi" w:hAnsiTheme="minorHAnsi" w:cstheme="minorHAnsi"/>
          <w:i/>
          <w:sz w:val="20"/>
        </w:rPr>
        <w:t>Consistent with these earlier views, ALAC doubts that governments via the GAC should be given such a prominent role in developing the Eligible User Groups.  Rather, these Eligible User Groups “should be developed by the entire community, in a true multistakeholder fashion.”  We expect that most Eligible User Groups will be non-governmental in nature (just as three of the four examples are non-governmental).  Governments do not possess any special knowledge, experience or authority relevant to identifying Eligible User Groups or categories of groups, other than governmental users (e.g., law enforcement authorities).  Subcontracting such a vital aspect of the process to governments sets a bad precedent for ICANN as a “private sector led organization” and may even be inconsistent with the ICANN Bylaws.</w:t>
      </w:r>
    </w:p>
    <w:p w:rsidR="00995140" w:rsidRDefault="00F4371A" w:rsidP="00ED52A3">
      <w:pPr>
        <w:pStyle w:val="BodyText"/>
        <w:rPr>
          <w:rFonts w:asciiTheme="minorHAnsi" w:hAnsiTheme="minorHAnsi" w:cstheme="minorHAnsi"/>
          <w:b/>
          <w:sz w:val="20"/>
        </w:rPr>
      </w:pPr>
      <w:r>
        <w:rPr>
          <w:rFonts w:asciiTheme="minorHAnsi" w:hAnsiTheme="minorHAnsi" w:cstheme="minorHAnsi"/>
          <w:b/>
          <w:sz w:val="20"/>
        </w:rPr>
        <w:t>3. How would authentication requirements for legitimate users be developed?</w:t>
      </w:r>
    </w:p>
    <w:p w:rsidR="00615FBE" w:rsidRDefault="00F4371A" w:rsidP="00ED52A3">
      <w:pPr>
        <w:pStyle w:val="BodyText"/>
        <w:rPr>
          <w:rFonts w:asciiTheme="minorHAnsi" w:hAnsiTheme="minorHAnsi" w:cstheme="minorHAnsi"/>
          <w:sz w:val="20"/>
        </w:rPr>
      </w:pPr>
      <w:r>
        <w:rPr>
          <w:rFonts w:asciiTheme="minorHAnsi" w:hAnsiTheme="minorHAnsi" w:cstheme="minorHAnsi"/>
          <w:sz w:val="20"/>
        </w:rPr>
        <w:t>The Framework states that, for private third parties, ICANN would consult with the GAC and members of the Eligible User Groups to identify bodies with expertise to authenticate users.  These Authenticating Bodies would then develop authentication criteria.</w:t>
      </w:r>
    </w:p>
    <w:p w:rsidR="001B1A1C" w:rsidRDefault="00F4371A" w:rsidP="001B1A1C">
      <w:pPr>
        <w:pStyle w:val="BodyText"/>
        <w:rPr>
          <w:rFonts w:asciiTheme="minorHAnsi" w:hAnsiTheme="minorHAnsi" w:cstheme="minorHAnsi"/>
          <w:i/>
          <w:sz w:val="20"/>
        </w:rPr>
      </w:pPr>
      <w:r w:rsidRPr="00615FBE">
        <w:rPr>
          <w:rFonts w:asciiTheme="minorHAnsi" w:hAnsiTheme="minorHAnsi" w:cstheme="minorHAnsi"/>
          <w:i/>
          <w:sz w:val="20"/>
        </w:rPr>
        <w:t>In its 10 April statement, the ALAC recognized that “an accreditation program of some sort for access to partial and/or full WHOIS data needs to be developed.”</w:t>
      </w:r>
      <w:r>
        <w:rPr>
          <w:rFonts w:asciiTheme="minorHAnsi" w:hAnsiTheme="minorHAnsi" w:cstheme="minorHAnsi"/>
          <w:i/>
          <w:sz w:val="20"/>
        </w:rPr>
        <w:t xml:space="preserve">  </w:t>
      </w:r>
      <w:r w:rsidR="003920BB">
        <w:rPr>
          <w:rFonts w:asciiTheme="minorHAnsi" w:hAnsiTheme="minorHAnsi" w:cstheme="minorHAnsi"/>
          <w:i/>
          <w:sz w:val="20"/>
        </w:rPr>
        <w:t>However</w:t>
      </w:r>
      <w:r>
        <w:rPr>
          <w:rFonts w:asciiTheme="minorHAnsi" w:hAnsiTheme="minorHAnsi" w:cstheme="minorHAnsi"/>
          <w:i/>
          <w:sz w:val="20"/>
        </w:rPr>
        <w:t xml:space="preserve">, ALAC </w:t>
      </w:r>
      <w:r w:rsidR="003920BB">
        <w:rPr>
          <w:rFonts w:asciiTheme="minorHAnsi" w:hAnsiTheme="minorHAnsi" w:cstheme="minorHAnsi"/>
          <w:i/>
          <w:sz w:val="20"/>
        </w:rPr>
        <w:t>remains</w:t>
      </w:r>
      <w:r>
        <w:rPr>
          <w:rFonts w:asciiTheme="minorHAnsi" w:hAnsiTheme="minorHAnsi" w:cstheme="minorHAnsi"/>
          <w:i/>
          <w:sz w:val="20"/>
        </w:rPr>
        <w:t xml:space="preserve"> concerned with the prominent role of governments </w:t>
      </w:r>
      <w:r w:rsidR="003920BB">
        <w:rPr>
          <w:rFonts w:asciiTheme="minorHAnsi" w:hAnsiTheme="minorHAnsi" w:cstheme="minorHAnsi"/>
          <w:i/>
          <w:sz w:val="20"/>
        </w:rPr>
        <w:t xml:space="preserve">generally and the GAC specifically, </w:t>
      </w:r>
      <w:r>
        <w:rPr>
          <w:rFonts w:asciiTheme="minorHAnsi" w:hAnsiTheme="minorHAnsi" w:cstheme="minorHAnsi"/>
          <w:i/>
          <w:sz w:val="20"/>
        </w:rPr>
        <w:t xml:space="preserve">and the exclusion of other stakeholders (aside from those being “authenticated”) in the identification of potential Authenticating Bodies.  </w:t>
      </w:r>
      <w:r w:rsidR="003920BB">
        <w:rPr>
          <w:rFonts w:asciiTheme="minorHAnsi" w:hAnsiTheme="minorHAnsi" w:cstheme="minorHAnsi"/>
          <w:i/>
          <w:sz w:val="20"/>
        </w:rPr>
        <w:t>Governments do not necessarily have particular expertise with regard to accrediting bodies, many of which are likely to be private sector organizations (e.g., NGOs and trade associations).  T</w:t>
      </w:r>
      <w:r>
        <w:rPr>
          <w:rFonts w:asciiTheme="minorHAnsi" w:hAnsiTheme="minorHAnsi" w:cstheme="minorHAnsi"/>
          <w:i/>
          <w:sz w:val="20"/>
        </w:rPr>
        <w:t>his should be done in a true multistakeholder fashion</w:t>
      </w:r>
      <w:r w:rsidR="003920BB">
        <w:rPr>
          <w:rFonts w:asciiTheme="minorHAnsi" w:hAnsiTheme="minorHAnsi" w:cstheme="minorHAnsi"/>
          <w:i/>
          <w:sz w:val="20"/>
        </w:rPr>
        <w:t>, with participants from a variety of stakeholder groups</w:t>
      </w:r>
      <w:r w:rsidR="000C6852">
        <w:rPr>
          <w:rFonts w:asciiTheme="minorHAnsi" w:hAnsiTheme="minorHAnsi" w:cstheme="minorHAnsi"/>
          <w:i/>
          <w:sz w:val="20"/>
        </w:rPr>
        <w:t>...</w:t>
      </w:r>
    </w:p>
    <w:p w:rsidR="008B22C3" w:rsidRPr="008B22C3" w:rsidRDefault="003920BB" w:rsidP="008B22C3">
      <w:pPr>
        <w:pStyle w:val="BodyText"/>
        <w:rPr>
          <w:rFonts w:asciiTheme="minorHAnsi" w:hAnsiTheme="minorHAnsi"/>
          <w:i/>
          <w:sz w:val="20"/>
        </w:rPr>
      </w:pPr>
      <w:r>
        <w:rPr>
          <w:rFonts w:asciiTheme="minorHAnsi" w:hAnsiTheme="minorHAnsi" w:cstheme="minorHAnsi"/>
          <w:i/>
          <w:sz w:val="20"/>
        </w:rPr>
        <w:t>In its 10 April statement</w:t>
      </w:r>
      <w:r w:rsidR="00F4371A">
        <w:rPr>
          <w:rFonts w:asciiTheme="minorHAnsi" w:hAnsiTheme="minorHAnsi" w:cstheme="minorHAnsi"/>
          <w:i/>
          <w:sz w:val="20"/>
        </w:rPr>
        <w:t>, the ALAC was also “</w:t>
      </w:r>
      <w:r w:rsidR="00F4371A" w:rsidRPr="00A53B6C">
        <w:rPr>
          <w:rFonts w:asciiTheme="minorHAnsi" w:hAnsiTheme="minorHAnsi"/>
          <w:i/>
          <w:color w:val="17365D" w:themeColor="text2" w:themeShade="BF"/>
          <w:sz w:val="20"/>
        </w:rPr>
        <w:t>co</w:t>
      </w:r>
      <w:r w:rsidR="00F4371A" w:rsidRPr="001B1A1C">
        <w:rPr>
          <w:rFonts w:asciiTheme="minorHAnsi" w:hAnsiTheme="minorHAnsi"/>
          <w:i/>
          <w:sz w:val="20"/>
        </w:rPr>
        <w:t xml:space="preserve">ncerned with regard to the current lack of clarity when it comes to exactly what </w:t>
      </w:r>
      <w:r w:rsidR="00F4371A">
        <w:rPr>
          <w:rFonts w:asciiTheme="minorHAnsi" w:hAnsiTheme="minorHAnsi"/>
          <w:i/>
          <w:sz w:val="20"/>
        </w:rPr>
        <w:t xml:space="preserve">… </w:t>
      </w:r>
      <w:r w:rsidR="00F4371A" w:rsidRPr="001B1A1C">
        <w:rPr>
          <w:rFonts w:asciiTheme="minorHAnsi" w:hAnsiTheme="minorHAnsi"/>
          <w:i/>
          <w:sz w:val="20"/>
        </w:rPr>
        <w:t>the associated accreditation process</w:t>
      </w:r>
      <w:r w:rsidR="00F4371A">
        <w:rPr>
          <w:rFonts w:asciiTheme="minorHAnsi" w:hAnsiTheme="minorHAnsi"/>
          <w:i/>
          <w:sz w:val="20"/>
        </w:rPr>
        <w:t xml:space="preserve"> will look like and consist of.”  There is more clarity</w:t>
      </w:r>
      <w:r>
        <w:rPr>
          <w:rFonts w:asciiTheme="minorHAnsi" w:hAnsiTheme="minorHAnsi"/>
          <w:i/>
          <w:sz w:val="20"/>
        </w:rPr>
        <w:t xml:space="preserve"> in the current proposal</w:t>
      </w:r>
      <w:r w:rsidR="00F4371A">
        <w:rPr>
          <w:rFonts w:asciiTheme="minorHAnsi" w:hAnsiTheme="minorHAnsi"/>
          <w:i/>
          <w:sz w:val="20"/>
        </w:rPr>
        <w:t xml:space="preserve">, but only slightly.  The ALAC understands the utility and efficiency in using existing </w:t>
      </w:r>
      <w:r w:rsidR="00F4371A" w:rsidRPr="00D70C89">
        <w:rPr>
          <w:rFonts w:asciiTheme="minorHAnsi" w:hAnsiTheme="minorHAnsi"/>
          <w:i/>
          <w:sz w:val="20"/>
        </w:rPr>
        <w:t xml:space="preserve">accreditation/governing bodies for this purpose – </w:t>
      </w:r>
      <w:r w:rsidR="00F4371A">
        <w:rPr>
          <w:rFonts w:asciiTheme="minorHAnsi" w:hAnsiTheme="minorHAnsi"/>
          <w:i/>
          <w:sz w:val="20"/>
        </w:rPr>
        <w:t xml:space="preserve">after all, </w:t>
      </w:r>
      <w:r w:rsidR="00F4371A" w:rsidRPr="00D70C89">
        <w:rPr>
          <w:rFonts w:asciiTheme="minorHAnsi" w:hAnsiTheme="minorHAnsi"/>
          <w:i/>
          <w:sz w:val="20"/>
        </w:rPr>
        <w:t xml:space="preserve">they have already validated </w:t>
      </w:r>
      <w:r w:rsidR="00F4371A">
        <w:rPr>
          <w:rFonts w:asciiTheme="minorHAnsi" w:hAnsiTheme="minorHAnsi"/>
          <w:i/>
          <w:sz w:val="20"/>
        </w:rPr>
        <w:t xml:space="preserve">members of </w:t>
      </w:r>
      <w:r w:rsidR="00F4371A" w:rsidRPr="00D70C89">
        <w:rPr>
          <w:rFonts w:asciiTheme="minorHAnsi" w:hAnsiTheme="minorHAnsi"/>
          <w:i/>
          <w:sz w:val="20"/>
        </w:rPr>
        <w:t xml:space="preserve">their </w:t>
      </w:r>
      <w:r w:rsidR="00F4371A">
        <w:rPr>
          <w:rFonts w:asciiTheme="minorHAnsi" w:hAnsiTheme="minorHAnsi"/>
          <w:i/>
          <w:sz w:val="20"/>
        </w:rPr>
        <w:t xml:space="preserve">user </w:t>
      </w:r>
      <w:r w:rsidR="00F4371A" w:rsidRPr="00D70C89">
        <w:rPr>
          <w:rFonts w:asciiTheme="minorHAnsi" w:hAnsiTheme="minorHAnsi"/>
          <w:i/>
          <w:sz w:val="20"/>
        </w:rPr>
        <w:t>community</w:t>
      </w:r>
      <w:r w:rsidR="00F4371A">
        <w:rPr>
          <w:rFonts w:asciiTheme="minorHAnsi" w:hAnsiTheme="minorHAnsi"/>
          <w:i/>
          <w:sz w:val="20"/>
        </w:rPr>
        <w:t xml:space="preserve">, albeit for somewhat different purposes.  However, the development of the accreditation process must involve multistakeholder participation, and the process itself must be subject to multistakeholder oversight and review.  There are opportunities for gaming in the development and administration of such processes, especially where the Authenticating Body is allied with or part of the “user group.”  If left unchecked, this could turn into a “poacher turned gamekeeper” situation (not to suggest that any stakeholders can be compared to “poachers,” of course).  </w:t>
      </w:r>
      <w:r w:rsidR="00F4371A" w:rsidRPr="008B22C3">
        <w:rPr>
          <w:rFonts w:asciiTheme="minorHAnsi" w:hAnsiTheme="minorHAnsi"/>
          <w:i/>
          <w:sz w:val="20"/>
        </w:rPr>
        <w:t>The challenge here is to examine the gaming possibilities and build mechanisms to avoid them.</w:t>
      </w:r>
    </w:p>
    <w:p w:rsidR="00B45ECF" w:rsidRPr="00B45ECF" w:rsidRDefault="00F4371A" w:rsidP="00ED52A3">
      <w:pPr>
        <w:pStyle w:val="BodyText"/>
        <w:rPr>
          <w:rFonts w:asciiTheme="minorHAnsi" w:hAnsiTheme="minorHAnsi" w:cstheme="minorHAnsi"/>
          <w:b/>
          <w:sz w:val="22"/>
          <w:szCs w:val="22"/>
          <w:u w:val="single"/>
        </w:rPr>
      </w:pPr>
      <w:r w:rsidRPr="00B45ECF">
        <w:rPr>
          <w:rFonts w:asciiTheme="minorHAnsi" w:hAnsiTheme="minorHAnsi" w:cstheme="minorHAnsi"/>
          <w:b/>
          <w:sz w:val="22"/>
          <w:szCs w:val="22"/>
          <w:u w:val="single"/>
        </w:rPr>
        <w:t>Process Details</w:t>
      </w:r>
    </w:p>
    <w:p w:rsidR="00995140" w:rsidRDefault="00F4371A" w:rsidP="00995140">
      <w:pPr>
        <w:pStyle w:val="BodyText"/>
        <w:rPr>
          <w:rFonts w:asciiTheme="minorHAnsi" w:hAnsiTheme="minorHAnsi" w:cstheme="minorHAnsi"/>
          <w:b/>
          <w:sz w:val="20"/>
        </w:rPr>
      </w:pPr>
      <w:r>
        <w:rPr>
          <w:rFonts w:asciiTheme="minorHAnsi" w:hAnsiTheme="minorHAnsi" w:cstheme="minorHAnsi"/>
          <w:b/>
          <w:sz w:val="20"/>
        </w:rPr>
        <w:t>4. Who would be required to provide access to non-public WHOIS data?</w:t>
      </w:r>
    </w:p>
    <w:p w:rsidR="00EF62F4" w:rsidRPr="007830F8" w:rsidRDefault="00F4371A" w:rsidP="00995140">
      <w:pPr>
        <w:pStyle w:val="BodyText"/>
        <w:rPr>
          <w:rFonts w:asciiTheme="minorHAnsi" w:hAnsiTheme="minorHAnsi" w:cstheme="minorHAnsi"/>
          <w:sz w:val="20"/>
        </w:rPr>
      </w:pPr>
      <w:r w:rsidRPr="007830F8">
        <w:rPr>
          <w:rFonts w:asciiTheme="minorHAnsi" w:hAnsiTheme="minorHAnsi" w:cstheme="minorHAnsi"/>
          <w:sz w:val="20"/>
        </w:rPr>
        <w:t>The Frame</w:t>
      </w:r>
      <w:r>
        <w:rPr>
          <w:rFonts w:asciiTheme="minorHAnsi" w:hAnsiTheme="minorHAnsi" w:cstheme="minorHAnsi"/>
          <w:sz w:val="20"/>
        </w:rPr>
        <w:t>work states that both registry operators and registrars would be required to provide such access.  However, it also notes that some comments from the community have proposed that registrars, but not registry operators, should be required to provide access, and ultimately suggests this would be a “possible” topic for discussion in “any relevant” PDP.</w:t>
      </w:r>
    </w:p>
    <w:p w:rsidR="007830F8" w:rsidRDefault="00F4371A" w:rsidP="00995140">
      <w:pPr>
        <w:pStyle w:val="BodyText"/>
        <w:rPr>
          <w:rFonts w:asciiTheme="minorHAnsi" w:hAnsiTheme="minorHAnsi" w:cstheme="minorHAnsi"/>
          <w:i/>
          <w:sz w:val="20"/>
        </w:rPr>
      </w:pPr>
      <w:r w:rsidRPr="00BC5268">
        <w:rPr>
          <w:rFonts w:asciiTheme="minorHAnsi" w:hAnsiTheme="minorHAnsi" w:cstheme="minorHAnsi"/>
          <w:i/>
          <w:sz w:val="20"/>
        </w:rPr>
        <w:t>Th</w:t>
      </w:r>
      <w:r>
        <w:rPr>
          <w:rFonts w:asciiTheme="minorHAnsi" w:hAnsiTheme="minorHAnsi" w:cstheme="minorHAnsi"/>
          <w:i/>
          <w:sz w:val="20"/>
        </w:rPr>
        <w:t>e ALAC believes that both</w:t>
      </w:r>
      <w:r w:rsidRPr="00BC5268">
        <w:rPr>
          <w:rFonts w:asciiTheme="minorHAnsi" w:hAnsiTheme="minorHAnsi" w:cstheme="minorHAnsi"/>
          <w:i/>
          <w:sz w:val="20"/>
        </w:rPr>
        <w:t xml:space="preserve"> </w:t>
      </w:r>
      <w:r>
        <w:rPr>
          <w:rFonts w:asciiTheme="minorHAnsi" w:hAnsiTheme="minorHAnsi" w:cstheme="minorHAnsi"/>
          <w:i/>
          <w:sz w:val="20"/>
        </w:rPr>
        <w:t>r</w:t>
      </w:r>
      <w:r w:rsidRPr="00BC5268">
        <w:rPr>
          <w:rFonts w:asciiTheme="minorHAnsi" w:hAnsiTheme="minorHAnsi" w:cstheme="minorHAnsi"/>
          <w:i/>
          <w:sz w:val="20"/>
        </w:rPr>
        <w:t>egistr</w:t>
      </w:r>
      <w:r>
        <w:rPr>
          <w:rFonts w:asciiTheme="minorHAnsi" w:hAnsiTheme="minorHAnsi" w:cstheme="minorHAnsi"/>
          <w:i/>
          <w:sz w:val="20"/>
        </w:rPr>
        <w:t>y operators</w:t>
      </w:r>
      <w:r w:rsidRPr="00BC5268">
        <w:rPr>
          <w:rFonts w:asciiTheme="minorHAnsi" w:hAnsiTheme="minorHAnsi" w:cstheme="minorHAnsi"/>
          <w:i/>
          <w:sz w:val="20"/>
        </w:rPr>
        <w:t xml:space="preserve"> and </w:t>
      </w:r>
      <w:r>
        <w:rPr>
          <w:rFonts w:asciiTheme="minorHAnsi" w:hAnsiTheme="minorHAnsi" w:cstheme="minorHAnsi"/>
          <w:i/>
          <w:sz w:val="20"/>
        </w:rPr>
        <w:t>r</w:t>
      </w:r>
      <w:r w:rsidRPr="00BC5268">
        <w:rPr>
          <w:rFonts w:asciiTheme="minorHAnsi" w:hAnsiTheme="minorHAnsi" w:cstheme="minorHAnsi"/>
          <w:i/>
          <w:sz w:val="20"/>
        </w:rPr>
        <w:t>egistrars</w:t>
      </w:r>
      <w:r>
        <w:rPr>
          <w:rFonts w:asciiTheme="minorHAnsi" w:hAnsiTheme="minorHAnsi" w:cstheme="minorHAnsi"/>
          <w:i/>
          <w:sz w:val="20"/>
        </w:rPr>
        <w:t xml:space="preserve"> must be required to provide access</w:t>
      </w:r>
      <w:r w:rsidRPr="00BC5268">
        <w:rPr>
          <w:rFonts w:asciiTheme="minorHAnsi" w:hAnsiTheme="minorHAnsi" w:cstheme="minorHAnsi"/>
          <w:i/>
          <w:sz w:val="20"/>
        </w:rPr>
        <w:t>.</w:t>
      </w:r>
      <w:r>
        <w:rPr>
          <w:rFonts w:asciiTheme="minorHAnsi" w:hAnsiTheme="minorHAnsi" w:cstheme="minorHAnsi"/>
          <w:i/>
          <w:sz w:val="20"/>
        </w:rPr>
        <w:t xml:space="preserve"> In the new gTLDs, the Whois service is operated by the registry, not the registrars, so it would be illogical to place the responsibility on the registrars.  Any concerns about contractual privity or data subject safeguards can easily be dealt with contractually.  While a future PDP should not be unduly constrained, the Framework should strongly favor, and make the case for, registry and registrar access.</w:t>
      </w:r>
    </w:p>
    <w:p w:rsidR="00767022" w:rsidRPr="00BC5268" w:rsidRDefault="00F4371A" w:rsidP="00995140">
      <w:pPr>
        <w:pStyle w:val="BodyText"/>
        <w:rPr>
          <w:rFonts w:asciiTheme="minorHAnsi" w:hAnsiTheme="minorHAnsi" w:cstheme="minorHAnsi"/>
          <w:i/>
          <w:sz w:val="20"/>
        </w:rPr>
      </w:pPr>
      <w:r>
        <w:rPr>
          <w:rFonts w:asciiTheme="minorHAnsi" w:hAnsiTheme="minorHAnsi" w:cstheme="minorHAnsi"/>
          <w:i/>
          <w:sz w:val="20"/>
        </w:rPr>
        <w:t>As further support for this, some have noted that t</w:t>
      </w:r>
      <w:r w:rsidRPr="00BC5268">
        <w:rPr>
          <w:rFonts w:asciiTheme="minorHAnsi" w:hAnsiTheme="minorHAnsi" w:cstheme="minorHAnsi"/>
          <w:i/>
          <w:sz w:val="20"/>
        </w:rPr>
        <w:t>he boundary between the two business categories has become blurred since the flawed vertical integration practice was allowed.</w:t>
      </w:r>
    </w:p>
    <w:p w:rsidR="00995140" w:rsidRDefault="00F4371A" w:rsidP="00995140">
      <w:pPr>
        <w:pStyle w:val="BodyText"/>
        <w:rPr>
          <w:rFonts w:asciiTheme="minorHAnsi" w:hAnsiTheme="minorHAnsi" w:cstheme="minorHAnsi"/>
          <w:b/>
          <w:sz w:val="20"/>
        </w:rPr>
      </w:pPr>
      <w:r>
        <w:rPr>
          <w:rFonts w:asciiTheme="minorHAnsi" w:hAnsiTheme="minorHAnsi" w:cstheme="minorHAnsi"/>
          <w:b/>
          <w:sz w:val="20"/>
        </w:rPr>
        <w:t>5. What would be the overall process for authenticating legitimate users for access non-public WHOIS date under a unified access model?</w:t>
      </w:r>
    </w:p>
    <w:p w:rsidR="00A43ECC" w:rsidRDefault="00F4371A" w:rsidP="00995140">
      <w:pPr>
        <w:pStyle w:val="BodyText"/>
        <w:rPr>
          <w:rFonts w:asciiTheme="minorHAnsi" w:hAnsiTheme="minorHAnsi" w:cstheme="minorHAnsi"/>
          <w:sz w:val="20"/>
        </w:rPr>
      </w:pPr>
      <w:r>
        <w:rPr>
          <w:rFonts w:asciiTheme="minorHAnsi" w:hAnsiTheme="minorHAnsi" w:cstheme="minorHAnsi"/>
          <w:sz w:val="20"/>
        </w:rPr>
        <w:t>The Framework largely leaves the process</w:t>
      </w:r>
      <w:r w:rsidR="008C1903">
        <w:rPr>
          <w:rFonts w:asciiTheme="minorHAnsi" w:hAnsiTheme="minorHAnsi" w:cstheme="minorHAnsi"/>
          <w:sz w:val="20"/>
        </w:rPr>
        <w:t xml:space="preserve"> for authenticating users</w:t>
      </w:r>
      <w:r>
        <w:rPr>
          <w:rFonts w:asciiTheme="minorHAnsi" w:hAnsiTheme="minorHAnsi" w:cstheme="minorHAnsi"/>
          <w:sz w:val="20"/>
        </w:rPr>
        <w:t xml:space="preserve"> to the Authenticating Body, other than vaguely suggesting it “could include an application process for example.”</w:t>
      </w:r>
    </w:p>
    <w:p w:rsidR="008C1903" w:rsidRPr="008C1903" w:rsidRDefault="008C1903" w:rsidP="00995140">
      <w:pPr>
        <w:pStyle w:val="BodyText"/>
        <w:rPr>
          <w:rFonts w:asciiTheme="minorHAnsi" w:hAnsiTheme="minorHAnsi" w:cstheme="minorHAnsi"/>
          <w:i/>
          <w:sz w:val="20"/>
        </w:rPr>
      </w:pPr>
      <w:r>
        <w:rPr>
          <w:rFonts w:asciiTheme="minorHAnsi" w:hAnsiTheme="minorHAnsi" w:cstheme="minorHAnsi"/>
          <w:i/>
          <w:sz w:val="20"/>
        </w:rPr>
        <w:t xml:space="preserve">Consistent with the </w:t>
      </w:r>
      <w:r w:rsidR="007604CF">
        <w:rPr>
          <w:rFonts w:asciiTheme="minorHAnsi" w:hAnsiTheme="minorHAnsi" w:cstheme="minorHAnsi"/>
          <w:i/>
          <w:sz w:val="20"/>
        </w:rPr>
        <w:t xml:space="preserve">ALAC’s </w:t>
      </w:r>
      <w:r>
        <w:rPr>
          <w:rFonts w:asciiTheme="minorHAnsi" w:hAnsiTheme="minorHAnsi" w:cstheme="minorHAnsi"/>
          <w:i/>
          <w:sz w:val="20"/>
        </w:rPr>
        <w:t>comment above, there needs to be oversight and review of these processes, both at the time of creation and when in operation.</w:t>
      </w:r>
    </w:p>
    <w:p w:rsidR="00995140" w:rsidRDefault="00F4371A" w:rsidP="00995140">
      <w:pPr>
        <w:pStyle w:val="BodyText"/>
        <w:rPr>
          <w:rFonts w:asciiTheme="minorHAnsi" w:hAnsiTheme="minorHAnsi" w:cstheme="minorHAnsi"/>
          <w:b/>
          <w:sz w:val="20"/>
        </w:rPr>
      </w:pPr>
      <w:r>
        <w:rPr>
          <w:rFonts w:asciiTheme="minorHAnsi" w:hAnsiTheme="minorHAnsi" w:cstheme="minorHAnsi"/>
          <w:b/>
          <w:sz w:val="20"/>
        </w:rPr>
        <w:t>6. What scope of data would be available to authenticated users?</w:t>
      </w:r>
    </w:p>
    <w:p w:rsidR="008C1903" w:rsidRPr="008C1903" w:rsidRDefault="008C1903" w:rsidP="00995140">
      <w:pPr>
        <w:pStyle w:val="BodyText"/>
        <w:rPr>
          <w:rFonts w:asciiTheme="minorHAnsi" w:hAnsiTheme="minorHAnsi" w:cstheme="minorHAnsi"/>
          <w:sz w:val="20"/>
        </w:rPr>
      </w:pPr>
      <w:r>
        <w:rPr>
          <w:rFonts w:asciiTheme="minorHAnsi" w:hAnsiTheme="minorHAnsi" w:cstheme="minorHAnsi"/>
          <w:sz w:val="20"/>
        </w:rPr>
        <w:t>The Framework states that the users would get “the level/scope of non-public WHOIS data consistent with the identified legitimate purpose … for each query.”  (Should this say “legitimate interest” rather than “legitimate purpose”?)  The document recogniz</w:t>
      </w:r>
      <w:r w:rsidR="00985E22">
        <w:rPr>
          <w:rFonts w:asciiTheme="minorHAnsi" w:hAnsiTheme="minorHAnsi" w:cstheme="minorHAnsi"/>
          <w:sz w:val="20"/>
        </w:rPr>
        <w:t xml:space="preserve">es that there is also support for the view that </w:t>
      </w:r>
      <w:r>
        <w:rPr>
          <w:rFonts w:asciiTheme="minorHAnsi" w:hAnsiTheme="minorHAnsi" w:cstheme="minorHAnsi"/>
          <w:sz w:val="20"/>
        </w:rPr>
        <w:t xml:space="preserve">full WHOIS data </w:t>
      </w:r>
      <w:r w:rsidR="00985E22">
        <w:rPr>
          <w:rFonts w:asciiTheme="minorHAnsi" w:hAnsiTheme="minorHAnsi" w:cstheme="minorHAnsi"/>
          <w:sz w:val="20"/>
        </w:rPr>
        <w:t xml:space="preserve">for the requested domain name </w:t>
      </w:r>
      <w:r>
        <w:rPr>
          <w:rFonts w:asciiTheme="minorHAnsi" w:hAnsiTheme="minorHAnsi" w:cstheme="minorHAnsi"/>
          <w:sz w:val="20"/>
        </w:rPr>
        <w:t xml:space="preserve">should be returned to </w:t>
      </w:r>
      <w:r w:rsidR="00985E22">
        <w:rPr>
          <w:rFonts w:asciiTheme="minorHAnsi" w:hAnsiTheme="minorHAnsi" w:cstheme="minorHAnsi"/>
          <w:sz w:val="20"/>
        </w:rPr>
        <w:t xml:space="preserve">the authenticated user.  In the end, the Framework takes the position that access to data would be on a query-by-query basis and that full records would not be returned “unless doing so would be supported by the legitimate interest provided by the authenticated user.”  The report also says that ICANN will </w:t>
      </w:r>
      <w:r w:rsidR="008076A2">
        <w:rPr>
          <w:rFonts w:asciiTheme="minorHAnsi" w:hAnsiTheme="minorHAnsi" w:cstheme="minorHAnsi"/>
          <w:sz w:val="20"/>
        </w:rPr>
        <w:t xml:space="preserve">seek </w:t>
      </w:r>
      <w:r w:rsidR="00985E22">
        <w:rPr>
          <w:rFonts w:asciiTheme="minorHAnsi" w:hAnsiTheme="minorHAnsi" w:cstheme="minorHAnsi"/>
          <w:sz w:val="20"/>
        </w:rPr>
        <w:t>guidance from the EDPB whether there is a GDPR-compliant model that would allow for bulk access and for returning full WHOIS data by default to authenticated users.</w:t>
      </w:r>
    </w:p>
    <w:p w:rsidR="003032E3" w:rsidRDefault="003032E3" w:rsidP="00995140">
      <w:pPr>
        <w:pStyle w:val="BodyText"/>
        <w:rPr>
          <w:rFonts w:asciiTheme="minorHAnsi" w:hAnsiTheme="minorHAnsi" w:cstheme="minorHAnsi"/>
          <w:i/>
          <w:sz w:val="20"/>
        </w:rPr>
      </w:pPr>
      <w:r>
        <w:rPr>
          <w:rFonts w:asciiTheme="minorHAnsi" w:hAnsiTheme="minorHAnsi" w:cstheme="minorHAnsi"/>
          <w:i/>
          <w:sz w:val="20"/>
        </w:rPr>
        <w:t xml:space="preserve">Overall, this is a reasonably balanced proposal, though very short on specifics.  How, for example, will </w:t>
      </w:r>
      <w:r w:rsidRPr="003032E3">
        <w:rPr>
          <w:rFonts w:asciiTheme="minorHAnsi" w:hAnsiTheme="minorHAnsi" w:cstheme="minorHAnsi"/>
          <w:i/>
          <w:sz w:val="20"/>
        </w:rPr>
        <w:t xml:space="preserve">the level/scope of non-public WHOIS data </w:t>
      </w:r>
      <w:r>
        <w:rPr>
          <w:rFonts w:asciiTheme="minorHAnsi" w:hAnsiTheme="minorHAnsi" w:cstheme="minorHAnsi"/>
          <w:i/>
          <w:sz w:val="20"/>
        </w:rPr>
        <w:t>for a particular l</w:t>
      </w:r>
      <w:r w:rsidRPr="003032E3">
        <w:rPr>
          <w:rFonts w:asciiTheme="minorHAnsi" w:hAnsiTheme="minorHAnsi" w:cstheme="minorHAnsi"/>
          <w:i/>
          <w:sz w:val="20"/>
        </w:rPr>
        <w:t xml:space="preserve">egitimate purpose </w:t>
      </w:r>
      <w:r>
        <w:rPr>
          <w:rFonts w:asciiTheme="minorHAnsi" w:hAnsiTheme="minorHAnsi" w:cstheme="minorHAnsi"/>
          <w:i/>
          <w:sz w:val="20"/>
        </w:rPr>
        <w:t xml:space="preserve">be determined?  Will there be a “one size fits all” approach, or will there be a default that can be customized </w:t>
      </w:r>
      <w:r w:rsidRPr="003032E3">
        <w:rPr>
          <w:rFonts w:asciiTheme="minorHAnsi" w:hAnsiTheme="minorHAnsi" w:cstheme="minorHAnsi"/>
          <w:i/>
          <w:sz w:val="20"/>
        </w:rPr>
        <w:t>for each query</w:t>
      </w:r>
      <w:r>
        <w:rPr>
          <w:rFonts w:asciiTheme="minorHAnsi" w:hAnsiTheme="minorHAnsi" w:cstheme="minorHAnsi"/>
          <w:i/>
          <w:sz w:val="20"/>
        </w:rPr>
        <w:t>? Whose judgment will be involved?</w:t>
      </w:r>
      <w:r w:rsidR="008076A2">
        <w:rPr>
          <w:rFonts w:asciiTheme="minorHAnsi" w:hAnsiTheme="minorHAnsi" w:cstheme="minorHAnsi"/>
          <w:i/>
          <w:sz w:val="20"/>
        </w:rPr>
        <w:t xml:space="preserve"> This leaves a lot to future processes to develop</w:t>
      </w:r>
      <w:r w:rsidR="000C6852">
        <w:rPr>
          <w:rFonts w:asciiTheme="minorHAnsi" w:hAnsiTheme="minorHAnsi" w:cstheme="minorHAnsi"/>
          <w:i/>
          <w:sz w:val="20"/>
        </w:rPr>
        <w:t>...</w:t>
      </w:r>
    </w:p>
    <w:p w:rsidR="00EB58A1" w:rsidRPr="00BC5268" w:rsidRDefault="003032E3" w:rsidP="00995140">
      <w:pPr>
        <w:pStyle w:val="BodyText"/>
        <w:rPr>
          <w:rFonts w:asciiTheme="minorHAnsi" w:hAnsiTheme="minorHAnsi" w:cstheme="minorHAnsi"/>
          <w:i/>
          <w:sz w:val="20"/>
        </w:rPr>
      </w:pPr>
      <w:r>
        <w:rPr>
          <w:rFonts w:asciiTheme="minorHAnsi" w:hAnsiTheme="minorHAnsi" w:cstheme="minorHAnsi"/>
          <w:i/>
          <w:sz w:val="20"/>
        </w:rPr>
        <w:t xml:space="preserve">ICANN alludes to one particularly controversial concept – that of “bulk access.” </w:t>
      </w:r>
      <w:r w:rsidR="007604CF">
        <w:rPr>
          <w:rFonts w:asciiTheme="minorHAnsi" w:hAnsiTheme="minorHAnsi" w:cstheme="minorHAnsi"/>
          <w:i/>
          <w:sz w:val="20"/>
        </w:rPr>
        <w:t>There is a commonly held view</w:t>
      </w:r>
      <w:r w:rsidR="00F4371A" w:rsidRPr="00BC5268">
        <w:rPr>
          <w:rFonts w:asciiTheme="minorHAnsi" w:hAnsiTheme="minorHAnsi" w:cstheme="minorHAnsi"/>
          <w:i/>
          <w:sz w:val="20"/>
        </w:rPr>
        <w:t xml:space="preserve"> that bulk access</w:t>
      </w:r>
      <w:r>
        <w:rPr>
          <w:rFonts w:asciiTheme="minorHAnsi" w:hAnsiTheme="minorHAnsi" w:cstheme="minorHAnsi"/>
          <w:i/>
          <w:sz w:val="20"/>
        </w:rPr>
        <w:t xml:space="preserve"> has</w:t>
      </w:r>
      <w:r w:rsidR="00F4371A" w:rsidRPr="00BC5268">
        <w:rPr>
          <w:rFonts w:asciiTheme="minorHAnsi" w:hAnsiTheme="minorHAnsi" w:cstheme="minorHAnsi"/>
          <w:i/>
          <w:sz w:val="20"/>
        </w:rPr>
        <w:t xml:space="preserve"> breached data protection laws</w:t>
      </w:r>
      <w:r w:rsidR="007604CF">
        <w:rPr>
          <w:rFonts w:asciiTheme="minorHAnsi" w:hAnsiTheme="minorHAnsi" w:cstheme="minorHAnsi"/>
          <w:i/>
          <w:sz w:val="20"/>
        </w:rPr>
        <w:t xml:space="preserve"> long prior to GDPR</w:t>
      </w:r>
      <w:r w:rsidR="00F4371A" w:rsidRPr="00BC5268">
        <w:rPr>
          <w:rFonts w:asciiTheme="minorHAnsi" w:hAnsiTheme="minorHAnsi" w:cstheme="minorHAnsi"/>
          <w:i/>
          <w:sz w:val="20"/>
        </w:rPr>
        <w:t xml:space="preserve">. </w:t>
      </w:r>
      <w:r>
        <w:rPr>
          <w:rFonts w:asciiTheme="minorHAnsi" w:hAnsiTheme="minorHAnsi" w:cstheme="minorHAnsi"/>
          <w:i/>
          <w:sz w:val="20"/>
        </w:rPr>
        <w:t xml:space="preserve">However, </w:t>
      </w:r>
      <w:r w:rsidR="00F4371A" w:rsidRPr="00BC5268">
        <w:rPr>
          <w:rFonts w:asciiTheme="minorHAnsi" w:hAnsiTheme="minorHAnsi" w:cstheme="minorHAnsi"/>
          <w:i/>
          <w:sz w:val="20"/>
        </w:rPr>
        <w:t xml:space="preserve">we need a much sharper definition of what we mean by </w:t>
      </w:r>
      <w:r>
        <w:rPr>
          <w:rFonts w:asciiTheme="minorHAnsi" w:hAnsiTheme="minorHAnsi" w:cstheme="minorHAnsi"/>
          <w:i/>
          <w:sz w:val="20"/>
        </w:rPr>
        <w:t>bulk data and by access to bulk data</w:t>
      </w:r>
      <w:r w:rsidR="00F4371A" w:rsidRPr="00BC5268">
        <w:rPr>
          <w:rFonts w:asciiTheme="minorHAnsi" w:hAnsiTheme="minorHAnsi" w:cstheme="minorHAnsi"/>
          <w:i/>
          <w:sz w:val="20"/>
        </w:rPr>
        <w:t xml:space="preserve">. </w:t>
      </w:r>
      <w:r>
        <w:rPr>
          <w:rFonts w:asciiTheme="minorHAnsi" w:hAnsiTheme="minorHAnsi" w:cstheme="minorHAnsi"/>
          <w:i/>
          <w:sz w:val="20"/>
        </w:rPr>
        <w:t xml:space="preserve"> There would </w:t>
      </w:r>
      <w:r w:rsidR="008076A2">
        <w:rPr>
          <w:rFonts w:asciiTheme="minorHAnsi" w:hAnsiTheme="minorHAnsi" w:cstheme="minorHAnsi"/>
          <w:i/>
          <w:sz w:val="20"/>
        </w:rPr>
        <w:t xml:space="preserve">have to </w:t>
      </w:r>
      <w:r>
        <w:rPr>
          <w:rFonts w:asciiTheme="minorHAnsi" w:hAnsiTheme="minorHAnsi" w:cstheme="minorHAnsi"/>
          <w:i/>
          <w:sz w:val="20"/>
        </w:rPr>
        <w:t>be a</w:t>
      </w:r>
      <w:r w:rsidR="008076A2">
        <w:rPr>
          <w:rFonts w:asciiTheme="minorHAnsi" w:hAnsiTheme="minorHAnsi" w:cstheme="minorHAnsi"/>
          <w:i/>
          <w:sz w:val="20"/>
        </w:rPr>
        <w:t>n extremely</w:t>
      </w:r>
      <w:r>
        <w:rPr>
          <w:rFonts w:asciiTheme="minorHAnsi" w:hAnsiTheme="minorHAnsi" w:cstheme="minorHAnsi"/>
          <w:i/>
          <w:sz w:val="20"/>
        </w:rPr>
        <w:t xml:space="preserve"> high bar to prove that any entity has a legitimate interest in </w:t>
      </w:r>
      <w:r w:rsidR="00F4371A" w:rsidRPr="00BC5268">
        <w:rPr>
          <w:rFonts w:asciiTheme="minorHAnsi" w:hAnsiTheme="minorHAnsi" w:cstheme="minorHAnsi"/>
          <w:i/>
          <w:sz w:val="20"/>
        </w:rPr>
        <w:t>a wholesale download of the whole, or even part of the database</w:t>
      </w:r>
      <w:r>
        <w:rPr>
          <w:rFonts w:asciiTheme="minorHAnsi" w:hAnsiTheme="minorHAnsi" w:cstheme="minorHAnsi"/>
          <w:i/>
          <w:sz w:val="20"/>
        </w:rPr>
        <w:t>, and that this interest was not outweighed by the rights of the millions of data subjects in that download</w:t>
      </w:r>
      <w:r w:rsidR="00F4371A" w:rsidRPr="00BC5268">
        <w:rPr>
          <w:rFonts w:asciiTheme="minorHAnsi" w:hAnsiTheme="minorHAnsi" w:cstheme="minorHAnsi"/>
          <w:i/>
          <w:sz w:val="20"/>
        </w:rPr>
        <w:t xml:space="preserve">. </w:t>
      </w:r>
      <w:r w:rsidR="008076A2">
        <w:rPr>
          <w:rFonts w:asciiTheme="minorHAnsi" w:hAnsiTheme="minorHAnsi" w:cstheme="minorHAnsi"/>
          <w:i/>
          <w:sz w:val="20"/>
        </w:rPr>
        <w:t xml:space="preserve"> More likely is</w:t>
      </w:r>
      <w:r w:rsidR="00F4371A" w:rsidRPr="00BC5268">
        <w:rPr>
          <w:rFonts w:asciiTheme="minorHAnsi" w:hAnsiTheme="minorHAnsi" w:cstheme="minorHAnsi"/>
          <w:i/>
          <w:sz w:val="20"/>
        </w:rPr>
        <w:t>, for example, a</w:t>
      </w:r>
      <w:r w:rsidR="008076A2">
        <w:rPr>
          <w:rFonts w:asciiTheme="minorHAnsi" w:hAnsiTheme="minorHAnsi" w:cstheme="minorHAnsi"/>
          <w:i/>
          <w:sz w:val="20"/>
        </w:rPr>
        <w:t>ccess to a</w:t>
      </w:r>
      <w:r w:rsidR="00F4371A" w:rsidRPr="00BC5268">
        <w:rPr>
          <w:rFonts w:asciiTheme="minorHAnsi" w:hAnsiTheme="minorHAnsi" w:cstheme="minorHAnsi"/>
          <w:i/>
          <w:sz w:val="20"/>
        </w:rPr>
        <w:t xml:space="preserve"> stream of selected fields </w:t>
      </w:r>
      <w:r w:rsidR="008076A2">
        <w:rPr>
          <w:rFonts w:asciiTheme="minorHAnsi" w:hAnsiTheme="minorHAnsi" w:cstheme="minorHAnsi"/>
          <w:i/>
          <w:sz w:val="20"/>
        </w:rPr>
        <w:t xml:space="preserve">from some subset of the whole (e.g., a particular region or gTLD) to be used “in bulk,” e.g., for statistical analysis under controlled circumstances (e.g., </w:t>
      </w:r>
      <w:r w:rsidR="00F4371A" w:rsidRPr="00BC5268">
        <w:rPr>
          <w:rFonts w:asciiTheme="minorHAnsi" w:hAnsiTheme="minorHAnsi" w:cstheme="minorHAnsi"/>
          <w:i/>
          <w:sz w:val="20"/>
        </w:rPr>
        <w:t>restricted retention period</w:t>
      </w:r>
      <w:r w:rsidR="008076A2">
        <w:rPr>
          <w:rFonts w:asciiTheme="minorHAnsi" w:hAnsiTheme="minorHAnsi" w:cstheme="minorHAnsi"/>
          <w:i/>
          <w:sz w:val="20"/>
        </w:rPr>
        <w:t>s, if appropriate</w:t>
      </w:r>
      <w:r w:rsidR="00F4371A" w:rsidRPr="00BC5268">
        <w:rPr>
          <w:rFonts w:asciiTheme="minorHAnsi" w:hAnsiTheme="minorHAnsi" w:cstheme="minorHAnsi"/>
          <w:i/>
          <w:sz w:val="20"/>
        </w:rPr>
        <w:t xml:space="preserve">). </w:t>
      </w:r>
      <w:r w:rsidR="008076A2">
        <w:rPr>
          <w:rFonts w:asciiTheme="minorHAnsi" w:hAnsiTheme="minorHAnsi" w:cstheme="minorHAnsi"/>
          <w:i/>
          <w:sz w:val="20"/>
        </w:rPr>
        <w:t>“Bulk access by agglomeration” should be prohibited (i.e., the building of a bulk database from a multitude of individual queries).  If any type of bulk access is permitted, it needs to be done explicitly.</w:t>
      </w:r>
    </w:p>
    <w:p w:rsidR="00995140" w:rsidRDefault="00F4371A" w:rsidP="00995140">
      <w:pPr>
        <w:pStyle w:val="BodyText"/>
        <w:rPr>
          <w:rFonts w:asciiTheme="minorHAnsi" w:hAnsiTheme="minorHAnsi" w:cstheme="minorHAnsi"/>
          <w:b/>
          <w:sz w:val="20"/>
        </w:rPr>
      </w:pPr>
      <w:r>
        <w:rPr>
          <w:rFonts w:asciiTheme="minorHAnsi" w:hAnsiTheme="minorHAnsi" w:cstheme="minorHAnsi"/>
          <w:b/>
          <w:sz w:val="20"/>
        </w:rPr>
        <w:t xml:space="preserve">7. Would registry operators </w:t>
      </w:r>
      <w:r w:rsidR="008076A2">
        <w:rPr>
          <w:rFonts w:asciiTheme="minorHAnsi" w:hAnsiTheme="minorHAnsi" w:cstheme="minorHAnsi"/>
          <w:b/>
          <w:sz w:val="20"/>
        </w:rPr>
        <w:t xml:space="preserve">and registrars </w:t>
      </w:r>
      <w:r>
        <w:rPr>
          <w:rFonts w:asciiTheme="minorHAnsi" w:hAnsiTheme="minorHAnsi" w:cstheme="minorHAnsi"/>
          <w:b/>
          <w:sz w:val="20"/>
        </w:rPr>
        <w:t>be required to provide access to non-public WHOIS data to all authenticated users?</w:t>
      </w:r>
    </w:p>
    <w:p w:rsidR="008076A2" w:rsidRDefault="008076A2" w:rsidP="00995140">
      <w:pPr>
        <w:pStyle w:val="BodyText"/>
        <w:rPr>
          <w:rFonts w:asciiTheme="minorHAnsi" w:hAnsiTheme="minorHAnsi" w:cstheme="minorHAnsi"/>
          <w:sz w:val="20"/>
        </w:rPr>
      </w:pPr>
      <w:r>
        <w:rPr>
          <w:rFonts w:asciiTheme="minorHAnsi" w:hAnsiTheme="minorHAnsi" w:cstheme="minorHAnsi"/>
          <w:sz w:val="20"/>
        </w:rPr>
        <w:t>The Framework contemplates that registries and registrars would be required to provide “global access</w:t>
      </w:r>
      <w:r w:rsidR="00C2046E">
        <w:rPr>
          <w:rFonts w:asciiTheme="minorHAnsi" w:hAnsiTheme="minorHAnsi" w:cstheme="minorHAnsi"/>
          <w:sz w:val="20"/>
        </w:rPr>
        <w:t xml:space="preserve"> …</w:t>
      </w:r>
      <w:r>
        <w:rPr>
          <w:rFonts w:asciiTheme="minorHAnsi" w:hAnsiTheme="minorHAnsi" w:cstheme="minorHAnsi"/>
          <w:sz w:val="20"/>
        </w:rPr>
        <w:t xml:space="preserve"> consistent with the identified legitimate purpose … subject to applicable local laws.”</w:t>
      </w:r>
    </w:p>
    <w:p w:rsidR="008076A2" w:rsidRPr="008076A2" w:rsidRDefault="008076A2" w:rsidP="00995140">
      <w:pPr>
        <w:pStyle w:val="BodyText"/>
        <w:rPr>
          <w:rFonts w:asciiTheme="minorHAnsi" w:hAnsiTheme="minorHAnsi" w:cstheme="minorHAnsi"/>
          <w:i/>
          <w:sz w:val="20"/>
        </w:rPr>
      </w:pPr>
      <w:r>
        <w:rPr>
          <w:rFonts w:asciiTheme="minorHAnsi" w:hAnsiTheme="minorHAnsi" w:cstheme="minorHAnsi"/>
          <w:i/>
          <w:sz w:val="20"/>
        </w:rPr>
        <w:t>Again this seem reasonable, though so vague that it may amount to nothing at all.</w:t>
      </w:r>
    </w:p>
    <w:p w:rsidR="002005DE" w:rsidRDefault="00F4371A" w:rsidP="00ED52A3">
      <w:pPr>
        <w:pStyle w:val="BodyText"/>
        <w:rPr>
          <w:rFonts w:asciiTheme="minorHAnsi" w:hAnsiTheme="minorHAnsi" w:cstheme="minorHAnsi"/>
          <w:b/>
          <w:sz w:val="20"/>
        </w:rPr>
      </w:pPr>
      <w:r>
        <w:rPr>
          <w:rFonts w:asciiTheme="minorHAnsi" w:hAnsiTheme="minorHAnsi" w:cstheme="minorHAnsi"/>
          <w:b/>
          <w:sz w:val="20"/>
        </w:rPr>
        <w:t>8. Would a unified access model incorporate transparency requirements?</w:t>
      </w:r>
      <w:r w:rsidR="002005DE">
        <w:rPr>
          <w:rFonts w:asciiTheme="minorHAnsi" w:hAnsiTheme="minorHAnsi" w:cstheme="minorHAnsi"/>
          <w:b/>
          <w:sz w:val="20"/>
        </w:rPr>
        <w:t xml:space="preserve"> </w:t>
      </w:r>
    </w:p>
    <w:p w:rsidR="002005DE" w:rsidRDefault="002005DE" w:rsidP="00ED52A3">
      <w:pPr>
        <w:pStyle w:val="BodyText"/>
        <w:rPr>
          <w:rFonts w:asciiTheme="minorHAnsi" w:hAnsiTheme="minorHAnsi" w:cstheme="minorHAnsi"/>
          <w:sz w:val="20"/>
        </w:rPr>
      </w:pPr>
      <w:r w:rsidRPr="002005DE">
        <w:rPr>
          <w:rFonts w:asciiTheme="minorHAnsi" w:hAnsiTheme="minorHAnsi" w:cstheme="minorHAnsi"/>
          <w:sz w:val="20"/>
        </w:rPr>
        <w:t xml:space="preserve">The Framework does contemplate transparency requirements, in particular logs of all access requests, unless logging a request </w:t>
      </w:r>
      <w:r>
        <w:rPr>
          <w:rFonts w:asciiTheme="minorHAnsi" w:hAnsiTheme="minorHAnsi" w:cstheme="minorHAnsi"/>
          <w:sz w:val="20"/>
        </w:rPr>
        <w:t>is</w:t>
      </w:r>
      <w:r w:rsidRPr="002005DE">
        <w:rPr>
          <w:rFonts w:asciiTheme="minorHAnsi" w:hAnsiTheme="minorHAnsi" w:cstheme="minorHAnsi"/>
          <w:sz w:val="20"/>
        </w:rPr>
        <w:t xml:space="preserve"> prohibited by applicable law.  </w:t>
      </w:r>
      <w:r>
        <w:rPr>
          <w:rFonts w:asciiTheme="minorHAnsi" w:hAnsiTheme="minorHAnsi" w:cstheme="minorHAnsi"/>
          <w:sz w:val="20"/>
        </w:rPr>
        <w:t>These logs would be available to ICANN org for specified purposes, and to data subjects on request (obviously, only with regard to their own data).  ICANN notes that the logs will contain personal data of individual users who requested access, and the rights of these data subjects also need to be protected.</w:t>
      </w:r>
    </w:p>
    <w:p w:rsidR="00C2046E" w:rsidRPr="00C2046E" w:rsidRDefault="00C2046E" w:rsidP="00ED52A3">
      <w:pPr>
        <w:pStyle w:val="BodyText"/>
        <w:rPr>
          <w:rFonts w:asciiTheme="minorHAnsi" w:hAnsiTheme="minorHAnsi" w:cstheme="minorHAnsi"/>
          <w:i/>
          <w:sz w:val="20"/>
        </w:rPr>
      </w:pPr>
      <w:r>
        <w:rPr>
          <w:rFonts w:asciiTheme="minorHAnsi" w:hAnsiTheme="minorHAnsi" w:cstheme="minorHAnsi"/>
          <w:i/>
          <w:sz w:val="20"/>
        </w:rPr>
        <w:t xml:space="preserve">The ALAC supports appropriate transparency requirements. It goes without saying that data subject rights must be treated in a GDPR-compliant manner.  However, there could be instances where it would be inappropriate to provide log access (e.g., threat investigations) where the data subject is a </w:t>
      </w:r>
      <w:bookmarkStart w:id="0" w:name="_GoBack"/>
      <w:bookmarkEnd w:id="0"/>
      <w:r w:rsidR="000C6852">
        <w:rPr>
          <w:rFonts w:asciiTheme="minorHAnsi" w:hAnsiTheme="minorHAnsi" w:cstheme="minorHAnsi"/>
          <w:i/>
          <w:sz w:val="20"/>
        </w:rPr>
        <w:t>malefactor</w:t>
      </w:r>
      <w:r>
        <w:rPr>
          <w:rFonts w:asciiTheme="minorHAnsi" w:hAnsiTheme="minorHAnsi" w:cstheme="minorHAnsi"/>
          <w:i/>
          <w:sz w:val="20"/>
        </w:rPr>
        <w:t>.  This requires further consideration.</w:t>
      </w:r>
    </w:p>
    <w:p w:rsidR="00684CCD" w:rsidRDefault="00F4371A" w:rsidP="00ED52A3">
      <w:pPr>
        <w:pStyle w:val="BodyText"/>
        <w:rPr>
          <w:rFonts w:asciiTheme="minorHAnsi" w:hAnsiTheme="minorHAnsi" w:cstheme="minorHAnsi"/>
          <w:b/>
          <w:sz w:val="20"/>
        </w:rPr>
      </w:pPr>
      <w:r>
        <w:rPr>
          <w:rFonts w:asciiTheme="minorHAnsi" w:hAnsiTheme="minorHAnsi" w:cstheme="minorHAnsi"/>
          <w:b/>
          <w:sz w:val="20"/>
        </w:rPr>
        <w:t>9. Would there be any fees as part of a unified access model?</w:t>
      </w:r>
    </w:p>
    <w:p w:rsidR="00C2046E" w:rsidRDefault="00C2046E" w:rsidP="00ED52A3">
      <w:pPr>
        <w:pStyle w:val="BodyText"/>
        <w:rPr>
          <w:rFonts w:asciiTheme="minorHAnsi" w:hAnsiTheme="minorHAnsi" w:cstheme="minorHAnsi"/>
          <w:sz w:val="20"/>
        </w:rPr>
      </w:pPr>
      <w:r>
        <w:rPr>
          <w:rFonts w:asciiTheme="minorHAnsi" w:hAnsiTheme="minorHAnsi" w:cstheme="minorHAnsi"/>
          <w:sz w:val="20"/>
        </w:rPr>
        <w:t xml:space="preserve">The Framework does not take a position; rather, it lists options that have been suggested by comments from various parts of the community.  These include fees to Authenticating Bodies, as well as fees paid to registries and registrars in exchange for access.  Other comments stated </w:t>
      </w:r>
      <w:r w:rsidR="00DE7915">
        <w:rPr>
          <w:rFonts w:asciiTheme="minorHAnsi" w:hAnsiTheme="minorHAnsi" w:cstheme="minorHAnsi"/>
          <w:sz w:val="20"/>
        </w:rPr>
        <w:t>that no fees should be charged, since WHOIS is a critical resource provided in the public interest.</w:t>
      </w:r>
    </w:p>
    <w:p w:rsidR="00DE7915" w:rsidRPr="00DE7915" w:rsidRDefault="00DE7915" w:rsidP="00ED52A3">
      <w:pPr>
        <w:pStyle w:val="BodyText"/>
        <w:rPr>
          <w:rFonts w:asciiTheme="minorHAnsi" w:hAnsiTheme="minorHAnsi" w:cstheme="minorHAnsi"/>
          <w:i/>
          <w:sz w:val="20"/>
        </w:rPr>
      </w:pPr>
      <w:r>
        <w:rPr>
          <w:rFonts w:asciiTheme="minorHAnsi" w:hAnsiTheme="minorHAnsi" w:cstheme="minorHAnsi"/>
          <w:i/>
          <w:sz w:val="20"/>
        </w:rPr>
        <w:t>From an end-user perspective, it is clearly desirable that no fees be charged, since WHOIS access will often be sought by end-users.  Even where an end-user is not the “user,” the WHOIS access is likely to benefit end-users directly or indirectly.</w:t>
      </w:r>
    </w:p>
    <w:p w:rsidR="00684CCD" w:rsidRDefault="00F4371A" w:rsidP="00ED52A3">
      <w:pPr>
        <w:pStyle w:val="BodyText"/>
        <w:rPr>
          <w:rFonts w:asciiTheme="minorHAnsi" w:hAnsiTheme="minorHAnsi" w:cstheme="minorHAnsi"/>
          <w:b/>
          <w:sz w:val="20"/>
        </w:rPr>
      </w:pPr>
      <w:r>
        <w:rPr>
          <w:rFonts w:asciiTheme="minorHAnsi" w:hAnsiTheme="minorHAnsi" w:cstheme="minorHAnsi"/>
          <w:b/>
          <w:sz w:val="20"/>
        </w:rPr>
        <w:t>10. Would there be a process to review the effectiveness of a unified access model?</w:t>
      </w:r>
    </w:p>
    <w:p w:rsidR="00DE7915" w:rsidRDefault="00DE7915" w:rsidP="00ED52A3">
      <w:pPr>
        <w:pStyle w:val="BodyText"/>
        <w:rPr>
          <w:rFonts w:asciiTheme="minorHAnsi" w:hAnsiTheme="minorHAnsi" w:cstheme="minorHAnsi"/>
          <w:sz w:val="20"/>
        </w:rPr>
      </w:pPr>
      <w:r>
        <w:rPr>
          <w:rFonts w:asciiTheme="minorHAnsi" w:hAnsiTheme="minorHAnsi" w:cstheme="minorHAnsi"/>
          <w:sz w:val="20"/>
        </w:rPr>
        <w:t>The UAM would be reviewed at regular intervals.</w:t>
      </w:r>
    </w:p>
    <w:p w:rsidR="00DE7915" w:rsidRPr="00DE7915" w:rsidRDefault="00DE7915" w:rsidP="00ED52A3">
      <w:pPr>
        <w:pStyle w:val="BodyText"/>
        <w:rPr>
          <w:rFonts w:asciiTheme="minorHAnsi" w:hAnsiTheme="minorHAnsi" w:cstheme="minorHAnsi"/>
          <w:i/>
          <w:sz w:val="20"/>
        </w:rPr>
      </w:pPr>
      <w:r>
        <w:rPr>
          <w:rFonts w:asciiTheme="minorHAnsi" w:hAnsiTheme="minorHAnsi" w:cstheme="minorHAnsi"/>
          <w:i/>
          <w:sz w:val="20"/>
        </w:rPr>
        <w:t>The ALAC supports the concept of regular review.  However, the Framework does not specify who will conduct the review</w:t>
      </w:r>
      <w:r w:rsidR="00657DC9">
        <w:rPr>
          <w:rFonts w:asciiTheme="minorHAnsi" w:hAnsiTheme="minorHAnsi" w:cstheme="minorHAnsi"/>
          <w:i/>
          <w:sz w:val="20"/>
        </w:rPr>
        <w:t>, and the Devil is in the details.  The ALAC suggests that a combination of multistakeholder reviews and independent third party reviews would be appropriate.  On the other hand, “self-review” by contracted parties and ICANN org, without further input, would not be.</w:t>
      </w:r>
    </w:p>
    <w:p w:rsidR="00B45ECF" w:rsidRPr="00B45ECF" w:rsidRDefault="00F4371A" w:rsidP="00ED52A3">
      <w:pPr>
        <w:pStyle w:val="BodyText"/>
        <w:rPr>
          <w:rFonts w:asciiTheme="minorHAnsi" w:hAnsiTheme="minorHAnsi" w:cstheme="minorHAnsi"/>
          <w:b/>
          <w:sz w:val="22"/>
          <w:szCs w:val="22"/>
          <w:u w:val="single"/>
        </w:rPr>
      </w:pPr>
      <w:r w:rsidRPr="00B45ECF">
        <w:rPr>
          <w:rFonts w:asciiTheme="minorHAnsi" w:hAnsiTheme="minorHAnsi" w:cstheme="minorHAnsi"/>
          <w:b/>
          <w:sz w:val="22"/>
          <w:szCs w:val="22"/>
          <w:u w:val="single"/>
        </w:rPr>
        <w:t>Technical Details</w:t>
      </w:r>
    </w:p>
    <w:p w:rsidR="00684CCD" w:rsidRDefault="00F4371A" w:rsidP="00ED52A3">
      <w:pPr>
        <w:pStyle w:val="BodyText"/>
        <w:rPr>
          <w:rFonts w:asciiTheme="minorHAnsi" w:hAnsiTheme="minorHAnsi" w:cstheme="minorHAnsi"/>
          <w:b/>
          <w:sz w:val="20"/>
        </w:rPr>
      </w:pPr>
      <w:r>
        <w:rPr>
          <w:rFonts w:asciiTheme="minorHAnsi" w:hAnsiTheme="minorHAnsi" w:cstheme="minorHAnsi"/>
          <w:b/>
          <w:sz w:val="20"/>
        </w:rPr>
        <w:t>11. Would there be a central repository of WHOIS data from which access would be granted to authenticated users?</w:t>
      </w:r>
    </w:p>
    <w:p w:rsidR="00722D84" w:rsidRPr="00722D84" w:rsidRDefault="00722D84" w:rsidP="00ED52A3">
      <w:pPr>
        <w:pStyle w:val="BodyText"/>
        <w:rPr>
          <w:rFonts w:asciiTheme="minorHAnsi" w:hAnsiTheme="minorHAnsi" w:cstheme="minorHAnsi"/>
          <w:sz w:val="20"/>
        </w:rPr>
      </w:pPr>
      <w:r>
        <w:rPr>
          <w:rFonts w:asciiTheme="minorHAnsi" w:hAnsiTheme="minorHAnsi" w:cstheme="minorHAnsi"/>
          <w:sz w:val="20"/>
        </w:rPr>
        <w:t xml:space="preserve">The Framework does not contemplate a central repository. It does recognize that some commenters have suggested a central repository, or at least a central portal.  The document recognizes that these could </w:t>
      </w:r>
      <w:r w:rsidR="000C6852">
        <w:rPr>
          <w:rFonts w:asciiTheme="minorHAnsi" w:hAnsiTheme="minorHAnsi" w:cstheme="minorHAnsi"/>
          <w:sz w:val="20"/>
        </w:rPr>
        <w:t>raise</w:t>
      </w:r>
      <w:r>
        <w:rPr>
          <w:rFonts w:asciiTheme="minorHAnsi" w:hAnsiTheme="minorHAnsi" w:cstheme="minorHAnsi"/>
          <w:sz w:val="20"/>
        </w:rPr>
        <w:t xml:space="preserve"> security and legal implications.</w:t>
      </w:r>
    </w:p>
    <w:p w:rsidR="00845074" w:rsidRPr="00BC5268" w:rsidRDefault="00722D84" w:rsidP="00ED52A3">
      <w:pPr>
        <w:pStyle w:val="BodyText"/>
        <w:rPr>
          <w:rFonts w:asciiTheme="minorHAnsi" w:hAnsiTheme="minorHAnsi" w:cstheme="minorHAnsi"/>
          <w:i/>
          <w:sz w:val="20"/>
        </w:rPr>
      </w:pPr>
      <w:r>
        <w:rPr>
          <w:rFonts w:asciiTheme="minorHAnsi" w:hAnsiTheme="minorHAnsi" w:cstheme="minorHAnsi"/>
          <w:i/>
          <w:sz w:val="20"/>
        </w:rPr>
        <w:t xml:space="preserve">The ALAC believes that it is worthwhile to explore these options in the long run.  The ALAC notes that this would be consistent with the concept of “Thick WHOIS.” However, these options would require significant study, paradigm shifts, technical development, legal review, security efforts, etc.  </w:t>
      </w:r>
      <w:r w:rsidR="00F4371A" w:rsidRPr="00BC5268">
        <w:rPr>
          <w:rFonts w:asciiTheme="minorHAnsi" w:hAnsiTheme="minorHAnsi" w:cstheme="minorHAnsi"/>
          <w:i/>
          <w:sz w:val="20"/>
        </w:rPr>
        <w:t xml:space="preserve">The </w:t>
      </w:r>
      <w:r>
        <w:rPr>
          <w:rFonts w:asciiTheme="minorHAnsi" w:hAnsiTheme="minorHAnsi" w:cstheme="minorHAnsi"/>
          <w:i/>
          <w:sz w:val="20"/>
        </w:rPr>
        <w:t>advent of IDNs further complicates matters, with</w:t>
      </w:r>
      <w:r w:rsidR="00F4371A" w:rsidRPr="00BC5268">
        <w:rPr>
          <w:rFonts w:asciiTheme="minorHAnsi" w:hAnsiTheme="minorHAnsi" w:cstheme="minorHAnsi"/>
          <w:i/>
          <w:sz w:val="20"/>
        </w:rPr>
        <w:t xml:space="preserve"> the </w:t>
      </w:r>
      <w:r>
        <w:rPr>
          <w:rFonts w:asciiTheme="minorHAnsi" w:hAnsiTheme="minorHAnsi" w:cstheme="minorHAnsi"/>
          <w:i/>
          <w:sz w:val="20"/>
        </w:rPr>
        <w:t xml:space="preserve">different </w:t>
      </w:r>
      <w:r w:rsidR="00F4371A" w:rsidRPr="00BC5268">
        <w:rPr>
          <w:rFonts w:asciiTheme="minorHAnsi" w:hAnsiTheme="minorHAnsi" w:cstheme="minorHAnsi"/>
          <w:i/>
          <w:sz w:val="20"/>
        </w:rPr>
        <w:t>languages</w:t>
      </w:r>
      <w:r>
        <w:rPr>
          <w:rFonts w:asciiTheme="minorHAnsi" w:hAnsiTheme="minorHAnsi" w:cstheme="minorHAnsi"/>
          <w:i/>
          <w:sz w:val="20"/>
        </w:rPr>
        <w:t xml:space="preserve"> and</w:t>
      </w:r>
      <w:r w:rsidR="00F4371A" w:rsidRPr="00BC5268">
        <w:rPr>
          <w:rFonts w:asciiTheme="minorHAnsi" w:hAnsiTheme="minorHAnsi" w:cstheme="minorHAnsi"/>
          <w:i/>
          <w:sz w:val="20"/>
        </w:rPr>
        <w:t xml:space="preserve"> scripts involved.</w:t>
      </w:r>
      <w:r>
        <w:rPr>
          <w:rFonts w:asciiTheme="minorHAnsi" w:hAnsiTheme="minorHAnsi" w:cstheme="minorHAnsi"/>
          <w:i/>
          <w:sz w:val="20"/>
        </w:rPr>
        <w:t xml:space="preserve">  Any efforts toward a central repository or portal should not delay the implementation of a unified access model.</w:t>
      </w:r>
    </w:p>
    <w:p w:rsidR="00684CCD" w:rsidRDefault="00F4371A" w:rsidP="00ED52A3">
      <w:pPr>
        <w:pStyle w:val="BodyText"/>
        <w:rPr>
          <w:rFonts w:asciiTheme="minorHAnsi" w:hAnsiTheme="minorHAnsi" w:cstheme="minorHAnsi"/>
          <w:b/>
          <w:sz w:val="20"/>
        </w:rPr>
      </w:pPr>
      <w:r>
        <w:rPr>
          <w:rFonts w:asciiTheme="minorHAnsi" w:hAnsiTheme="minorHAnsi" w:cstheme="minorHAnsi"/>
          <w:b/>
          <w:sz w:val="20"/>
        </w:rPr>
        <w:t>12. What technical method would be required to provide access to non-public WHOIS data?</w:t>
      </w:r>
    </w:p>
    <w:p w:rsidR="003920BB" w:rsidRDefault="005C7B0F" w:rsidP="00ED52A3">
      <w:pPr>
        <w:pStyle w:val="BodyText"/>
        <w:rPr>
          <w:rFonts w:asciiTheme="minorHAnsi" w:hAnsiTheme="minorHAnsi" w:cstheme="minorHAnsi"/>
          <w:sz w:val="20"/>
        </w:rPr>
      </w:pPr>
      <w:r>
        <w:rPr>
          <w:rFonts w:asciiTheme="minorHAnsi" w:hAnsiTheme="minorHAnsi" w:cstheme="minorHAnsi"/>
          <w:sz w:val="20"/>
        </w:rPr>
        <w:t xml:space="preserve">The Framework states that RDAP would be used. </w:t>
      </w:r>
    </w:p>
    <w:p w:rsidR="005C7B0F" w:rsidRPr="005C7B0F" w:rsidRDefault="005C7B0F" w:rsidP="00ED52A3">
      <w:pPr>
        <w:pStyle w:val="BodyText"/>
        <w:rPr>
          <w:rFonts w:asciiTheme="minorHAnsi" w:hAnsiTheme="minorHAnsi" w:cstheme="minorHAnsi"/>
          <w:i/>
          <w:sz w:val="20"/>
        </w:rPr>
      </w:pPr>
      <w:r>
        <w:rPr>
          <w:rFonts w:asciiTheme="minorHAnsi" w:hAnsiTheme="minorHAnsi" w:cstheme="minorHAnsi"/>
          <w:i/>
          <w:sz w:val="20"/>
        </w:rPr>
        <w:t>This is reasonable and appropriate – and long overdue.</w:t>
      </w:r>
    </w:p>
    <w:p w:rsidR="00B45ECF" w:rsidRDefault="00F4371A" w:rsidP="00ED52A3">
      <w:pPr>
        <w:pStyle w:val="BodyText"/>
        <w:rPr>
          <w:rFonts w:asciiTheme="minorHAnsi" w:hAnsiTheme="minorHAnsi" w:cstheme="minorHAnsi"/>
          <w:b/>
          <w:sz w:val="20"/>
        </w:rPr>
      </w:pPr>
      <w:r>
        <w:rPr>
          <w:rFonts w:asciiTheme="minorHAnsi" w:hAnsiTheme="minorHAnsi" w:cstheme="minorHAnsi"/>
          <w:b/>
          <w:sz w:val="20"/>
        </w:rPr>
        <w:t>13. What technical method would be used to authenticate users?</w:t>
      </w:r>
    </w:p>
    <w:p w:rsidR="005C7B0F" w:rsidRDefault="005C7B0F" w:rsidP="00ED52A3">
      <w:pPr>
        <w:pStyle w:val="BodyText"/>
        <w:rPr>
          <w:rFonts w:asciiTheme="minorHAnsi" w:hAnsiTheme="minorHAnsi" w:cstheme="minorHAnsi"/>
          <w:sz w:val="20"/>
        </w:rPr>
      </w:pPr>
      <w:r>
        <w:rPr>
          <w:rFonts w:asciiTheme="minorHAnsi" w:hAnsiTheme="minorHAnsi" w:cstheme="minorHAnsi"/>
          <w:sz w:val="20"/>
        </w:rPr>
        <w:t>The Framework calls for</w:t>
      </w:r>
      <w:r w:rsidR="001332AF">
        <w:rPr>
          <w:rFonts w:asciiTheme="minorHAnsi" w:hAnsiTheme="minorHAnsi" w:cstheme="minorHAnsi"/>
          <w:sz w:val="20"/>
        </w:rPr>
        <w:t xml:space="preserve"> “a system of credentials,” and notes that community models have also proposed a system of “credentials, tokens and/or certificates.</w:t>
      </w:r>
    </w:p>
    <w:p w:rsidR="001332AF" w:rsidRPr="001332AF" w:rsidRDefault="001332AF" w:rsidP="00ED52A3">
      <w:pPr>
        <w:pStyle w:val="BodyText"/>
        <w:rPr>
          <w:rFonts w:asciiTheme="minorHAnsi" w:hAnsiTheme="minorHAnsi" w:cstheme="minorHAnsi"/>
          <w:i/>
          <w:sz w:val="20"/>
        </w:rPr>
      </w:pPr>
      <w:r>
        <w:rPr>
          <w:rFonts w:asciiTheme="minorHAnsi" w:hAnsiTheme="minorHAnsi" w:cstheme="minorHAnsi"/>
          <w:i/>
          <w:sz w:val="20"/>
        </w:rPr>
        <w:t>Again, this seems reasonable and appropriate.  Of course, the devil is in the details, of which there are none.  As such, it is premature to judge whether this will work in practice.</w:t>
      </w:r>
    </w:p>
    <w:p w:rsidR="00B45ECF" w:rsidRDefault="00F4371A" w:rsidP="00ED52A3">
      <w:pPr>
        <w:pStyle w:val="BodyText"/>
        <w:rPr>
          <w:rFonts w:asciiTheme="minorHAnsi" w:hAnsiTheme="minorHAnsi" w:cstheme="minorHAnsi"/>
          <w:b/>
          <w:sz w:val="22"/>
          <w:szCs w:val="22"/>
          <w:u w:val="single"/>
        </w:rPr>
      </w:pPr>
      <w:r w:rsidRPr="00B45ECF">
        <w:rPr>
          <w:rFonts w:asciiTheme="minorHAnsi" w:hAnsiTheme="minorHAnsi" w:cstheme="minorHAnsi"/>
          <w:b/>
          <w:sz w:val="22"/>
          <w:szCs w:val="22"/>
          <w:u w:val="single"/>
        </w:rPr>
        <w:t>Terms of Use for Accessing Non-Public WHOIS data</w:t>
      </w:r>
    </w:p>
    <w:p w:rsidR="004B554D" w:rsidRDefault="00F4371A" w:rsidP="00F116C2">
      <w:pPr>
        <w:pStyle w:val="BodyText"/>
        <w:keepNext/>
        <w:rPr>
          <w:rFonts w:asciiTheme="minorHAnsi" w:hAnsiTheme="minorHAnsi" w:cstheme="minorHAnsi"/>
          <w:b/>
          <w:sz w:val="20"/>
        </w:rPr>
      </w:pPr>
      <w:r>
        <w:rPr>
          <w:rFonts w:asciiTheme="minorHAnsi" w:hAnsiTheme="minorHAnsi" w:cstheme="minorHAnsi"/>
          <w:b/>
          <w:sz w:val="20"/>
        </w:rPr>
        <w:t>14. What would be the role of Terms of Use in a unified access model?</w:t>
      </w:r>
    </w:p>
    <w:p w:rsidR="001332AF" w:rsidRDefault="001332AF" w:rsidP="00ED52A3">
      <w:pPr>
        <w:pStyle w:val="BodyText"/>
        <w:rPr>
          <w:rFonts w:asciiTheme="minorHAnsi" w:hAnsiTheme="minorHAnsi" w:cstheme="minorHAnsi"/>
          <w:sz w:val="20"/>
        </w:rPr>
      </w:pPr>
      <w:r>
        <w:rPr>
          <w:rFonts w:asciiTheme="minorHAnsi" w:hAnsiTheme="minorHAnsi" w:cstheme="minorHAnsi"/>
          <w:sz w:val="20"/>
        </w:rPr>
        <w:t>The document states that Terms of Use would provide a “framework for the use of non-public WHOIS data,” notably “appropriate limitations” on use, “proper procedures” for access, and “other safeguards and public policy considerations.”  The document goes on to state, “In general, the non-public WHOIS data must be used for the purposes [for which] it was provided, and it must not be forwarded to unauthorized third parties.</w:t>
      </w:r>
    </w:p>
    <w:p w:rsidR="007924B1" w:rsidRDefault="001332AF" w:rsidP="00ED52A3">
      <w:pPr>
        <w:pStyle w:val="BodyText"/>
        <w:rPr>
          <w:rFonts w:asciiTheme="minorHAnsi" w:hAnsiTheme="minorHAnsi" w:cstheme="minorHAnsi"/>
          <w:i/>
          <w:sz w:val="20"/>
        </w:rPr>
      </w:pPr>
      <w:r>
        <w:rPr>
          <w:rFonts w:asciiTheme="minorHAnsi" w:hAnsiTheme="minorHAnsi" w:cstheme="minorHAnsi"/>
          <w:i/>
          <w:sz w:val="20"/>
        </w:rPr>
        <w:t xml:space="preserve">The use of Terms of Use in this context is unexceptional.  </w:t>
      </w:r>
    </w:p>
    <w:p w:rsidR="00EC7FEC" w:rsidRDefault="00F54C09" w:rsidP="00ED52A3">
      <w:pPr>
        <w:pStyle w:val="BodyText"/>
        <w:rPr>
          <w:rFonts w:asciiTheme="minorHAnsi" w:hAnsiTheme="minorHAnsi" w:cstheme="minorHAnsi"/>
          <w:i/>
          <w:color w:val="333333"/>
          <w:sz w:val="20"/>
          <w:shd w:val="clear" w:color="auto" w:fill="FFFFFF"/>
        </w:rPr>
      </w:pPr>
      <w:r>
        <w:rPr>
          <w:rFonts w:asciiTheme="minorHAnsi" w:hAnsiTheme="minorHAnsi" w:cstheme="minorHAnsi"/>
          <w:i/>
          <w:sz w:val="20"/>
        </w:rPr>
        <w:t>T</w:t>
      </w:r>
      <w:r w:rsidR="007924B1">
        <w:rPr>
          <w:rFonts w:asciiTheme="minorHAnsi" w:hAnsiTheme="minorHAnsi" w:cstheme="minorHAnsi"/>
          <w:i/>
          <w:sz w:val="20"/>
        </w:rPr>
        <w:t xml:space="preserve">he statement that WHOIS data “must be used for the purposes [for which] it was provided” </w:t>
      </w:r>
      <w:r>
        <w:rPr>
          <w:rFonts w:asciiTheme="minorHAnsi" w:hAnsiTheme="minorHAnsi" w:cstheme="minorHAnsi"/>
          <w:i/>
          <w:sz w:val="20"/>
        </w:rPr>
        <w:t xml:space="preserve">points to a potential “Achilles heel” for any plan for access – it depends a great deal on the purposes </w:t>
      </w:r>
      <w:r w:rsidR="00543270">
        <w:rPr>
          <w:rFonts w:asciiTheme="minorHAnsi" w:hAnsiTheme="minorHAnsi" w:cstheme="minorHAnsi"/>
          <w:i/>
          <w:sz w:val="20"/>
        </w:rPr>
        <w:t>specified at the time of collection</w:t>
      </w:r>
      <w:r w:rsidR="000C6852">
        <w:rPr>
          <w:rFonts w:asciiTheme="minorHAnsi" w:hAnsiTheme="minorHAnsi" w:cstheme="minorHAnsi"/>
          <w:i/>
          <w:sz w:val="20"/>
        </w:rPr>
        <w:t>...</w:t>
      </w:r>
      <w:r>
        <w:rPr>
          <w:rFonts w:asciiTheme="minorHAnsi" w:hAnsiTheme="minorHAnsi" w:cstheme="minorHAnsi"/>
          <w:i/>
          <w:sz w:val="20"/>
        </w:rPr>
        <w:t xml:space="preserve">  Data collected for use in WHOIS should thus be accompanied by an extensive list of the purposes for which WHOIS data will be accessed.</w:t>
      </w:r>
      <w:r w:rsidR="007924B1">
        <w:rPr>
          <w:rFonts w:asciiTheme="minorHAnsi" w:hAnsiTheme="minorHAnsi" w:cstheme="minorHAnsi"/>
          <w:i/>
          <w:sz w:val="20"/>
        </w:rPr>
        <w:t xml:space="preserve"> </w:t>
      </w:r>
      <w:r w:rsidR="008E58FA">
        <w:rPr>
          <w:rFonts w:asciiTheme="minorHAnsi" w:hAnsiTheme="minorHAnsi" w:cstheme="minorHAnsi"/>
          <w:i/>
          <w:sz w:val="20"/>
        </w:rPr>
        <w:t xml:space="preserve"> </w:t>
      </w:r>
      <w:r w:rsidR="00887F36">
        <w:rPr>
          <w:rFonts w:asciiTheme="minorHAnsi" w:hAnsiTheme="minorHAnsi" w:cstheme="minorHAnsi"/>
          <w:i/>
          <w:sz w:val="20"/>
        </w:rPr>
        <w:t xml:space="preserve">However, the statement -- that the data must be used “for the purposes it was provided” for -- goes further than GDPR.  </w:t>
      </w:r>
      <w:r w:rsidR="007924B1">
        <w:rPr>
          <w:rFonts w:asciiTheme="minorHAnsi" w:hAnsiTheme="minorHAnsi" w:cstheme="minorHAnsi"/>
          <w:i/>
          <w:sz w:val="20"/>
        </w:rPr>
        <w:t xml:space="preserve">.  </w:t>
      </w:r>
      <w:r w:rsidR="00FD40F4">
        <w:rPr>
          <w:rFonts w:asciiTheme="minorHAnsi" w:hAnsiTheme="minorHAnsi" w:cstheme="minorHAnsi"/>
          <w:i/>
          <w:sz w:val="20"/>
        </w:rPr>
        <w:t xml:space="preserve">GDPR Art. 5(1)(b) states that personal data </w:t>
      </w:r>
      <w:r w:rsidR="00887F36">
        <w:rPr>
          <w:rFonts w:asciiTheme="minorHAnsi" w:hAnsiTheme="minorHAnsi" w:cstheme="minorHAnsi"/>
          <w:i/>
          <w:color w:val="333333"/>
          <w:sz w:val="20"/>
          <w:shd w:val="clear" w:color="auto" w:fill="FFFFFF"/>
        </w:rPr>
        <w:t>should “no</w:t>
      </w:r>
      <w:r w:rsidR="00FD40F4" w:rsidRPr="00FD40F4">
        <w:rPr>
          <w:rFonts w:asciiTheme="minorHAnsi" w:hAnsiTheme="minorHAnsi" w:cstheme="minorHAnsi"/>
          <w:i/>
          <w:color w:val="333333"/>
          <w:sz w:val="20"/>
          <w:shd w:val="clear" w:color="auto" w:fill="FFFFFF"/>
        </w:rPr>
        <w:t>t</w:t>
      </w:r>
      <w:r w:rsidR="00874A9A">
        <w:rPr>
          <w:rFonts w:asciiTheme="minorHAnsi" w:hAnsiTheme="minorHAnsi" w:cstheme="minorHAnsi"/>
          <w:i/>
          <w:color w:val="333333"/>
          <w:sz w:val="20"/>
          <w:shd w:val="clear" w:color="auto" w:fill="FFFFFF"/>
        </w:rPr>
        <w:t xml:space="preserve"> [be]</w:t>
      </w:r>
      <w:r w:rsidR="00FD40F4" w:rsidRPr="00FD40F4">
        <w:rPr>
          <w:rFonts w:asciiTheme="minorHAnsi" w:hAnsiTheme="minorHAnsi" w:cstheme="minorHAnsi"/>
          <w:i/>
          <w:color w:val="333333"/>
          <w:sz w:val="20"/>
          <w:shd w:val="clear" w:color="auto" w:fill="FFFFFF"/>
        </w:rPr>
        <w:t xml:space="preserve"> further processed in a manner that is </w:t>
      </w:r>
      <w:r w:rsidR="00FD40F4" w:rsidRPr="00887F36">
        <w:rPr>
          <w:rFonts w:asciiTheme="minorHAnsi" w:hAnsiTheme="minorHAnsi" w:cstheme="minorHAnsi"/>
          <w:i/>
          <w:color w:val="333333"/>
          <w:sz w:val="20"/>
          <w:u w:val="single"/>
          <w:shd w:val="clear" w:color="auto" w:fill="FFFFFF"/>
        </w:rPr>
        <w:t>incompatible</w:t>
      </w:r>
      <w:r w:rsidR="00FD40F4" w:rsidRPr="00FD40F4">
        <w:rPr>
          <w:rFonts w:asciiTheme="minorHAnsi" w:hAnsiTheme="minorHAnsi" w:cstheme="minorHAnsi"/>
          <w:i/>
          <w:color w:val="333333"/>
          <w:sz w:val="20"/>
          <w:shd w:val="clear" w:color="auto" w:fill="FFFFFF"/>
        </w:rPr>
        <w:t xml:space="preserve"> with</w:t>
      </w:r>
      <w:r w:rsidR="00874A9A">
        <w:rPr>
          <w:rFonts w:asciiTheme="minorHAnsi" w:hAnsiTheme="minorHAnsi" w:cstheme="minorHAnsi"/>
          <w:i/>
          <w:color w:val="333333"/>
          <w:sz w:val="20"/>
          <w:shd w:val="clear" w:color="auto" w:fill="FFFFFF"/>
        </w:rPr>
        <w:t>” the purposes of collection.</w:t>
      </w:r>
      <w:r w:rsidR="00FD40F4">
        <w:rPr>
          <w:rFonts w:asciiTheme="minorHAnsi" w:hAnsiTheme="minorHAnsi" w:cstheme="minorHAnsi"/>
          <w:i/>
          <w:color w:val="333333"/>
          <w:sz w:val="20"/>
          <w:shd w:val="clear" w:color="auto" w:fill="FFFFFF"/>
        </w:rPr>
        <w:t xml:space="preserve">  </w:t>
      </w:r>
      <w:r w:rsidR="00887F36">
        <w:rPr>
          <w:rFonts w:asciiTheme="minorHAnsi" w:hAnsiTheme="minorHAnsi" w:cstheme="minorHAnsi"/>
          <w:i/>
          <w:color w:val="333333"/>
          <w:sz w:val="20"/>
          <w:shd w:val="clear" w:color="auto" w:fill="FFFFFF"/>
        </w:rPr>
        <w:t xml:space="preserve">Similarly, </w:t>
      </w:r>
      <w:r w:rsidR="007924B1">
        <w:rPr>
          <w:rFonts w:asciiTheme="minorHAnsi" w:hAnsiTheme="minorHAnsi" w:cstheme="minorHAnsi"/>
          <w:i/>
          <w:color w:val="333333"/>
          <w:sz w:val="20"/>
          <w:shd w:val="clear" w:color="auto" w:fill="FFFFFF"/>
        </w:rPr>
        <w:t xml:space="preserve">Recital 47 states </w:t>
      </w:r>
      <w:r w:rsidR="00874A9A">
        <w:rPr>
          <w:rFonts w:asciiTheme="minorHAnsi" w:hAnsiTheme="minorHAnsi" w:cstheme="minorHAnsi"/>
          <w:i/>
          <w:color w:val="333333"/>
          <w:sz w:val="20"/>
          <w:shd w:val="clear" w:color="auto" w:fill="FFFFFF"/>
        </w:rPr>
        <w:t>“</w:t>
      </w:r>
      <w:r w:rsidR="007924B1" w:rsidRPr="007924B1">
        <w:rPr>
          <w:rFonts w:asciiTheme="minorHAnsi" w:hAnsiTheme="minorHAnsi" w:cstheme="minorHAnsi"/>
          <w:i/>
          <w:color w:val="333333"/>
          <w:sz w:val="20"/>
          <w:shd w:val="clear" w:color="auto" w:fill="FFFFFF"/>
        </w:rPr>
        <w:t xml:space="preserve">whether a data subject can </w:t>
      </w:r>
      <w:r w:rsidR="007924B1" w:rsidRPr="00543270">
        <w:rPr>
          <w:rFonts w:asciiTheme="minorHAnsi" w:hAnsiTheme="minorHAnsi" w:cstheme="minorHAnsi"/>
          <w:i/>
          <w:color w:val="333333"/>
          <w:sz w:val="20"/>
          <w:u w:val="single"/>
          <w:shd w:val="clear" w:color="auto" w:fill="FFFFFF"/>
        </w:rPr>
        <w:t>reasonably expect</w:t>
      </w:r>
      <w:r w:rsidR="007924B1" w:rsidRPr="007924B1">
        <w:rPr>
          <w:rFonts w:asciiTheme="minorHAnsi" w:hAnsiTheme="minorHAnsi" w:cstheme="minorHAnsi"/>
          <w:i/>
          <w:color w:val="333333"/>
          <w:sz w:val="20"/>
          <w:shd w:val="clear" w:color="auto" w:fill="FFFFFF"/>
        </w:rPr>
        <w:t xml:space="preserve"> at the time and in the context of the collection of the personal data that processing fo</w:t>
      </w:r>
      <w:r w:rsidR="007924B1">
        <w:rPr>
          <w:rFonts w:asciiTheme="minorHAnsi" w:hAnsiTheme="minorHAnsi" w:cstheme="minorHAnsi"/>
          <w:i/>
          <w:color w:val="333333"/>
          <w:sz w:val="20"/>
          <w:shd w:val="clear" w:color="auto" w:fill="FFFFFF"/>
        </w:rPr>
        <w:t>r that purpose may take place</w:t>
      </w:r>
      <w:r w:rsidR="00874A9A">
        <w:rPr>
          <w:rFonts w:asciiTheme="minorHAnsi" w:hAnsiTheme="minorHAnsi" w:cstheme="minorHAnsi"/>
          <w:i/>
          <w:color w:val="333333"/>
          <w:sz w:val="20"/>
          <w:shd w:val="clear" w:color="auto" w:fill="FFFFFF"/>
        </w:rPr>
        <w:t>”</w:t>
      </w:r>
      <w:r w:rsidR="00543270">
        <w:rPr>
          <w:rFonts w:asciiTheme="minorHAnsi" w:hAnsiTheme="minorHAnsi" w:cstheme="minorHAnsi"/>
          <w:i/>
          <w:color w:val="333333"/>
          <w:sz w:val="20"/>
          <w:shd w:val="clear" w:color="auto" w:fill="FFFFFF"/>
        </w:rPr>
        <w:t xml:space="preserve"> is an important aspect of a “legitimate interest” analysis.  Thus, the list of purposes for collection must embrace the legitimate purposes for access, but need not be exhaustive.  The proper test is whether a purpose for access is </w:t>
      </w:r>
      <w:r w:rsidR="00EC7FEC">
        <w:rPr>
          <w:rFonts w:asciiTheme="minorHAnsi" w:hAnsiTheme="minorHAnsi" w:cstheme="minorHAnsi"/>
          <w:i/>
          <w:color w:val="333333"/>
          <w:sz w:val="20"/>
          <w:shd w:val="clear" w:color="auto" w:fill="FFFFFF"/>
        </w:rPr>
        <w:t>“</w:t>
      </w:r>
      <w:r w:rsidR="00543270">
        <w:rPr>
          <w:rFonts w:asciiTheme="minorHAnsi" w:hAnsiTheme="minorHAnsi" w:cstheme="minorHAnsi"/>
          <w:i/>
          <w:color w:val="333333"/>
          <w:sz w:val="20"/>
          <w:shd w:val="clear" w:color="auto" w:fill="FFFFFF"/>
        </w:rPr>
        <w:t>not incompatible” with the purposes stat</w:t>
      </w:r>
      <w:r w:rsidR="00EC7FEC">
        <w:rPr>
          <w:rFonts w:asciiTheme="minorHAnsi" w:hAnsiTheme="minorHAnsi" w:cstheme="minorHAnsi"/>
          <w:i/>
          <w:color w:val="333333"/>
          <w:sz w:val="20"/>
          <w:shd w:val="clear" w:color="auto" w:fill="FFFFFF"/>
        </w:rPr>
        <w:t>ed at the time of collection and could have been “reasonably expected” by the data subject at the time of collection.  This is not hugely different, but it points to a degree of flexibility in the GDPR that is absent in the Framework statement.</w:t>
      </w:r>
    </w:p>
    <w:p w:rsidR="001332AF" w:rsidRPr="00FD40F4" w:rsidRDefault="00EC7FEC" w:rsidP="00ED52A3">
      <w:pPr>
        <w:pStyle w:val="BodyText"/>
        <w:rPr>
          <w:rFonts w:asciiTheme="minorHAnsi" w:hAnsiTheme="minorHAnsi" w:cstheme="minorHAnsi"/>
          <w:i/>
          <w:sz w:val="20"/>
        </w:rPr>
      </w:pPr>
      <w:r>
        <w:rPr>
          <w:rFonts w:asciiTheme="minorHAnsi" w:hAnsiTheme="minorHAnsi" w:cstheme="minorHAnsi"/>
          <w:i/>
          <w:color w:val="333333"/>
          <w:sz w:val="20"/>
          <w:shd w:val="clear" w:color="auto" w:fill="FFFFFF"/>
        </w:rPr>
        <w:t>The statement that WHOIS data “must not forwarded to unauthorized third parties” raises a question that is not answered in this Framework – who is an “unauthorized third party”?  This could be narrowly construed so that literally only the “authenticated user” can receive and view the data.  This would be an absurd result.  Many (if not most) types of access will require that the data be shared with other parties who should be considered “authorized” for access to be meaningful.  For example, an attorney may be accessing the data on behalf of a client; the client must be considered an “authorized party.”  Similarly, where data is being accessed for use in a UDRP proceeding, it must be shared with the UDRP provider.</w:t>
      </w:r>
      <w:r w:rsidR="00834530">
        <w:rPr>
          <w:rFonts w:asciiTheme="minorHAnsi" w:hAnsiTheme="minorHAnsi" w:cstheme="minorHAnsi"/>
          <w:i/>
          <w:color w:val="333333"/>
          <w:sz w:val="20"/>
          <w:shd w:val="clear" w:color="auto" w:fill="FFFFFF"/>
        </w:rPr>
        <w:t xml:space="preserve">  These types of access should be “reasonably expected” and are not “incompatible” with the underlying purpose.  ICANN needs to clarify that those involved in the purpose for which access was sought will be considered “authorized persons.”  Of course, it should go no further than that; personal data should not be retained for future use or to aggregate a database or for any other new purpose.</w:t>
      </w:r>
    </w:p>
    <w:p w:rsidR="004B554D" w:rsidRDefault="00F4371A" w:rsidP="00767022">
      <w:pPr>
        <w:pStyle w:val="BodyText"/>
        <w:tabs>
          <w:tab w:val="left" w:pos="5760"/>
        </w:tabs>
        <w:rPr>
          <w:rFonts w:asciiTheme="minorHAnsi" w:hAnsiTheme="minorHAnsi" w:cstheme="minorHAnsi"/>
          <w:b/>
          <w:sz w:val="20"/>
        </w:rPr>
      </w:pPr>
      <w:r>
        <w:rPr>
          <w:rFonts w:asciiTheme="minorHAnsi" w:hAnsiTheme="minorHAnsi" w:cstheme="minorHAnsi"/>
          <w:b/>
          <w:sz w:val="20"/>
        </w:rPr>
        <w:t>15. Would there be multiple Terms of Use?</w:t>
      </w:r>
    </w:p>
    <w:p w:rsidR="00834530" w:rsidRDefault="00834530" w:rsidP="00767022">
      <w:pPr>
        <w:pStyle w:val="BodyText"/>
        <w:tabs>
          <w:tab w:val="left" w:pos="5760"/>
        </w:tabs>
        <w:rPr>
          <w:rFonts w:asciiTheme="minorHAnsi" w:hAnsiTheme="minorHAnsi" w:cstheme="minorHAnsi"/>
          <w:sz w:val="20"/>
        </w:rPr>
      </w:pPr>
      <w:r>
        <w:rPr>
          <w:rFonts w:asciiTheme="minorHAnsi" w:hAnsiTheme="minorHAnsi" w:cstheme="minorHAnsi"/>
          <w:sz w:val="20"/>
        </w:rPr>
        <w:t>The Framework contemplates Terms of Use that would have some common terms and some terms that are specific to a particular Eligible User Group.</w:t>
      </w:r>
    </w:p>
    <w:p w:rsidR="00834530" w:rsidRDefault="00834530" w:rsidP="00767022">
      <w:pPr>
        <w:pStyle w:val="BodyText"/>
        <w:tabs>
          <w:tab w:val="left" w:pos="5760"/>
        </w:tabs>
        <w:rPr>
          <w:rFonts w:asciiTheme="minorHAnsi" w:hAnsiTheme="minorHAnsi" w:cstheme="minorHAnsi"/>
          <w:i/>
          <w:sz w:val="20"/>
        </w:rPr>
      </w:pPr>
      <w:r>
        <w:rPr>
          <w:rFonts w:asciiTheme="minorHAnsi" w:hAnsiTheme="minorHAnsi" w:cstheme="minorHAnsi"/>
          <w:i/>
          <w:sz w:val="20"/>
        </w:rPr>
        <w:t>This is, again, reasonable and appropriate – as long as there is sufficient multistakeholder involvement in and oversight of the drafting process, to avoid self-serving terms drafted by and for a particular Eligible User Group</w:t>
      </w:r>
      <w:r w:rsidR="000751E8">
        <w:rPr>
          <w:rFonts w:asciiTheme="minorHAnsi" w:hAnsiTheme="minorHAnsi" w:cstheme="minorHAnsi"/>
          <w:i/>
          <w:sz w:val="20"/>
        </w:rPr>
        <w:t xml:space="preserve"> (or by an Authenticating Body allied with a User Group)</w:t>
      </w:r>
      <w:r>
        <w:rPr>
          <w:rFonts w:asciiTheme="minorHAnsi" w:hAnsiTheme="minorHAnsi" w:cstheme="minorHAnsi"/>
          <w:i/>
          <w:sz w:val="20"/>
        </w:rPr>
        <w:t>.</w:t>
      </w:r>
    </w:p>
    <w:p w:rsidR="004B554D" w:rsidRDefault="00F4371A" w:rsidP="00ED52A3">
      <w:pPr>
        <w:pStyle w:val="BodyText"/>
        <w:rPr>
          <w:rFonts w:asciiTheme="minorHAnsi" w:hAnsiTheme="minorHAnsi" w:cstheme="minorHAnsi"/>
          <w:b/>
          <w:sz w:val="20"/>
        </w:rPr>
      </w:pPr>
      <w:r>
        <w:rPr>
          <w:rFonts w:asciiTheme="minorHAnsi" w:hAnsiTheme="minorHAnsi" w:cstheme="minorHAnsi"/>
          <w:b/>
          <w:sz w:val="20"/>
        </w:rPr>
        <w:t>16. How would the Terms of Use be developed?</w:t>
      </w:r>
    </w:p>
    <w:p w:rsidR="00834530" w:rsidRDefault="00834530" w:rsidP="00ED52A3">
      <w:pPr>
        <w:pStyle w:val="BodyText"/>
        <w:rPr>
          <w:rFonts w:asciiTheme="minorHAnsi" w:hAnsiTheme="minorHAnsi" w:cstheme="minorHAnsi"/>
          <w:sz w:val="20"/>
        </w:rPr>
      </w:pPr>
      <w:r>
        <w:rPr>
          <w:rFonts w:asciiTheme="minorHAnsi" w:hAnsiTheme="minorHAnsi" w:cstheme="minorHAnsi"/>
          <w:sz w:val="20"/>
        </w:rPr>
        <w:t>The Framework contemplates development by ICANN org “in consultation with the GAC and the</w:t>
      </w:r>
      <w:r w:rsidR="005117FB">
        <w:rPr>
          <w:rFonts w:asciiTheme="minorHAnsi" w:hAnsiTheme="minorHAnsi" w:cstheme="minorHAnsi"/>
          <w:sz w:val="20"/>
        </w:rPr>
        <w:t xml:space="preserve"> European Data Protection Board,” with each “Authenticating Body” responsible for developing “additional safeguards” for the corresponding User Group.</w:t>
      </w:r>
    </w:p>
    <w:p w:rsidR="005117FB" w:rsidRPr="005117FB" w:rsidRDefault="005117FB" w:rsidP="00ED52A3">
      <w:pPr>
        <w:pStyle w:val="BodyText"/>
        <w:rPr>
          <w:rFonts w:asciiTheme="minorHAnsi" w:hAnsiTheme="minorHAnsi" w:cstheme="minorHAnsi"/>
          <w:i/>
          <w:sz w:val="20"/>
        </w:rPr>
      </w:pPr>
      <w:r>
        <w:rPr>
          <w:rFonts w:asciiTheme="minorHAnsi" w:hAnsiTheme="minorHAnsi" w:cstheme="minorHAnsi"/>
          <w:i/>
          <w:sz w:val="20"/>
        </w:rPr>
        <w:t>This proposal is quite remarkable, in that</w:t>
      </w:r>
      <w:r w:rsidR="000751E8">
        <w:rPr>
          <w:rFonts w:asciiTheme="minorHAnsi" w:hAnsiTheme="minorHAnsi" w:cstheme="minorHAnsi"/>
          <w:i/>
          <w:sz w:val="20"/>
        </w:rPr>
        <w:t xml:space="preserve"> multistakeholder involvement is entirely absent.  This needs to be substantially revised so that there is multistakeholder involvement and oversight</w:t>
      </w:r>
      <w:r>
        <w:rPr>
          <w:rFonts w:asciiTheme="minorHAnsi" w:hAnsiTheme="minorHAnsi" w:cstheme="minorHAnsi"/>
          <w:i/>
          <w:sz w:val="20"/>
        </w:rPr>
        <w:t>.</w:t>
      </w:r>
      <w:r w:rsidR="000751E8">
        <w:rPr>
          <w:rFonts w:asciiTheme="minorHAnsi" w:hAnsiTheme="minorHAnsi" w:cstheme="minorHAnsi"/>
          <w:i/>
          <w:sz w:val="20"/>
        </w:rPr>
        <w:t xml:space="preserve">  The Terms are the cornerstone of practical and enforceable safeguards.</w:t>
      </w:r>
    </w:p>
    <w:p w:rsidR="004B554D" w:rsidRDefault="00F4371A" w:rsidP="00F116C2">
      <w:pPr>
        <w:pStyle w:val="BodyText"/>
        <w:keepNext/>
        <w:rPr>
          <w:rFonts w:asciiTheme="minorHAnsi" w:hAnsiTheme="minorHAnsi" w:cstheme="minorHAnsi"/>
          <w:b/>
          <w:sz w:val="20"/>
        </w:rPr>
      </w:pPr>
      <w:r>
        <w:rPr>
          <w:rFonts w:asciiTheme="minorHAnsi" w:hAnsiTheme="minorHAnsi" w:cstheme="minorHAnsi"/>
          <w:b/>
          <w:sz w:val="20"/>
        </w:rPr>
        <w:t>17. What types of safeguards would be included in the Terms of Use?</w:t>
      </w:r>
    </w:p>
    <w:p w:rsidR="004912E7" w:rsidRDefault="004912E7" w:rsidP="00ED52A3">
      <w:pPr>
        <w:pStyle w:val="BodyText"/>
        <w:rPr>
          <w:rFonts w:asciiTheme="minorHAnsi" w:hAnsiTheme="minorHAnsi" w:cstheme="minorHAnsi"/>
          <w:sz w:val="20"/>
        </w:rPr>
      </w:pPr>
      <w:r>
        <w:rPr>
          <w:rFonts w:asciiTheme="minorHAnsi" w:hAnsiTheme="minorHAnsi" w:cstheme="minorHAnsi"/>
          <w:sz w:val="20"/>
        </w:rPr>
        <w:t>The Framework lists a number of categories of safeguards, b</w:t>
      </w:r>
      <w:r w:rsidR="00F4371A" w:rsidRPr="00767022">
        <w:rPr>
          <w:rFonts w:asciiTheme="minorHAnsi" w:hAnsiTheme="minorHAnsi" w:cstheme="minorHAnsi"/>
          <w:sz w:val="20"/>
        </w:rPr>
        <w:t xml:space="preserve">ut the paper is silent about the duration of retention and final deletion of accessed data. </w:t>
      </w:r>
      <w:r w:rsidR="00C70CB4">
        <w:rPr>
          <w:rFonts w:asciiTheme="minorHAnsi" w:hAnsiTheme="minorHAnsi" w:cstheme="minorHAnsi"/>
          <w:sz w:val="20"/>
        </w:rPr>
        <w:t>The proposal also mentions a number of community suggestions, including penalties for abuse/non-compliance with safeguards, an alternative dispute resolution mechanism to allow recourse against users who have abused the access model, and rate limiting of queries for non-public WHOIS data.</w:t>
      </w:r>
    </w:p>
    <w:p w:rsidR="00111134" w:rsidRDefault="00C70CB4" w:rsidP="00111134">
      <w:pPr>
        <w:pStyle w:val="BodyText"/>
        <w:rPr>
          <w:rFonts w:asciiTheme="minorHAnsi" w:hAnsiTheme="minorHAnsi" w:cstheme="minorHAnsi"/>
          <w:i/>
          <w:sz w:val="20"/>
        </w:rPr>
      </w:pPr>
      <w:r>
        <w:rPr>
          <w:rFonts w:asciiTheme="minorHAnsi" w:hAnsiTheme="minorHAnsi" w:cstheme="minorHAnsi"/>
          <w:i/>
          <w:sz w:val="20"/>
        </w:rPr>
        <w:t>The ALAC supports the safeguards proposed by ICANN org</w:t>
      </w:r>
      <w:r w:rsidR="00292FDE">
        <w:rPr>
          <w:rFonts w:asciiTheme="minorHAnsi" w:hAnsiTheme="minorHAnsi" w:cstheme="minorHAnsi"/>
          <w:i/>
          <w:sz w:val="20"/>
        </w:rPr>
        <w:t xml:space="preserve">. In addition, safeguards around the timing of retention and deletion should be made explicit.  </w:t>
      </w:r>
      <w:r w:rsidR="00111134">
        <w:rPr>
          <w:rFonts w:asciiTheme="minorHAnsi" w:hAnsiTheme="minorHAnsi" w:cstheme="minorHAnsi"/>
          <w:i/>
          <w:sz w:val="20"/>
        </w:rPr>
        <w:t xml:space="preserve">One possible option is to make </w:t>
      </w:r>
      <w:r w:rsidR="00F4371A" w:rsidRPr="00C70CB4">
        <w:rPr>
          <w:rFonts w:asciiTheme="minorHAnsi" w:hAnsiTheme="minorHAnsi" w:cstheme="minorHAnsi"/>
          <w:i/>
          <w:sz w:val="20"/>
        </w:rPr>
        <w:t>the in</w:t>
      </w:r>
      <w:r w:rsidR="00111134">
        <w:rPr>
          <w:rFonts w:asciiTheme="minorHAnsi" w:hAnsiTheme="minorHAnsi" w:cstheme="minorHAnsi"/>
          <w:i/>
          <w:sz w:val="20"/>
        </w:rPr>
        <w:t xml:space="preserve">tended data retention period </w:t>
      </w:r>
      <w:r w:rsidR="00F4371A" w:rsidRPr="00C70CB4">
        <w:rPr>
          <w:rFonts w:asciiTheme="minorHAnsi" w:hAnsiTheme="minorHAnsi" w:cstheme="minorHAnsi"/>
          <w:i/>
          <w:sz w:val="20"/>
        </w:rPr>
        <w:t>part of the data access request, along with a statement of purpose that covers the proposed use of the data and its retention.</w:t>
      </w:r>
      <w:r w:rsidR="00111134">
        <w:rPr>
          <w:rFonts w:asciiTheme="minorHAnsi" w:hAnsiTheme="minorHAnsi" w:cstheme="minorHAnsi"/>
          <w:i/>
          <w:sz w:val="20"/>
        </w:rPr>
        <w:t xml:space="preserve">  As noted above, the safeguards should make it clear that t</w:t>
      </w:r>
      <w:r w:rsidR="00111134" w:rsidRPr="00C70CB4">
        <w:rPr>
          <w:rFonts w:asciiTheme="minorHAnsi" w:hAnsiTheme="minorHAnsi" w:cstheme="minorHAnsi"/>
          <w:i/>
          <w:sz w:val="20"/>
        </w:rPr>
        <w:t>he authorized users should not be able to accumulate data that they acquir</w:t>
      </w:r>
      <w:r w:rsidR="00111134">
        <w:rPr>
          <w:rFonts w:asciiTheme="minorHAnsi" w:hAnsiTheme="minorHAnsi" w:cstheme="minorHAnsi"/>
          <w:i/>
          <w:sz w:val="20"/>
        </w:rPr>
        <w:t>e through their access to Whois, e.g., in order to build a shadow database.</w:t>
      </w:r>
    </w:p>
    <w:p w:rsidR="00111134" w:rsidRPr="00C70CB4" w:rsidRDefault="008E04BF" w:rsidP="00111134">
      <w:pPr>
        <w:pStyle w:val="BodyText"/>
        <w:rPr>
          <w:rFonts w:asciiTheme="minorHAnsi" w:hAnsiTheme="minorHAnsi" w:cstheme="minorHAnsi"/>
          <w:i/>
          <w:sz w:val="20"/>
        </w:rPr>
      </w:pPr>
      <w:r>
        <w:rPr>
          <w:rFonts w:asciiTheme="minorHAnsi" w:hAnsiTheme="minorHAnsi" w:cstheme="minorHAnsi"/>
          <w:i/>
          <w:sz w:val="20"/>
        </w:rPr>
        <w:t xml:space="preserve">Non-compliance by Users and by Registries/Registrars is a problem that can reasonably be anticipated, </w:t>
      </w:r>
      <w:r w:rsidR="00D1452E">
        <w:rPr>
          <w:rFonts w:asciiTheme="minorHAnsi" w:hAnsiTheme="minorHAnsi" w:cstheme="minorHAnsi"/>
          <w:i/>
          <w:sz w:val="20"/>
        </w:rPr>
        <w:t>although what constitutes substantive non-compliance, as opposed to simple error</w:t>
      </w:r>
      <w:r w:rsidR="000C6852">
        <w:rPr>
          <w:rFonts w:asciiTheme="minorHAnsi" w:hAnsiTheme="minorHAnsi" w:cstheme="minorHAnsi"/>
          <w:i/>
          <w:sz w:val="20"/>
        </w:rPr>
        <w:t>,</w:t>
      </w:r>
      <w:r w:rsidR="00D1452E">
        <w:rPr>
          <w:rFonts w:asciiTheme="minorHAnsi" w:hAnsiTheme="minorHAnsi" w:cstheme="minorHAnsi"/>
          <w:i/>
          <w:sz w:val="20"/>
        </w:rPr>
        <w:t xml:space="preserve"> must be clarified.  For true acts of non-compliance, some form of “teeth” would be a good idea, such as suspending access rights in whole or in part for a period of time.  We would not recommend penalties beyond that.  We don’t know what, if anything, would constitute </w:t>
      </w:r>
      <w:r w:rsidR="00C53D1D">
        <w:rPr>
          <w:rFonts w:asciiTheme="minorHAnsi" w:hAnsiTheme="minorHAnsi" w:cstheme="minorHAnsi"/>
          <w:i/>
          <w:sz w:val="20"/>
        </w:rPr>
        <w:t>“</w:t>
      </w:r>
      <w:r w:rsidR="00D1452E">
        <w:rPr>
          <w:rFonts w:asciiTheme="minorHAnsi" w:hAnsiTheme="minorHAnsi" w:cstheme="minorHAnsi"/>
          <w:i/>
          <w:sz w:val="20"/>
        </w:rPr>
        <w:t>a</w:t>
      </w:r>
      <w:r w:rsidR="00C53D1D">
        <w:rPr>
          <w:rFonts w:asciiTheme="minorHAnsi" w:hAnsiTheme="minorHAnsi" w:cstheme="minorHAnsi"/>
          <w:i/>
          <w:sz w:val="20"/>
        </w:rPr>
        <w:t>buse”</w:t>
      </w:r>
      <w:r w:rsidR="00D1452E">
        <w:rPr>
          <w:rFonts w:asciiTheme="minorHAnsi" w:hAnsiTheme="minorHAnsi" w:cstheme="minorHAnsi"/>
          <w:i/>
          <w:sz w:val="20"/>
        </w:rPr>
        <w:t xml:space="preserve"> and thus are wary about discussing it, especially since it is a loaded term that could be </w:t>
      </w:r>
      <w:r w:rsidR="006027DF">
        <w:rPr>
          <w:rFonts w:asciiTheme="minorHAnsi" w:hAnsiTheme="minorHAnsi" w:cstheme="minorHAnsi"/>
          <w:i/>
          <w:sz w:val="20"/>
        </w:rPr>
        <w:t>intended to cast Users in a negative light (as potential “abusers”).</w:t>
      </w:r>
      <w:r w:rsidR="00D1452E">
        <w:rPr>
          <w:rFonts w:asciiTheme="minorHAnsi" w:hAnsiTheme="minorHAnsi" w:cstheme="minorHAnsi"/>
          <w:i/>
          <w:sz w:val="20"/>
        </w:rPr>
        <w:t>.</w:t>
      </w:r>
    </w:p>
    <w:p w:rsidR="004B554D" w:rsidRDefault="00F4371A" w:rsidP="00ED52A3">
      <w:pPr>
        <w:pStyle w:val="BodyText"/>
        <w:rPr>
          <w:rFonts w:asciiTheme="minorHAnsi" w:hAnsiTheme="minorHAnsi" w:cstheme="minorHAnsi"/>
          <w:b/>
          <w:sz w:val="20"/>
        </w:rPr>
      </w:pPr>
      <w:r>
        <w:rPr>
          <w:rFonts w:asciiTheme="minorHAnsi" w:hAnsiTheme="minorHAnsi" w:cstheme="minorHAnsi"/>
          <w:b/>
          <w:sz w:val="20"/>
        </w:rPr>
        <w:t>18. What mechanism would be used to require compliance with the Terms of Use?</w:t>
      </w:r>
    </w:p>
    <w:p w:rsidR="006027DF" w:rsidRDefault="006027DF" w:rsidP="00ED52A3">
      <w:pPr>
        <w:pStyle w:val="BodyText"/>
        <w:rPr>
          <w:rFonts w:asciiTheme="minorHAnsi" w:hAnsiTheme="minorHAnsi" w:cstheme="minorHAnsi"/>
          <w:sz w:val="20"/>
        </w:rPr>
      </w:pPr>
      <w:r>
        <w:rPr>
          <w:rFonts w:asciiTheme="minorHAnsi" w:hAnsiTheme="minorHAnsi" w:cstheme="minorHAnsi"/>
          <w:sz w:val="20"/>
        </w:rPr>
        <w:t>The Framework mentions “declaring adherence” to the Terms of Use, and also mentions the future possibility of “access agreements.”</w:t>
      </w:r>
    </w:p>
    <w:p w:rsidR="006027DF" w:rsidRPr="006027DF" w:rsidRDefault="006027DF" w:rsidP="00ED52A3">
      <w:pPr>
        <w:pStyle w:val="BodyText"/>
        <w:rPr>
          <w:rFonts w:asciiTheme="minorHAnsi" w:hAnsiTheme="minorHAnsi" w:cstheme="minorHAnsi"/>
          <w:i/>
          <w:sz w:val="20"/>
        </w:rPr>
      </w:pPr>
      <w:r>
        <w:rPr>
          <w:rFonts w:asciiTheme="minorHAnsi" w:hAnsiTheme="minorHAnsi" w:cstheme="minorHAnsi"/>
          <w:i/>
          <w:sz w:val="20"/>
        </w:rPr>
        <w:t xml:space="preserve">This seems to miss the mark.  These are mechanisms to show agreement with the Terms of Use, not methods of </w:t>
      </w:r>
      <w:r>
        <w:rPr>
          <w:rFonts w:asciiTheme="minorHAnsi" w:hAnsiTheme="minorHAnsi" w:cstheme="minorHAnsi"/>
          <w:i/>
          <w:sz w:val="20"/>
          <w:u w:val="single"/>
        </w:rPr>
        <w:t>requiring</w:t>
      </w:r>
      <w:r>
        <w:rPr>
          <w:rFonts w:asciiTheme="minorHAnsi" w:hAnsiTheme="minorHAnsi" w:cstheme="minorHAnsi"/>
          <w:i/>
          <w:sz w:val="20"/>
        </w:rPr>
        <w:t xml:space="preserve"> compliance with the Terms.  However, since this is touched on above and below, we so need to discuss this item further.</w:t>
      </w:r>
    </w:p>
    <w:p w:rsidR="004B554D" w:rsidRDefault="00F4371A" w:rsidP="00ED52A3">
      <w:pPr>
        <w:pStyle w:val="BodyText"/>
        <w:rPr>
          <w:rFonts w:asciiTheme="minorHAnsi" w:hAnsiTheme="minorHAnsi" w:cstheme="minorHAnsi"/>
          <w:b/>
          <w:sz w:val="20"/>
        </w:rPr>
      </w:pPr>
      <w:r>
        <w:rPr>
          <w:rFonts w:asciiTheme="minorHAnsi" w:hAnsiTheme="minorHAnsi" w:cstheme="minorHAnsi"/>
          <w:b/>
          <w:sz w:val="20"/>
        </w:rPr>
        <w:t>19. Who would monitor and enforce compliance with Terms of Use?</w:t>
      </w:r>
    </w:p>
    <w:p w:rsidR="006027DF" w:rsidRDefault="006027DF" w:rsidP="00ED52A3">
      <w:pPr>
        <w:pStyle w:val="BodyText"/>
        <w:rPr>
          <w:rFonts w:asciiTheme="minorHAnsi" w:hAnsiTheme="minorHAnsi" w:cstheme="minorHAnsi"/>
          <w:sz w:val="20"/>
        </w:rPr>
      </w:pPr>
      <w:r>
        <w:rPr>
          <w:rFonts w:asciiTheme="minorHAnsi" w:hAnsiTheme="minorHAnsi" w:cstheme="minorHAnsi"/>
          <w:sz w:val="20"/>
        </w:rPr>
        <w:t>The Framework proposes that the Authenticating Bodies would each monitor and enforce compliance</w:t>
      </w:r>
      <w:r w:rsidR="00C94096">
        <w:rPr>
          <w:rFonts w:asciiTheme="minorHAnsi" w:hAnsiTheme="minorHAnsi" w:cstheme="minorHAnsi"/>
          <w:sz w:val="20"/>
        </w:rPr>
        <w:t xml:space="preserve"> with the relevant Terms of Use</w:t>
      </w:r>
      <w:r>
        <w:rPr>
          <w:rFonts w:asciiTheme="minorHAnsi" w:hAnsiTheme="minorHAnsi" w:cstheme="minorHAnsi"/>
          <w:sz w:val="20"/>
        </w:rPr>
        <w:t>, and suggests that each Body would enter into a “Memorandum of Understanding” with ICANN to ensure appropriate oversight by ICANN.  If the access model becomes part of consensus policy or contracted party agreements, then ICANN Contractual Compliance would handle compliance issues.</w:t>
      </w:r>
    </w:p>
    <w:p w:rsidR="00C94096" w:rsidRDefault="00C94096" w:rsidP="00ED52A3">
      <w:pPr>
        <w:pStyle w:val="BodyText"/>
        <w:rPr>
          <w:rFonts w:asciiTheme="minorHAnsi" w:hAnsiTheme="minorHAnsi" w:cstheme="minorHAnsi"/>
          <w:i/>
          <w:sz w:val="20"/>
        </w:rPr>
      </w:pPr>
      <w:r>
        <w:rPr>
          <w:rFonts w:asciiTheme="minorHAnsi" w:hAnsiTheme="minorHAnsi" w:cstheme="minorHAnsi"/>
          <w:i/>
          <w:sz w:val="20"/>
        </w:rPr>
        <w:t>This raises issues.  First it is unclear who the “counterparty” to the User is in the Terms of Use.  We don’t anticipate that this would be the Authenticating Body, so having that Body enforce the Terms seems peculiar at best.  Second, it is unclear whether any of the Authenticating Bodies have any resources, expertise or capabilities related to monitoring and enforcing such compliance.  We assume their expertise is in credentialing or membership management.  Thus, this does not seem like the correct approach.</w:t>
      </w:r>
    </w:p>
    <w:p w:rsidR="00C94096" w:rsidRPr="006027DF" w:rsidRDefault="00C94096" w:rsidP="00ED52A3">
      <w:pPr>
        <w:pStyle w:val="BodyText"/>
        <w:rPr>
          <w:rFonts w:asciiTheme="minorHAnsi" w:hAnsiTheme="minorHAnsi" w:cstheme="minorHAnsi"/>
          <w:i/>
          <w:sz w:val="20"/>
        </w:rPr>
      </w:pPr>
      <w:r>
        <w:rPr>
          <w:rFonts w:asciiTheme="minorHAnsi" w:hAnsiTheme="minorHAnsi" w:cstheme="minorHAnsi"/>
          <w:i/>
          <w:sz w:val="20"/>
        </w:rPr>
        <w:t>It makes sense to have Contractual Compliance involved</w:t>
      </w:r>
      <w:r w:rsidR="006D5AFA">
        <w:rPr>
          <w:rFonts w:asciiTheme="minorHAnsi" w:hAnsiTheme="minorHAnsi" w:cstheme="minorHAnsi"/>
          <w:i/>
          <w:sz w:val="20"/>
        </w:rPr>
        <w:t xml:space="preserve"> in contract compliance and enforcement,</w:t>
      </w:r>
      <w:r>
        <w:rPr>
          <w:rFonts w:asciiTheme="minorHAnsi" w:hAnsiTheme="minorHAnsi" w:cstheme="minorHAnsi"/>
          <w:i/>
          <w:sz w:val="20"/>
        </w:rPr>
        <w:t xml:space="preserve"> as described by the Framework (though we hope that Contractual Compliance will take more of a “watchdog” attitude than it does with current contractual compliance).  However, </w:t>
      </w:r>
      <w:r w:rsidR="00D35024">
        <w:rPr>
          <w:rFonts w:asciiTheme="minorHAnsi" w:hAnsiTheme="minorHAnsi" w:cstheme="minorHAnsi"/>
          <w:i/>
          <w:sz w:val="20"/>
        </w:rPr>
        <w:t xml:space="preserve">if the access model is not part of consensus policy or registry/registrar contracts, then who will provide oversight?  Some form of centralized oversight and enforcement (and penalties) is critical to the success of the program.  </w:t>
      </w:r>
      <w:r w:rsidR="006D5AFA">
        <w:rPr>
          <w:rFonts w:asciiTheme="minorHAnsi" w:hAnsiTheme="minorHAnsi" w:cstheme="minorHAnsi"/>
          <w:i/>
          <w:sz w:val="20"/>
        </w:rPr>
        <w:t xml:space="preserve">This is an unforgivable gap and </w:t>
      </w:r>
      <w:r w:rsidR="00D35024">
        <w:rPr>
          <w:rFonts w:asciiTheme="minorHAnsi" w:hAnsiTheme="minorHAnsi" w:cstheme="minorHAnsi"/>
          <w:i/>
          <w:sz w:val="20"/>
        </w:rPr>
        <w:t>needs to be further explored.</w:t>
      </w:r>
    </w:p>
    <w:p w:rsidR="00A524AA" w:rsidRPr="00A524AA" w:rsidRDefault="00F4371A" w:rsidP="00A524AA">
      <w:pPr>
        <w:pStyle w:val="BodyText"/>
        <w:rPr>
          <w:rFonts w:asciiTheme="minorHAnsi" w:hAnsiTheme="minorHAnsi"/>
          <w:b/>
          <w:szCs w:val="24"/>
        </w:rPr>
      </w:pPr>
      <w:r w:rsidRPr="00A524AA">
        <w:rPr>
          <w:rFonts w:asciiTheme="minorHAnsi" w:hAnsiTheme="minorHAnsi"/>
          <w:b/>
          <w:szCs w:val="24"/>
        </w:rPr>
        <w:t>Community Views about High-Level Elements of a Unified Access Model</w:t>
      </w:r>
    </w:p>
    <w:p w:rsidR="00A524AA" w:rsidRDefault="00F4371A" w:rsidP="00A524AA">
      <w:pPr>
        <w:pStyle w:val="BodyText"/>
        <w:rPr>
          <w:rFonts w:asciiTheme="minorHAnsi" w:hAnsiTheme="minorHAnsi"/>
          <w:sz w:val="20"/>
        </w:rPr>
      </w:pPr>
      <w:r>
        <w:rPr>
          <w:rFonts w:asciiTheme="minorHAnsi" w:hAnsiTheme="minorHAnsi"/>
          <w:sz w:val="20"/>
        </w:rPr>
        <w:t>Section E of the Framework document identifies several elements where ICANN believes there is “convergence”:</w:t>
      </w:r>
    </w:p>
    <w:p w:rsidR="00A524AA" w:rsidRDefault="00F4371A" w:rsidP="00A524AA">
      <w:pPr>
        <w:pStyle w:val="BodyText"/>
        <w:numPr>
          <w:ilvl w:val="0"/>
          <w:numId w:val="35"/>
        </w:numPr>
        <w:rPr>
          <w:rFonts w:asciiTheme="minorHAnsi" w:hAnsiTheme="minorHAnsi"/>
          <w:sz w:val="20"/>
        </w:rPr>
      </w:pPr>
      <w:r>
        <w:rPr>
          <w:rFonts w:asciiTheme="minorHAnsi" w:hAnsiTheme="minorHAnsi"/>
          <w:sz w:val="20"/>
        </w:rPr>
        <w:t>Using RDAP;</w:t>
      </w:r>
    </w:p>
    <w:p w:rsidR="00A524AA" w:rsidRDefault="00F4371A" w:rsidP="00A524AA">
      <w:pPr>
        <w:pStyle w:val="BodyText"/>
        <w:numPr>
          <w:ilvl w:val="0"/>
          <w:numId w:val="35"/>
        </w:numPr>
        <w:rPr>
          <w:rFonts w:asciiTheme="minorHAnsi" w:hAnsiTheme="minorHAnsi"/>
          <w:sz w:val="20"/>
        </w:rPr>
      </w:pPr>
      <w:r>
        <w:rPr>
          <w:rFonts w:asciiTheme="minorHAnsi" w:hAnsiTheme="minorHAnsi"/>
          <w:sz w:val="20"/>
        </w:rPr>
        <w:t>Implementing strong safeguards to prevent and combat abuse of non-public WHOIS data provided to authenticated users; and</w:t>
      </w:r>
    </w:p>
    <w:p w:rsidR="00A524AA" w:rsidRDefault="00F4371A" w:rsidP="00A524AA">
      <w:pPr>
        <w:pStyle w:val="BodyText"/>
        <w:numPr>
          <w:ilvl w:val="0"/>
          <w:numId w:val="35"/>
        </w:numPr>
        <w:rPr>
          <w:rFonts w:asciiTheme="minorHAnsi" w:hAnsiTheme="minorHAnsi"/>
          <w:sz w:val="20"/>
        </w:rPr>
      </w:pPr>
      <w:r>
        <w:rPr>
          <w:rFonts w:asciiTheme="minorHAnsi" w:hAnsiTheme="minorHAnsi"/>
          <w:sz w:val="20"/>
        </w:rPr>
        <w:t>Using a “decentralized” process for developing authentication criteria and methods, by using existing entities with “relevant expertise” to authenticate users from particular user groups.</w:t>
      </w:r>
    </w:p>
    <w:p w:rsidR="00EF62F4" w:rsidRPr="00BC5268" w:rsidRDefault="006D5AFA" w:rsidP="006D5AFA">
      <w:pPr>
        <w:pStyle w:val="BodyText"/>
        <w:rPr>
          <w:rFonts w:asciiTheme="minorHAnsi" w:hAnsiTheme="minorHAnsi" w:cstheme="minorHAnsi"/>
          <w:i/>
          <w:sz w:val="20"/>
        </w:rPr>
      </w:pPr>
      <w:r>
        <w:rPr>
          <w:rFonts w:asciiTheme="minorHAnsi" w:hAnsiTheme="minorHAnsi" w:cstheme="minorHAnsi"/>
          <w:i/>
          <w:sz w:val="20"/>
        </w:rPr>
        <w:t xml:space="preserve">The ALAC concurs with each of these elements of convergence.  </w:t>
      </w:r>
      <w:r w:rsidR="00F4371A">
        <w:rPr>
          <w:rFonts w:asciiTheme="minorHAnsi" w:hAnsiTheme="minorHAnsi" w:cstheme="minorHAnsi"/>
          <w:i/>
          <w:sz w:val="20"/>
        </w:rPr>
        <w:t xml:space="preserve">Some have suggested that, </w:t>
      </w:r>
      <w:r w:rsidR="00F4371A" w:rsidRPr="00BC5268">
        <w:rPr>
          <w:rFonts w:asciiTheme="minorHAnsi" w:hAnsiTheme="minorHAnsi" w:cstheme="minorHAnsi"/>
          <w:i/>
          <w:sz w:val="20"/>
        </w:rPr>
        <w:t>if decentralization is done on a geographical basis, there should be no extraterritoriality, notably with law-enforcement.</w:t>
      </w:r>
      <w:r w:rsidR="00F4371A">
        <w:rPr>
          <w:rFonts w:asciiTheme="minorHAnsi" w:hAnsiTheme="minorHAnsi" w:cstheme="minorHAnsi"/>
          <w:i/>
          <w:sz w:val="20"/>
        </w:rPr>
        <w:t xml:space="preserve">  However, where there are multijurisdictional (or even global) Authenticating Bodies, there is no reason to exclude them out of hand, particularly if their competency has already been recognized in multiple jurisdictions.</w:t>
      </w:r>
      <w:r>
        <w:rPr>
          <w:rFonts w:asciiTheme="minorHAnsi" w:hAnsiTheme="minorHAnsi" w:cstheme="minorHAnsi"/>
          <w:i/>
          <w:sz w:val="20"/>
        </w:rPr>
        <w:t xml:space="preserve">  In any event, it does not appear that decentralization is intended to take place along geographic lines.</w:t>
      </w:r>
    </w:p>
    <w:p w:rsidR="00A524AA" w:rsidRDefault="00F4371A" w:rsidP="00A524AA">
      <w:pPr>
        <w:pStyle w:val="BodyText"/>
        <w:rPr>
          <w:rFonts w:asciiTheme="minorHAnsi" w:hAnsiTheme="minorHAnsi"/>
          <w:sz w:val="20"/>
        </w:rPr>
      </w:pPr>
      <w:r>
        <w:rPr>
          <w:rFonts w:asciiTheme="minorHAnsi" w:hAnsiTheme="minorHAnsi"/>
          <w:sz w:val="20"/>
        </w:rPr>
        <w:t xml:space="preserve">The document also identifies areas where ICANN believes there are “competing views”: </w:t>
      </w:r>
    </w:p>
    <w:p w:rsidR="00EB58A1" w:rsidRPr="00F75027" w:rsidRDefault="00F4371A" w:rsidP="00EB58A1">
      <w:pPr>
        <w:pStyle w:val="BodyText"/>
        <w:rPr>
          <w:rFonts w:asciiTheme="minorHAnsi" w:hAnsiTheme="minorHAnsi"/>
          <w:sz w:val="20"/>
          <w:u w:val="single"/>
        </w:rPr>
      </w:pPr>
      <w:r>
        <w:rPr>
          <w:rFonts w:asciiTheme="minorHAnsi" w:hAnsiTheme="minorHAnsi"/>
          <w:sz w:val="20"/>
          <w:u w:val="single"/>
        </w:rPr>
        <w:t>O</w:t>
      </w:r>
      <w:r w:rsidRPr="00F75027">
        <w:rPr>
          <w:rFonts w:asciiTheme="minorHAnsi" w:hAnsiTheme="minorHAnsi"/>
          <w:sz w:val="20"/>
          <w:u w:val="single"/>
        </w:rPr>
        <w:t>n the “legal requirements of GDPR”</w:t>
      </w:r>
    </w:p>
    <w:p w:rsidR="00EB58A1" w:rsidRDefault="00F4371A" w:rsidP="00EB58A1">
      <w:pPr>
        <w:pStyle w:val="BodyText"/>
        <w:numPr>
          <w:ilvl w:val="0"/>
          <w:numId w:val="37"/>
        </w:numPr>
        <w:rPr>
          <w:rFonts w:asciiTheme="minorHAnsi" w:hAnsiTheme="minorHAnsi"/>
          <w:sz w:val="20"/>
        </w:rPr>
      </w:pPr>
      <w:r>
        <w:rPr>
          <w:rFonts w:asciiTheme="minorHAnsi" w:hAnsiTheme="minorHAnsi"/>
          <w:sz w:val="20"/>
        </w:rPr>
        <w:t>Whether an authenticated user must provide its “legitimate interest” for each individual query;</w:t>
      </w:r>
    </w:p>
    <w:p w:rsidR="00EB58A1" w:rsidRPr="00BC5268" w:rsidRDefault="006D5AFA" w:rsidP="00EB58A1">
      <w:pPr>
        <w:pStyle w:val="BodyText"/>
        <w:ind w:left="360"/>
        <w:rPr>
          <w:rFonts w:asciiTheme="minorHAnsi" w:hAnsiTheme="minorHAnsi" w:cstheme="minorHAnsi"/>
          <w:i/>
          <w:sz w:val="20"/>
        </w:rPr>
      </w:pPr>
      <w:r>
        <w:rPr>
          <w:rFonts w:asciiTheme="minorHAnsi" w:hAnsiTheme="minorHAnsi" w:cstheme="minorHAnsi"/>
          <w:i/>
          <w:sz w:val="20"/>
        </w:rPr>
        <w:t>Where “legitimate interest”</w:t>
      </w:r>
      <w:r w:rsidR="0003485C">
        <w:rPr>
          <w:rFonts w:asciiTheme="minorHAnsi" w:hAnsiTheme="minorHAnsi" w:cstheme="minorHAnsi"/>
          <w:i/>
          <w:sz w:val="20"/>
        </w:rPr>
        <w:t xml:space="preserve"> is being relied on, there clearly must be some statement of the “legitimate interest.”  The question is </w:t>
      </w:r>
      <w:r w:rsidR="00691FD0">
        <w:rPr>
          <w:rFonts w:asciiTheme="minorHAnsi" w:hAnsiTheme="minorHAnsi" w:cstheme="minorHAnsi"/>
          <w:i/>
          <w:sz w:val="20"/>
        </w:rPr>
        <w:t>what constitutes a sufficient statement of legitimate interest.  On the one hand</w:t>
      </w:r>
      <w:r w:rsidR="00A67646">
        <w:rPr>
          <w:rFonts w:asciiTheme="minorHAnsi" w:hAnsiTheme="minorHAnsi" w:cstheme="minorHAnsi"/>
          <w:i/>
          <w:sz w:val="20"/>
        </w:rPr>
        <w:t>, a completely generic “cookie-cutter” statement that really says nothing would be insufficient.  On the other hand, a requirement for a detailed and highly customized narrative would be unnecessary and would burden every stop of the process.  It could even be seen as punitive.  We would not want to see elevated requirements used in an effort to deter appropriate access efforts.  A balanced approach is critical</w:t>
      </w:r>
      <w:r w:rsidR="000C6852">
        <w:rPr>
          <w:rFonts w:asciiTheme="minorHAnsi" w:hAnsiTheme="minorHAnsi" w:cstheme="minorHAnsi"/>
          <w:i/>
          <w:sz w:val="20"/>
        </w:rPr>
        <w:t>.</w:t>
      </w:r>
      <w:r w:rsidR="000C6852" w:rsidRPr="00BC5268">
        <w:rPr>
          <w:rFonts w:asciiTheme="minorHAnsi" w:hAnsiTheme="minorHAnsi" w:cstheme="minorHAnsi"/>
          <w:i/>
          <w:sz w:val="20"/>
        </w:rPr>
        <w:t>..</w:t>
      </w:r>
    </w:p>
    <w:p w:rsidR="00EB58A1" w:rsidRDefault="00F4371A" w:rsidP="00EB58A1">
      <w:pPr>
        <w:pStyle w:val="BodyText"/>
        <w:numPr>
          <w:ilvl w:val="0"/>
          <w:numId w:val="37"/>
        </w:numPr>
        <w:rPr>
          <w:rFonts w:asciiTheme="minorHAnsi" w:hAnsiTheme="minorHAnsi"/>
          <w:sz w:val="20"/>
        </w:rPr>
      </w:pPr>
      <w:r>
        <w:rPr>
          <w:rFonts w:asciiTheme="minorHAnsi" w:hAnsiTheme="minorHAnsi"/>
          <w:sz w:val="20"/>
        </w:rPr>
        <w:t>Whether "full WHOIS data” must be returned in response to the authenticated user’s query; and</w:t>
      </w:r>
    </w:p>
    <w:p w:rsidR="00EB58A1" w:rsidRDefault="00A67646" w:rsidP="00EB58A1">
      <w:pPr>
        <w:pStyle w:val="BodyText"/>
        <w:tabs>
          <w:tab w:val="left" w:pos="2340"/>
        </w:tabs>
        <w:ind w:left="360"/>
        <w:rPr>
          <w:rFonts w:asciiTheme="minorHAnsi" w:hAnsiTheme="minorHAnsi"/>
          <w:i/>
          <w:sz w:val="20"/>
        </w:rPr>
      </w:pPr>
      <w:r>
        <w:rPr>
          <w:rFonts w:asciiTheme="minorHAnsi" w:hAnsiTheme="minorHAnsi"/>
          <w:i/>
          <w:sz w:val="20"/>
        </w:rPr>
        <w:t>We anticipate that there will be a “default” set of non-public WHOIS data for each category of access and/or Eligible User Group.  Beyond that default set, additional (including f</w:t>
      </w:r>
      <w:r w:rsidR="00F4371A" w:rsidRPr="00BC5268">
        <w:rPr>
          <w:rFonts w:asciiTheme="minorHAnsi" w:hAnsiTheme="minorHAnsi"/>
          <w:i/>
          <w:sz w:val="20"/>
        </w:rPr>
        <w:t>ull</w:t>
      </w:r>
      <w:r>
        <w:rPr>
          <w:rFonts w:asciiTheme="minorHAnsi" w:hAnsiTheme="minorHAnsi"/>
          <w:i/>
          <w:sz w:val="20"/>
        </w:rPr>
        <w:t>)</w:t>
      </w:r>
      <w:r w:rsidR="00F4371A" w:rsidRPr="00BC5268">
        <w:rPr>
          <w:rFonts w:asciiTheme="minorHAnsi" w:hAnsiTheme="minorHAnsi"/>
          <w:i/>
          <w:sz w:val="20"/>
        </w:rPr>
        <w:t xml:space="preserve"> </w:t>
      </w:r>
      <w:r>
        <w:rPr>
          <w:rFonts w:asciiTheme="minorHAnsi" w:hAnsiTheme="minorHAnsi"/>
          <w:i/>
          <w:sz w:val="20"/>
        </w:rPr>
        <w:t xml:space="preserve">non-public </w:t>
      </w:r>
      <w:r w:rsidR="00F4371A" w:rsidRPr="00BC5268">
        <w:rPr>
          <w:rFonts w:asciiTheme="minorHAnsi" w:hAnsiTheme="minorHAnsi"/>
          <w:i/>
          <w:sz w:val="20"/>
        </w:rPr>
        <w:t xml:space="preserve">WHOIS data should </w:t>
      </w:r>
      <w:r>
        <w:rPr>
          <w:rFonts w:asciiTheme="minorHAnsi" w:hAnsiTheme="minorHAnsi"/>
          <w:i/>
          <w:sz w:val="20"/>
        </w:rPr>
        <w:t>only</w:t>
      </w:r>
      <w:r w:rsidR="00F4371A" w:rsidRPr="00BC5268">
        <w:rPr>
          <w:rFonts w:asciiTheme="minorHAnsi" w:hAnsiTheme="minorHAnsi"/>
          <w:i/>
          <w:sz w:val="20"/>
        </w:rPr>
        <w:t xml:space="preserve"> be returned on a request </w:t>
      </w:r>
      <w:r>
        <w:rPr>
          <w:rFonts w:asciiTheme="minorHAnsi" w:hAnsiTheme="minorHAnsi"/>
          <w:i/>
          <w:sz w:val="20"/>
        </w:rPr>
        <w:t>where</w:t>
      </w:r>
      <w:r w:rsidR="00F4371A" w:rsidRPr="00BC5268">
        <w:rPr>
          <w:rFonts w:asciiTheme="minorHAnsi" w:hAnsiTheme="minorHAnsi"/>
          <w:i/>
          <w:sz w:val="20"/>
        </w:rPr>
        <w:t xml:space="preserve"> that request specifically asks for it and provides a </w:t>
      </w:r>
      <w:r>
        <w:rPr>
          <w:rFonts w:asciiTheme="minorHAnsi" w:hAnsiTheme="minorHAnsi"/>
          <w:i/>
          <w:sz w:val="20"/>
        </w:rPr>
        <w:t>sufficient</w:t>
      </w:r>
      <w:r w:rsidR="00F4371A" w:rsidRPr="00BC5268">
        <w:rPr>
          <w:rFonts w:asciiTheme="minorHAnsi" w:hAnsiTheme="minorHAnsi"/>
          <w:i/>
          <w:sz w:val="20"/>
        </w:rPr>
        <w:t xml:space="preserve"> reason</w:t>
      </w:r>
      <w:r>
        <w:rPr>
          <w:rFonts w:asciiTheme="minorHAnsi" w:hAnsiTheme="minorHAnsi"/>
          <w:i/>
          <w:sz w:val="20"/>
        </w:rPr>
        <w:t xml:space="preserve"> for that additional information</w:t>
      </w:r>
      <w:r w:rsidR="00F4371A" w:rsidRPr="00BC5268">
        <w:rPr>
          <w:rFonts w:asciiTheme="minorHAnsi" w:hAnsiTheme="minorHAnsi"/>
          <w:i/>
          <w:sz w:val="20"/>
        </w:rPr>
        <w:t>.</w:t>
      </w:r>
      <w:r w:rsidR="0091639A">
        <w:rPr>
          <w:rFonts w:asciiTheme="minorHAnsi" w:hAnsiTheme="minorHAnsi"/>
          <w:i/>
          <w:sz w:val="20"/>
        </w:rPr>
        <w:t xml:space="preserve">  On the other hand, the default sets should not be so narrow as to restrict utility or require a significant percentage of special requests.  Again, balance is the key.</w:t>
      </w:r>
    </w:p>
    <w:p w:rsidR="00A83152" w:rsidRPr="00A83152" w:rsidRDefault="00C1252F" w:rsidP="00A83152">
      <w:pPr>
        <w:pStyle w:val="BodyText"/>
        <w:tabs>
          <w:tab w:val="left" w:pos="2340"/>
        </w:tabs>
        <w:ind w:left="360"/>
        <w:rPr>
          <w:rFonts w:asciiTheme="minorHAnsi" w:hAnsiTheme="minorHAnsi"/>
          <w:i/>
          <w:sz w:val="20"/>
        </w:rPr>
      </w:pPr>
      <w:r>
        <w:rPr>
          <w:rFonts w:asciiTheme="minorHAnsi" w:hAnsiTheme="minorHAnsi"/>
          <w:i/>
          <w:sz w:val="20"/>
        </w:rPr>
        <w:t>We note that a good deal of attention has been paid to the issue of providing access to</w:t>
      </w:r>
      <w:r w:rsidR="00A83152" w:rsidRPr="00A83152">
        <w:rPr>
          <w:rFonts w:asciiTheme="minorHAnsi" w:hAnsiTheme="minorHAnsi"/>
          <w:i/>
          <w:sz w:val="20"/>
        </w:rPr>
        <w:t xml:space="preserve"> technical and admin contacts.</w:t>
      </w:r>
      <w:r w:rsidRPr="00A83152">
        <w:rPr>
          <w:rFonts w:asciiTheme="minorHAnsi" w:hAnsiTheme="minorHAnsi"/>
          <w:i/>
          <w:sz w:val="20"/>
        </w:rPr>
        <w:t xml:space="preserve"> </w:t>
      </w:r>
      <w:r>
        <w:rPr>
          <w:rFonts w:asciiTheme="minorHAnsi" w:hAnsiTheme="minorHAnsi"/>
          <w:i/>
          <w:sz w:val="20"/>
        </w:rPr>
        <w:t>Where the tech and/or admin contacts are different from the registrant, this hints at good reasons why this data will be particularly useful.  As a general matter, this is an indicator that the registrant may not be technically knowledgeable or proficient.  As such, contacting the registrant may not be helpful.  An issue with the domain may require the efforts of the technical contact and not a registrant without technical expertise or access.  There may also be times where there is a hosting issue and the customer of the hosting company is needed to resolve the issue; that customer may be the tech contact and not the registrant.  Knowing the admin and tech contacts may provide information that is uniquely helpful in an investigation.</w:t>
      </w:r>
    </w:p>
    <w:p w:rsidR="00EB58A1" w:rsidRDefault="00F4371A" w:rsidP="00EB58A1">
      <w:pPr>
        <w:pStyle w:val="BodyText"/>
        <w:numPr>
          <w:ilvl w:val="0"/>
          <w:numId w:val="37"/>
        </w:numPr>
        <w:rPr>
          <w:rFonts w:asciiTheme="minorHAnsi" w:hAnsiTheme="minorHAnsi"/>
          <w:sz w:val="20"/>
        </w:rPr>
      </w:pPr>
      <w:r>
        <w:rPr>
          <w:rFonts w:asciiTheme="minorHAnsi" w:hAnsiTheme="minorHAnsi"/>
          <w:sz w:val="20"/>
        </w:rPr>
        <w:t>Whether logs of query activities “must” be available to the relevant registrant upon request, unless prohibited by “a relevant court order or legal requirement.”</w:t>
      </w:r>
    </w:p>
    <w:p w:rsidR="00845074" w:rsidRPr="00BC5268" w:rsidRDefault="00E75C83" w:rsidP="00C53D3D">
      <w:pPr>
        <w:pStyle w:val="BodyText"/>
        <w:ind w:left="360"/>
        <w:rPr>
          <w:rFonts w:asciiTheme="minorHAnsi" w:hAnsiTheme="minorHAnsi"/>
          <w:i/>
          <w:sz w:val="20"/>
        </w:rPr>
      </w:pPr>
      <w:r>
        <w:rPr>
          <w:rFonts w:asciiTheme="minorHAnsi" w:hAnsiTheme="minorHAnsi"/>
          <w:i/>
          <w:sz w:val="20"/>
        </w:rPr>
        <w:t>R</w:t>
      </w:r>
      <w:r w:rsidR="00F4371A" w:rsidRPr="00BC5268">
        <w:rPr>
          <w:rFonts w:asciiTheme="minorHAnsi" w:hAnsiTheme="minorHAnsi"/>
          <w:i/>
          <w:sz w:val="20"/>
        </w:rPr>
        <w:t>egistrant</w:t>
      </w:r>
      <w:r>
        <w:rPr>
          <w:rFonts w:asciiTheme="minorHAnsi" w:hAnsiTheme="minorHAnsi"/>
          <w:i/>
          <w:sz w:val="20"/>
        </w:rPr>
        <w:t>s</w:t>
      </w:r>
      <w:r w:rsidR="00F4371A" w:rsidRPr="00BC5268">
        <w:rPr>
          <w:rFonts w:asciiTheme="minorHAnsi" w:hAnsiTheme="minorHAnsi"/>
          <w:i/>
          <w:sz w:val="20"/>
        </w:rPr>
        <w:t xml:space="preserve"> should be </w:t>
      </w:r>
      <w:r>
        <w:rPr>
          <w:rFonts w:asciiTheme="minorHAnsi" w:hAnsiTheme="minorHAnsi"/>
          <w:i/>
          <w:sz w:val="20"/>
        </w:rPr>
        <w:t xml:space="preserve">afforded access to query activity consistent with Art. 15 of the GDPR, which </w:t>
      </w:r>
      <w:r w:rsidR="00F635EB">
        <w:rPr>
          <w:rFonts w:asciiTheme="minorHAnsi" w:hAnsiTheme="minorHAnsi"/>
          <w:i/>
          <w:sz w:val="20"/>
        </w:rPr>
        <w:t xml:space="preserve">gives the </w:t>
      </w:r>
      <w:r w:rsidRPr="00E75C83">
        <w:rPr>
          <w:rFonts w:asciiTheme="minorHAnsi" w:hAnsiTheme="minorHAnsi"/>
          <w:i/>
          <w:sz w:val="20"/>
        </w:rPr>
        <w:t xml:space="preserve">data subject the right to obtain from the controller access to </w:t>
      </w:r>
      <w:r w:rsidR="00F635EB">
        <w:rPr>
          <w:rFonts w:asciiTheme="minorHAnsi" w:hAnsiTheme="minorHAnsi"/>
          <w:i/>
          <w:sz w:val="20"/>
        </w:rPr>
        <w:t xml:space="preserve">certain </w:t>
      </w:r>
      <w:r w:rsidRPr="00E75C83">
        <w:rPr>
          <w:rFonts w:asciiTheme="minorHAnsi" w:hAnsiTheme="minorHAnsi"/>
          <w:i/>
          <w:sz w:val="20"/>
        </w:rPr>
        <w:t>information</w:t>
      </w:r>
      <w:r w:rsidR="00F635EB">
        <w:rPr>
          <w:rFonts w:asciiTheme="minorHAnsi" w:hAnsiTheme="minorHAnsi"/>
          <w:i/>
          <w:sz w:val="20"/>
        </w:rPr>
        <w:t xml:space="preserve">, including </w:t>
      </w:r>
      <w:r w:rsidRPr="00E75C83">
        <w:rPr>
          <w:rFonts w:asciiTheme="minorHAnsi" w:hAnsiTheme="minorHAnsi"/>
          <w:i/>
          <w:sz w:val="20"/>
        </w:rPr>
        <w:t xml:space="preserve">the </w:t>
      </w:r>
      <w:r w:rsidR="00F635EB">
        <w:rPr>
          <w:rFonts w:asciiTheme="minorHAnsi" w:hAnsiTheme="minorHAnsi"/>
          <w:i/>
          <w:sz w:val="20"/>
        </w:rPr>
        <w:t>“</w:t>
      </w:r>
      <w:r w:rsidRPr="00E75C83">
        <w:rPr>
          <w:rFonts w:asciiTheme="minorHAnsi" w:hAnsiTheme="minorHAnsi"/>
          <w:i/>
          <w:sz w:val="20"/>
        </w:rPr>
        <w:t>purposes of the processing</w:t>
      </w:r>
      <w:r w:rsidR="00F635EB">
        <w:rPr>
          <w:rFonts w:asciiTheme="minorHAnsi" w:hAnsiTheme="minorHAnsi"/>
          <w:i/>
          <w:sz w:val="20"/>
        </w:rPr>
        <w:t xml:space="preserve">,” </w:t>
      </w:r>
      <w:r w:rsidRPr="00E75C83">
        <w:rPr>
          <w:rFonts w:asciiTheme="minorHAnsi" w:hAnsiTheme="minorHAnsi"/>
          <w:i/>
          <w:sz w:val="20"/>
        </w:rPr>
        <w:t xml:space="preserve">the </w:t>
      </w:r>
      <w:r w:rsidR="00F635EB">
        <w:rPr>
          <w:rFonts w:asciiTheme="minorHAnsi" w:hAnsiTheme="minorHAnsi"/>
          <w:i/>
          <w:sz w:val="20"/>
        </w:rPr>
        <w:t>“</w:t>
      </w:r>
      <w:r w:rsidRPr="00E75C83">
        <w:rPr>
          <w:rFonts w:asciiTheme="minorHAnsi" w:hAnsiTheme="minorHAnsi"/>
          <w:i/>
          <w:sz w:val="20"/>
        </w:rPr>
        <w:t>categories of personal data concerned</w:t>
      </w:r>
      <w:r w:rsidR="00F635EB">
        <w:rPr>
          <w:rFonts w:asciiTheme="minorHAnsi" w:hAnsiTheme="minorHAnsi"/>
          <w:i/>
          <w:sz w:val="20"/>
        </w:rPr>
        <w:t xml:space="preserve">” and </w:t>
      </w:r>
      <w:r w:rsidRPr="00E75C83">
        <w:rPr>
          <w:rFonts w:asciiTheme="minorHAnsi" w:hAnsiTheme="minorHAnsi"/>
          <w:i/>
          <w:sz w:val="20"/>
        </w:rPr>
        <w:t xml:space="preserve">the </w:t>
      </w:r>
      <w:r w:rsidR="00F635EB">
        <w:rPr>
          <w:rFonts w:asciiTheme="minorHAnsi" w:hAnsiTheme="minorHAnsi"/>
          <w:i/>
          <w:sz w:val="20"/>
        </w:rPr>
        <w:t>“</w:t>
      </w:r>
      <w:r w:rsidRPr="00E75C83">
        <w:rPr>
          <w:rFonts w:asciiTheme="minorHAnsi" w:hAnsiTheme="minorHAnsi"/>
          <w:i/>
          <w:sz w:val="20"/>
        </w:rPr>
        <w:t>recipients or categories of recipient to whom the personal data have been or will be disclosed, in particular recipients in third countries or international organi</w:t>
      </w:r>
      <w:r w:rsidR="00C53D3D">
        <w:rPr>
          <w:rFonts w:asciiTheme="minorHAnsi" w:hAnsiTheme="minorHAnsi"/>
          <w:i/>
          <w:sz w:val="20"/>
        </w:rPr>
        <w:t>z</w:t>
      </w:r>
      <w:r w:rsidRPr="00E75C83">
        <w:rPr>
          <w:rFonts w:asciiTheme="minorHAnsi" w:hAnsiTheme="minorHAnsi"/>
          <w:i/>
          <w:sz w:val="20"/>
        </w:rPr>
        <w:t>ations</w:t>
      </w:r>
      <w:r w:rsidR="00F635EB">
        <w:rPr>
          <w:rFonts w:asciiTheme="minorHAnsi" w:hAnsiTheme="minorHAnsi"/>
          <w:i/>
          <w:sz w:val="20"/>
        </w:rPr>
        <w:t>.”</w:t>
      </w:r>
      <w:r w:rsidR="00C53D3D">
        <w:rPr>
          <w:rFonts w:asciiTheme="minorHAnsi" w:hAnsiTheme="minorHAnsi"/>
          <w:i/>
          <w:sz w:val="20"/>
        </w:rPr>
        <w:t xml:space="preserve">  While </w:t>
      </w:r>
      <w:r w:rsidR="0063263E">
        <w:rPr>
          <w:rFonts w:asciiTheme="minorHAnsi" w:hAnsiTheme="minorHAnsi"/>
          <w:i/>
          <w:sz w:val="20"/>
        </w:rPr>
        <w:t xml:space="preserve">Art. 15 </w:t>
      </w:r>
      <w:r w:rsidR="00C53D3D">
        <w:rPr>
          <w:rFonts w:asciiTheme="minorHAnsi" w:hAnsiTheme="minorHAnsi"/>
          <w:i/>
          <w:sz w:val="20"/>
        </w:rPr>
        <w:t xml:space="preserve">requires access to certain data in the logs of query activities, such as the date and time of the request or the grant of access.  It also does not require that the identity </w:t>
      </w:r>
      <w:r w:rsidR="0063263E">
        <w:rPr>
          <w:rFonts w:asciiTheme="minorHAnsi" w:hAnsiTheme="minorHAnsi"/>
          <w:i/>
          <w:sz w:val="20"/>
        </w:rPr>
        <w:t xml:space="preserve">of the </w:t>
      </w:r>
      <w:r w:rsidR="00C53D3D">
        <w:rPr>
          <w:rFonts w:asciiTheme="minorHAnsi" w:hAnsiTheme="minorHAnsi"/>
          <w:i/>
          <w:sz w:val="20"/>
        </w:rPr>
        <w:t xml:space="preserve">individual </w:t>
      </w:r>
      <w:r w:rsidR="0063263E">
        <w:rPr>
          <w:rFonts w:asciiTheme="minorHAnsi" w:hAnsiTheme="minorHAnsi"/>
          <w:i/>
          <w:sz w:val="20"/>
        </w:rPr>
        <w:t>recipients of data</w:t>
      </w:r>
      <w:r w:rsidR="00C53D3D">
        <w:rPr>
          <w:rFonts w:asciiTheme="minorHAnsi" w:hAnsiTheme="minorHAnsi"/>
          <w:i/>
          <w:sz w:val="20"/>
        </w:rPr>
        <w:t>; it is sufficient to supply the category of recipients.</w:t>
      </w:r>
      <w:r w:rsidR="0063263E">
        <w:rPr>
          <w:rFonts w:asciiTheme="minorHAnsi" w:hAnsiTheme="minorHAnsi"/>
          <w:i/>
          <w:sz w:val="20"/>
        </w:rPr>
        <w:t xml:space="preserve">  Furthermore,</w:t>
      </w:r>
      <w:r w:rsidR="00C53D3D">
        <w:rPr>
          <w:rFonts w:asciiTheme="minorHAnsi" w:hAnsiTheme="minorHAnsi"/>
          <w:i/>
          <w:sz w:val="20"/>
        </w:rPr>
        <w:t xml:space="preserve"> these rights need to be balanced against other considerations, such as the data subject rights of Users and the negative effects of providing access to information that would compromise investigations or threat mitigation efforts, among other things.  That said, Users could be given the option of allowing access to the full logs for each query, in the interest of transparency.</w:t>
      </w:r>
    </w:p>
    <w:p w:rsidR="00EB58A1" w:rsidRPr="00F75027" w:rsidRDefault="00F4371A" w:rsidP="00EB58A1">
      <w:pPr>
        <w:pStyle w:val="BodyText"/>
        <w:rPr>
          <w:rFonts w:asciiTheme="minorHAnsi" w:hAnsiTheme="minorHAnsi"/>
          <w:sz w:val="20"/>
          <w:u w:val="single"/>
        </w:rPr>
      </w:pPr>
      <w:r>
        <w:rPr>
          <w:rFonts w:asciiTheme="minorHAnsi" w:hAnsiTheme="minorHAnsi"/>
          <w:sz w:val="20"/>
          <w:u w:val="single"/>
        </w:rPr>
        <w:t>On “certain key process elements” of a UAM</w:t>
      </w:r>
    </w:p>
    <w:p w:rsidR="00EB58A1" w:rsidRDefault="00F4371A" w:rsidP="00EB58A1">
      <w:pPr>
        <w:pStyle w:val="BodyText"/>
        <w:numPr>
          <w:ilvl w:val="0"/>
          <w:numId w:val="37"/>
        </w:numPr>
        <w:rPr>
          <w:rFonts w:asciiTheme="minorHAnsi" w:hAnsiTheme="minorHAnsi"/>
          <w:sz w:val="20"/>
        </w:rPr>
      </w:pPr>
      <w:r>
        <w:rPr>
          <w:rFonts w:asciiTheme="minorHAnsi" w:hAnsiTheme="minorHAnsi"/>
          <w:sz w:val="20"/>
        </w:rPr>
        <w:t>Whether registries/registrars must be required to provide access to non-public WHOIS data;</w:t>
      </w:r>
    </w:p>
    <w:p w:rsidR="00F732E1" w:rsidRPr="00F732E1" w:rsidRDefault="00F732E1" w:rsidP="00F732E1">
      <w:pPr>
        <w:pStyle w:val="BodyText"/>
        <w:ind w:left="360"/>
        <w:rPr>
          <w:rFonts w:asciiTheme="minorHAnsi" w:hAnsiTheme="minorHAnsi"/>
          <w:i/>
          <w:sz w:val="20"/>
        </w:rPr>
      </w:pPr>
      <w:r>
        <w:rPr>
          <w:rFonts w:asciiTheme="minorHAnsi" w:hAnsiTheme="minorHAnsi"/>
          <w:i/>
          <w:sz w:val="20"/>
        </w:rPr>
        <w:t>Consistent with the intent of the WHOIS services, the intent and implementation of the access model, and a reasonable interpretation of legal obligations, registries/registrars must be required to provide access</w:t>
      </w:r>
      <w:r w:rsidR="003A4BD8">
        <w:rPr>
          <w:rFonts w:asciiTheme="minorHAnsi" w:hAnsiTheme="minorHAnsi"/>
          <w:i/>
          <w:sz w:val="20"/>
        </w:rPr>
        <w:t xml:space="preserve"> to non-public WHOIS data.  In particular, registries and registrars should not seek to thwart or frustrate the purposes of the access model.</w:t>
      </w:r>
    </w:p>
    <w:p w:rsidR="00EB58A1" w:rsidRDefault="00F4371A" w:rsidP="00EB58A1">
      <w:pPr>
        <w:pStyle w:val="BodyText"/>
        <w:numPr>
          <w:ilvl w:val="0"/>
          <w:numId w:val="37"/>
        </w:numPr>
        <w:rPr>
          <w:rFonts w:asciiTheme="minorHAnsi" w:hAnsiTheme="minorHAnsi"/>
          <w:sz w:val="20"/>
        </w:rPr>
      </w:pPr>
      <w:r>
        <w:rPr>
          <w:rFonts w:asciiTheme="minorHAnsi" w:hAnsiTheme="minorHAnsi"/>
          <w:sz w:val="20"/>
        </w:rPr>
        <w:t xml:space="preserve">Whether there should be a fee for access non-public WHOIS data; and </w:t>
      </w:r>
    </w:p>
    <w:p w:rsidR="00A83152" w:rsidRDefault="003A4BD8" w:rsidP="00845074">
      <w:pPr>
        <w:pStyle w:val="BodyText"/>
        <w:ind w:left="360"/>
        <w:rPr>
          <w:rFonts w:asciiTheme="minorHAnsi" w:hAnsiTheme="minorHAnsi"/>
          <w:i/>
          <w:sz w:val="20"/>
        </w:rPr>
      </w:pPr>
      <w:r>
        <w:rPr>
          <w:rFonts w:asciiTheme="minorHAnsi" w:hAnsiTheme="minorHAnsi"/>
          <w:i/>
          <w:sz w:val="20"/>
        </w:rPr>
        <w:t xml:space="preserve">WHOIS services are an integral part of ICANN’s raison d’etre and are fundamentally a public service.  As such, </w:t>
      </w:r>
      <w:r w:rsidR="00105A7D">
        <w:rPr>
          <w:rFonts w:asciiTheme="minorHAnsi" w:hAnsiTheme="minorHAnsi"/>
          <w:i/>
          <w:sz w:val="20"/>
        </w:rPr>
        <w:t>there are good arguments that it w</w:t>
      </w:r>
      <w:r>
        <w:rPr>
          <w:rFonts w:asciiTheme="minorHAnsi" w:hAnsiTheme="minorHAnsi"/>
          <w:i/>
          <w:sz w:val="20"/>
        </w:rPr>
        <w:t xml:space="preserve">ould be inappropriate to charge a fee for access.  </w:t>
      </w:r>
      <w:r w:rsidR="00A83152">
        <w:rPr>
          <w:rFonts w:asciiTheme="minorHAnsi" w:hAnsiTheme="minorHAnsi"/>
          <w:i/>
          <w:sz w:val="20"/>
        </w:rPr>
        <w:t xml:space="preserve">End-users are often the beneficiary, directly or indirectly, of the efforts made possible by WHOIS access, such as threat assessment and mitigation, malware defense, “advance fee fraud” enforcement (i.e., requests to send money under various scams, some quite well known almost to the point of </w:t>
      </w:r>
      <w:r w:rsidR="000C6852">
        <w:rPr>
          <w:rFonts w:asciiTheme="minorHAnsi" w:hAnsiTheme="minorHAnsi"/>
          <w:i/>
          <w:sz w:val="20"/>
        </w:rPr>
        <w:t>cliché</w:t>
      </w:r>
      <w:r w:rsidR="00A83152">
        <w:rPr>
          <w:rFonts w:asciiTheme="minorHAnsi" w:hAnsiTheme="minorHAnsi"/>
          <w:i/>
          <w:sz w:val="20"/>
        </w:rPr>
        <w:t xml:space="preserve">), many other anti-fraud efforts, anti-spam efforts, anti-phishing efforts and many other efforts that promote security, stability and trust in the Internet. </w:t>
      </w:r>
    </w:p>
    <w:p w:rsidR="00845074" w:rsidRPr="003A4BD8" w:rsidRDefault="003A4BD8" w:rsidP="00845074">
      <w:pPr>
        <w:pStyle w:val="BodyText"/>
        <w:ind w:left="360"/>
        <w:rPr>
          <w:rFonts w:asciiTheme="minorHAnsi" w:hAnsiTheme="minorHAnsi"/>
          <w:i/>
          <w:sz w:val="20"/>
        </w:rPr>
      </w:pPr>
      <w:r>
        <w:rPr>
          <w:rFonts w:asciiTheme="minorHAnsi" w:hAnsiTheme="minorHAnsi"/>
          <w:i/>
          <w:sz w:val="20"/>
        </w:rPr>
        <w:t xml:space="preserve">Of course, the access model will require additional </w:t>
      </w:r>
      <w:r w:rsidR="00105A7D">
        <w:rPr>
          <w:rFonts w:asciiTheme="minorHAnsi" w:hAnsiTheme="minorHAnsi"/>
          <w:i/>
          <w:sz w:val="20"/>
        </w:rPr>
        <w:t xml:space="preserve">expense, </w:t>
      </w:r>
      <w:r>
        <w:rPr>
          <w:rFonts w:asciiTheme="minorHAnsi" w:hAnsiTheme="minorHAnsi"/>
          <w:i/>
          <w:sz w:val="20"/>
        </w:rPr>
        <w:t xml:space="preserve">time and effort on the part of Users, registries, registrars, Authenticating Bodies and ICANN org.  </w:t>
      </w:r>
      <w:r w:rsidR="00105A7D">
        <w:rPr>
          <w:rFonts w:asciiTheme="minorHAnsi" w:hAnsiTheme="minorHAnsi"/>
          <w:i/>
          <w:sz w:val="20"/>
        </w:rPr>
        <w:t xml:space="preserve">It may seem that registrars will bear the brunt of this change; it could be worth exploring what these costs are (for registrars and others) and try to find a method to spread these costs more equitably.  Some have </w:t>
      </w:r>
      <w:r w:rsidR="00F4371A" w:rsidRPr="003A4BD8">
        <w:rPr>
          <w:rFonts w:asciiTheme="minorHAnsi" w:hAnsiTheme="minorHAnsi"/>
          <w:i/>
          <w:sz w:val="20"/>
        </w:rPr>
        <w:t>suggest</w:t>
      </w:r>
      <w:r w:rsidR="00105A7D">
        <w:rPr>
          <w:rFonts w:asciiTheme="minorHAnsi" w:hAnsiTheme="minorHAnsi"/>
          <w:i/>
          <w:sz w:val="20"/>
        </w:rPr>
        <w:t>ed</w:t>
      </w:r>
      <w:r w:rsidR="00F4371A" w:rsidRPr="003A4BD8">
        <w:rPr>
          <w:rFonts w:asciiTheme="minorHAnsi" w:hAnsiTheme="minorHAnsi"/>
          <w:i/>
          <w:sz w:val="20"/>
        </w:rPr>
        <w:t xml:space="preserve"> that </w:t>
      </w:r>
      <w:r w:rsidR="00105A7D">
        <w:rPr>
          <w:rFonts w:asciiTheme="minorHAnsi" w:hAnsiTheme="minorHAnsi"/>
          <w:i/>
          <w:sz w:val="20"/>
        </w:rPr>
        <w:t xml:space="preserve">fees </w:t>
      </w:r>
      <w:r w:rsidR="00F4371A" w:rsidRPr="003A4BD8">
        <w:rPr>
          <w:rFonts w:asciiTheme="minorHAnsi" w:hAnsiTheme="minorHAnsi"/>
          <w:i/>
          <w:sz w:val="20"/>
        </w:rPr>
        <w:t>might curb “frivolous” requests</w:t>
      </w:r>
      <w:r w:rsidR="00105A7D">
        <w:rPr>
          <w:rFonts w:asciiTheme="minorHAnsi" w:hAnsiTheme="minorHAnsi"/>
          <w:i/>
          <w:sz w:val="20"/>
        </w:rPr>
        <w:t>; however it’s difficult to define what would make a request frivolous where a legitimate interest is involved.</w:t>
      </w:r>
    </w:p>
    <w:p w:rsidR="00EB58A1" w:rsidRDefault="00F4371A" w:rsidP="00EB58A1">
      <w:pPr>
        <w:pStyle w:val="BodyText"/>
        <w:numPr>
          <w:ilvl w:val="0"/>
          <w:numId w:val="37"/>
        </w:numPr>
        <w:rPr>
          <w:rFonts w:asciiTheme="minorHAnsi" w:hAnsiTheme="minorHAnsi"/>
          <w:sz w:val="20"/>
        </w:rPr>
      </w:pPr>
      <w:r>
        <w:rPr>
          <w:rFonts w:asciiTheme="minorHAnsi" w:hAnsiTheme="minorHAnsi"/>
          <w:sz w:val="20"/>
        </w:rPr>
        <w:t>Whether there should be a “centralized portal operated by ICANN” where authenticated users can perform queries of non-public WHOIS data.</w:t>
      </w:r>
    </w:p>
    <w:p w:rsidR="00105A7D" w:rsidRPr="00105A7D" w:rsidRDefault="00105A7D" w:rsidP="00105A7D">
      <w:pPr>
        <w:pStyle w:val="BodyText"/>
        <w:ind w:left="360"/>
        <w:rPr>
          <w:rFonts w:asciiTheme="minorHAnsi" w:hAnsiTheme="minorHAnsi"/>
          <w:i/>
          <w:sz w:val="20"/>
        </w:rPr>
      </w:pPr>
      <w:r>
        <w:rPr>
          <w:rFonts w:asciiTheme="minorHAnsi" w:hAnsiTheme="minorHAnsi"/>
          <w:i/>
          <w:sz w:val="20"/>
        </w:rPr>
        <w:t xml:space="preserve">A centralized </w:t>
      </w:r>
      <w:r>
        <w:rPr>
          <w:rFonts w:asciiTheme="minorHAnsi" w:hAnsiTheme="minorHAnsi"/>
          <w:i/>
          <w:sz w:val="20"/>
          <w:u w:val="single"/>
        </w:rPr>
        <w:t>portal</w:t>
      </w:r>
      <w:r>
        <w:rPr>
          <w:rFonts w:asciiTheme="minorHAnsi" w:hAnsiTheme="minorHAnsi"/>
          <w:i/>
          <w:sz w:val="20"/>
        </w:rPr>
        <w:t xml:space="preserve"> needs to be distinguished from a centralized </w:t>
      </w:r>
      <w:r>
        <w:rPr>
          <w:rFonts w:asciiTheme="minorHAnsi" w:hAnsiTheme="minorHAnsi"/>
          <w:i/>
          <w:sz w:val="20"/>
          <w:u w:val="single"/>
        </w:rPr>
        <w:t>repository</w:t>
      </w:r>
      <w:r>
        <w:rPr>
          <w:rFonts w:asciiTheme="minorHAnsi" w:hAnsiTheme="minorHAnsi"/>
          <w:i/>
          <w:sz w:val="20"/>
        </w:rPr>
        <w:t>, which raises many greater concerns.  A centralized portal would be very useful and could be used to shift some of the cost and burden away from the registrars.  On the other hand, it is hardly a requirement that such a portal be put into place.  Given the desire for speed and simplicity</w:t>
      </w:r>
      <w:r w:rsidR="00A83152">
        <w:rPr>
          <w:rFonts w:asciiTheme="minorHAnsi" w:hAnsiTheme="minorHAnsi"/>
          <w:i/>
          <w:sz w:val="20"/>
        </w:rPr>
        <w:t>, it would be hard to justify the development of an additional system – unless the costs were outweighed by the benefits.  That is essentially an implementation question, not an ideological or positional question.</w:t>
      </w:r>
    </w:p>
    <w:p w:rsidR="00BC5268" w:rsidRPr="00F116C2" w:rsidRDefault="00F116C2" w:rsidP="0010322D">
      <w:pPr>
        <w:pStyle w:val="BodyText"/>
        <w:rPr>
          <w:rFonts w:asciiTheme="minorHAnsi" w:hAnsiTheme="minorHAnsi" w:cstheme="minorHAnsi"/>
          <w:sz w:val="20"/>
        </w:rPr>
      </w:pPr>
      <w:r>
        <w:rPr>
          <w:rFonts w:asciiTheme="minorHAnsi" w:hAnsiTheme="minorHAnsi" w:cstheme="minorHAnsi"/>
          <w:sz w:val="20"/>
        </w:rPr>
        <w:t xml:space="preserve">The ALAC appreciates the opportunity to provide these comments and looks forward to further development of the Unified Access Model.  </w:t>
      </w:r>
      <w:r w:rsidR="00450225">
        <w:rPr>
          <w:rFonts w:asciiTheme="minorHAnsi" w:hAnsiTheme="minorHAnsi" w:cstheme="minorHAnsi"/>
          <w:sz w:val="20"/>
        </w:rPr>
        <w:t>WHOIS</w:t>
      </w:r>
      <w:r w:rsidR="00450225">
        <w:rPr>
          <w:rFonts w:asciiTheme="minorHAnsi" w:hAnsiTheme="minorHAnsi" w:cstheme="minorHAnsi"/>
          <w:sz w:val="20"/>
        </w:rPr>
        <w:t xml:space="preserve"> was designed and meant to be used through some form of access</w:t>
      </w:r>
      <w:r w:rsidR="00450225">
        <w:rPr>
          <w:rFonts w:asciiTheme="minorHAnsi" w:hAnsiTheme="minorHAnsi" w:cstheme="minorHAnsi"/>
          <w:sz w:val="20"/>
        </w:rPr>
        <w:t xml:space="preserve">.  </w:t>
      </w:r>
      <w:r>
        <w:rPr>
          <w:rFonts w:asciiTheme="minorHAnsi" w:hAnsiTheme="minorHAnsi" w:cstheme="minorHAnsi"/>
          <w:sz w:val="20"/>
        </w:rPr>
        <w:t xml:space="preserve">Without access, WHOIS </w:t>
      </w:r>
      <w:r w:rsidR="00450225">
        <w:rPr>
          <w:rFonts w:asciiTheme="minorHAnsi" w:hAnsiTheme="minorHAnsi" w:cstheme="minorHAnsi"/>
          <w:sz w:val="20"/>
        </w:rPr>
        <w:t>is essentially useless and meaningless.  We applaud the efforts of ICANN to create a realistic access model.</w:t>
      </w:r>
    </w:p>
    <w:sectPr w:rsidR="00BC5268" w:rsidRPr="00F116C2" w:rsidSect="00292A8E">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A34" w:rsidRDefault="00071A34">
      <w:r>
        <w:separator/>
      </w:r>
    </w:p>
  </w:endnote>
  <w:endnote w:type="continuationSeparator" w:id="0">
    <w:p w:rsidR="00071A34" w:rsidRDefault="0007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5701569"/>
      <w:docPartObj>
        <w:docPartGallery w:val="Page Numbers (Bottom of Page)"/>
        <w:docPartUnique/>
      </w:docPartObj>
    </w:sdtPr>
    <w:sdtEndPr>
      <w:rPr>
        <w:noProof/>
      </w:rPr>
    </w:sdtEndPr>
    <w:sdtContent>
      <w:p w:rsidR="00D25E35" w:rsidRDefault="00F4371A">
        <w:pPr>
          <w:pStyle w:val="Footer"/>
          <w:jc w:val="right"/>
        </w:pPr>
        <w:r w:rsidRPr="00D25E35">
          <w:rPr>
            <w:rFonts w:asciiTheme="minorHAnsi" w:hAnsiTheme="minorHAnsi" w:cstheme="minorHAnsi"/>
            <w:sz w:val="20"/>
            <w:szCs w:val="20"/>
          </w:rPr>
          <w:fldChar w:fldCharType="begin"/>
        </w:r>
        <w:r w:rsidRPr="00D25E35">
          <w:rPr>
            <w:rFonts w:asciiTheme="minorHAnsi" w:hAnsiTheme="minorHAnsi" w:cstheme="minorHAnsi"/>
            <w:sz w:val="20"/>
            <w:szCs w:val="20"/>
          </w:rPr>
          <w:instrText xml:space="preserve"> PAGE   \* MERGEFORMAT </w:instrText>
        </w:r>
        <w:r w:rsidRPr="00D25E35">
          <w:rPr>
            <w:rFonts w:asciiTheme="minorHAnsi" w:hAnsiTheme="minorHAnsi" w:cstheme="minorHAnsi"/>
            <w:sz w:val="20"/>
            <w:szCs w:val="20"/>
          </w:rPr>
          <w:fldChar w:fldCharType="separate"/>
        </w:r>
        <w:r w:rsidR="00C37AC3">
          <w:rPr>
            <w:rFonts w:asciiTheme="minorHAnsi" w:hAnsiTheme="minorHAnsi" w:cstheme="minorHAnsi"/>
            <w:noProof/>
            <w:sz w:val="20"/>
            <w:szCs w:val="20"/>
          </w:rPr>
          <w:t>6</w:t>
        </w:r>
        <w:r w:rsidRPr="00D25E35">
          <w:rPr>
            <w:rFonts w:asciiTheme="minorHAnsi" w:hAnsiTheme="minorHAnsi" w:cstheme="minorHAnsi"/>
            <w:noProof/>
            <w:sz w:val="20"/>
            <w:szCs w:val="20"/>
          </w:rPr>
          <w:fldChar w:fldCharType="end"/>
        </w:r>
      </w:p>
    </w:sdtContent>
  </w:sdt>
  <w:p w:rsidR="005F0FAE" w:rsidRDefault="00071A34" w:rsidP="00177F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ED9" w:rsidRPr="000B2E46" w:rsidRDefault="00F4371A" w:rsidP="00177F64">
    <w:pPr>
      <w:pStyle w:val="Footer"/>
    </w:pPr>
    <w:r w:rsidRPr="00ED52A3">
      <w:fldChar w:fldCharType="begin"/>
    </w:r>
    <w:r>
      <w:instrText xml:space="preserve"> DOCPROPERTY "DOCID" \* MERGEFORMAT </w:instrText>
    </w:r>
    <w:r w:rsidRPr="00ED52A3">
      <w:fldChar w:fldCharType="separate"/>
    </w:r>
    <w:r w:rsidR="0051009D" w:rsidRPr="0051009D">
      <w:rPr>
        <w:rStyle w:val="DocID"/>
      </w:rPr>
      <w:t xml:space="preserve"> </w:t>
    </w:r>
    <w:r w:rsidRPr="00ED52A3">
      <w:rPr>
        <w:rStyle w:val="DocID"/>
      </w:rPr>
      <w:fldChar w:fldCharType="end"/>
    </w:r>
    <w:r w:rsidRPr="00177F64">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A34" w:rsidRDefault="00071A34">
      <w:r>
        <w:separator/>
      </w:r>
    </w:p>
  </w:footnote>
  <w:footnote w:type="continuationSeparator" w:id="0">
    <w:p w:rsidR="00071A34" w:rsidRDefault="00071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A1" w:rsidRPr="00E94AA1" w:rsidRDefault="00E94AA1" w:rsidP="00E94AA1">
    <w:pPr>
      <w:pStyle w:val="Header"/>
      <w:jc w:val="right"/>
      <w:rPr>
        <w:rFonts w:asciiTheme="minorHAnsi" w:hAnsiTheme="minorHAnsi" w:cstheme="minorHAnsi"/>
        <w:b/>
      </w:rPr>
    </w:pPr>
    <w:r w:rsidRPr="00E94AA1">
      <w:rPr>
        <w:rFonts w:asciiTheme="minorHAnsi" w:hAnsiTheme="minorHAnsi" w:cstheme="minorHAnsi"/>
        <w:b/>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53C13E8"/>
    <w:lvl w:ilvl="0">
      <w:start w:val="1"/>
      <w:numFmt w:val="decimal"/>
      <w:pStyle w:val="ListNumber3"/>
      <w:lvlText w:val="%1."/>
      <w:lvlJc w:val="left"/>
      <w:pPr>
        <w:tabs>
          <w:tab w:val="num" w:pos="1080"/>
        </w:tabs>
        <w:ind w:left="1080" w:hanging="360"/>
      </w:pPr>
      <w:rPr>
        <w:rFonts w:hint="default"/>
      </w:rPr>
    </w:lvl>
  </w:abstractNum>
  <w:abstractNum w:abstractNumId="1" w15:restartNumberingAfterBreak="0">
    <w:nsid w:val="FFFFFF7F"/>
    <w:multiLevelType w:val="singleLevel"/>
    <w:tmpl w:val="85C432C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C9E2A1D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FCADFF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7A4C189A"/>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8E9C792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19A0427F"/>
    <w:multiLevelType w:val="hybridMultilevel"/>
    <w:tmpl w:val="9B00BA1E"/>
    <w:lvl w:ilvl="0" w:tplc="C2B8AB38">
      <w:start w:val="1"/>
      <w:numFmt w:val="bullet"/>
      <w:lvlText w:val=""/>
      <w:lvlJc w:val="left"/>
      <w:pPr>
        <w:ind w:left="720" w:hanging="360"/>
      </w:pPr>
      <w:rPr>
        <w:rFonts w:ascii="Symbol" w:hAnsi="Symbol" w:hint="default"/>
      </w:rPr>
    </w:lvl>
    <w:lvl w:ilvl="1" w:tplc="34FE751A">
      <w:start w:val="1"/>
      <w:numFmt w:val="bullet"/>
      <w:lvlText w:val="o"/>
      <w:lvlJc w:val="left"/>
      <w:pPr>
        <w:ind w:left="1440" w:hanging="360"/>
      </w:pPr>
      <w:rPr>
        <w:rFonts w:ascii="Courier New" w:hAnsi="Courier New" w:cs="Courier New" w:hint="default"/>
      </w:rPr>
    </w:lvl>
    <w:lvl w:ilvl="2" w:tplc="CFB4B454" w:tentative="1">
      <w:start w:val="1"/>
      <w:numFmt w:val="bullet"/>
      <w:lvlText w:val=""/>
      <w:lvlJc w:val="left"/>
      <w:pPr>
        <w:ind w:left="2160" w:hanging="360"/>
      </w:pPr>
      <w:rPr>
        <w:rFonts w:ascii="Wingdings" w:hAnsi="Wingdings" w:hint="default"/>
      </w:rPr>
    </w:lvl>
    <w:lvl w:ilvl="3" w:tplc="969C62D4" w:tentative="1">
      <w:start w:val="1"/>
      <w:numFmt w:val="bullet"/>
      <w:lvlText w:val=""/>
      <w:lvlJc w:val="left"/>
      <w:pPr>
        <w:ind w:left="2880" w:hanging="360"/>
      </w:pPr>
      <w:rPr>
        <w:rFonts w:ascii="Symbol" w:hAnsi="Symbol" w:hint="default"/>
      </w:rPr>
    </w:lvl>
    <w:lvl w:ilvl="4" w:tplc="EA80DB6C" w:tentative="1">
      <w:start w:val="1"/>
      <w:numFmt w:val="bullet"/>
      <w:lvlText w:val="o"/>
      <w:lvlJc w:val="left"/>
      <w:pPr>
        <w:ind w:left="3600" w:hanging="360"/>
      </w:pPr>
      <w:rPr>
        <w:rFonts w:ascii="Courier New" w:hAnsi="Courier New" w:cs="Courier New" w:hint="default"/>
      </w:rPr>
    </w:lvl>
    <w:lvl w:ilvl="5" w:tplc="641C1F4A" w:tentative="1">
      <w:start w:val="1"/>
      <w:numFmt w:val="bullet"/>
      <w:lvlText w:val=""/>
      <w:lvlJc w:val="left"/>
      <w:pPr>
        <w:ind w:left="4320" w:hanging="360"/>
      </w:pPr>
      <w:rPr>
        <w:rFonts w:ascii="Wingdings" w:hAnsi="Wingdings" w:hint="default"/>
      </w:rPr>
    </w:lvl>
    <w:lvl w:ilvl="6" w:tplc="E21E421E" w:tentative="1">
      <w:start w:val="1"/>
      <w:numFmt w:val="bullet"/>
      <w:lvlText w:val=""/>
      <w:lvlJc w:val="left"/>
      <w:pPr>
        <w:ind w:left="5040" w:hanging="360"/>
      </w:pPr>
      <w:rPr>
        <w:rFonts w:ascii="Symbol" w:hAnsi="Symbol" w:hint="default"/>
      </w:rPr>
    </w:lvl>
    <w:lvl w:ilvl="7" w:tplc="C2E69118" w:tentative="1">
      <w:start w:val="1"/>
      <w:numFmt w:val="bullet"/>
      <w:lvlText w:val="o"/>
      <w:lvlJc w:val="left"/>
      <w:pPr>
        <w:ind w:left="5760" w:hanging="360"/>
      </w:pPr>
      <w:rPr>
        <w:rFonts w:ascii="Courier New" w:hAnsi="Courier New" w:cs="Courier New" w:hint="default"/>
      </w:rPr>
    </w:lvl>
    <w:lvl w:ilvl="8" w:tplc="E5C07F18" w:tentative="1">
      <w:start w:val="1"/>
      <w:numFmt w:val="bullet"/>
      <w:lvlText w:val=""/>
      <w:lvlJc w:val="left"/>
      <w:pPr>
        <w:ind w:left="6480" w:hanging="360"/>
      </w:pPr>
      <w:rPr>
        <w:rFonts w:ascii="Wingdings" w:hAnsi="Wingdings" w:hint="default"/>
      </w:rPr>
    </w:lvl>
  </w:abstractNum>
  <w:abstractNum w:abstractNumId="7" w15:restartNumberingAfterBreak="0">
    <w:nsid w:val="334B08F4"/>
    <w:multiLevelType w:val="hybridMultilevel"/>
    <w:tmpl w:val="7482046A"/>
    <w:lvl w:ilvl="0" w:tplc="84D67C9A">
      <w:start w:val="1"/>
      <w:numFmt w:val="decimal"/>
      <w:lvlText w:val="%1."/>
      <w:lvlJc w:val="left"/>
      <w:pPr>
        <w:ind w:left="720" w:hanging="360"/>
      </w:pPr>
    </w:lvl>
    <w:lvl w:ilvl="1" w:tplc="AF6894C4" w:tentative="1">
      <w:start w:val="1"/>
      <w:numFmt w:val="lowerLetter"/>
      <w:lvlText w:val="%2."/>
      <w:lvlJc w:val="left"/>
      <w:pPr>
        <w:ind w:left="1440" w:hanging="360"/>
      </w:pPr>
    </w:lvl>
    <w:lvl w:ilvl="2" w:tplc="C9C8A832" w:tentative="1">
      <w:start w:val="1"/>
      <w:numFmt w:val="lowerRoman"/>
      <w:lvlText w:val="%3."/>
      <w:lvlJc w:val="right"/>
      <w:pPr>
        <w:ind w:left="2160" w:hanging="180"/>
      </w:pPr>
    </w:lvl>
    <w:lvl w:ilvl="3" w:tplc="3628203E" w:tentative="1">
      <w:start w:val="1"/>
      <w:numFmt w:val="decimal"/>
      <w:lvlText w:val="%4."/>
      <w:lvlJc w:val="left"/>
      <w:pPr>
        <w:ind w:left="2880" w:hanging="360"/>
      </w:pPr>
    </w:lvl>
    <w:lvl w:ilvl="4" w:tplc="3E640782" w:tentative="1">
      <w:start w:val="1"/>
      <w:numFmt w:val="lowerLetter"/>
      <w:lvlText w:val="%5."/>
      <w:lvlJc w:val="left"/>
      <w:pPr>
        <w:ind w:left="3600" w:hanging="360"/>
      </w:pPr>
    </w:lvl>
    <w:lvl w:ilvl="5" w:tplc="3F88BEDE" w:tentative="1">
      <w:start w:val="1"/>
      <w:numFmt w:val="lowerRoman"/>
      <w:lvlText w:val="%6."/>
      <w:lvlJc w:val="right"/>
      <w:pPr>
        <w:ind w:left="4320" w:hanging="180"/>
      </w:pPr>
    </w:lvl>
    <w:lvl w:ilvl="6" w:tplc="ED72CAD2" w:tentative="1">
      <w:start w:val="1"/>
      <w:numFmt w:val="decimal"/>
      <w:lvlText w:val="%7."/>
      <w:lvlJc w:val="left"/>
      <w:pPr>
        <w:ind w:left="5040" w:hanging="360"/>
      </w:pPr>
    </w:lvl>
    <w:lvl w:ilvl="7" w:tplc="733E8940" w:tentative="1">
      <w:start w:val="1"/>
      <w:numFmt w:val="lowerLetter"/>
      <w:lvlText w:val="%8."/>
      <w:lvlJc w:val="left"/>
      <w:pPr>
        <w:ind w:left="5760" w:hanging="360"/>
      </w:pPr>
    </w:lvl>
    <w:lvl w:ilvl="8" w:tplc="C1BE30B4" w:tentative="1">
      <w:start w:val="1"/>
      <w:numFmt w:val="lowerRoman"/>
      <w:lvlText w:val="%9."/>
      <w:lvlJc w:val="right"/>
      <w:pPr>
        <w:ind w:left="6480" w:hanging="180"/>
      </w:pPr>
    </w:lvl>
  </w:abstractNum>
  <w:abstractNum w:abstractNumId="8" w15:restartNumberingAfterBreak="0">
    <w:nsid w:val="48884BBF"/>
    <w:multiLevelType w:val="hybridMultilevel"/>
    <w:tmpl w:val="7482046A"/>
    <w:lvl w:ilvl="0" w:tplc="90C09474">
      <w:start w:val="1"/>
      <w:numFmt w:val="decimal"/>
      <w:lvlText w:val="%1."/>
      <w:lvlJc w:val="left"/>
      <w:pPr>
        <w:ind w:left="720" w:hanging="360"/>
      </w:pPr>
    </w:lvl>
    <w:lvl w:ilvl="1" w:tplc="C1E4B982" w:tentative="1">
      <w:start w:val="1"/>
      <w:numFmt w:val="lowerLetter"/>
      <w:lvlText w:val="%2."/>
      <w:lvlJc w:val="left"/>
      <w:pPr>
        <w:ind w:left="1440" w:hanging="360"/>
      </w:pPr>
    </w:lvl>
    <w:lvl w:ilvl="2" w:tplc="60E00A80" w:tentative="1">
      <w:start w:val="1"/>
      <w:numFmt w:val="lowerRoman"/>
      <w:lvlText w:val="%3."/>
      <w:lvlJc w:val="right"/>
      <w:pPr>
        <w:ind w:left="2160" w:hanging="180"/>
      </w:pPr>
    </w:lvl>
    <w:lvl w:ilvl="3" w:tplc="2708BBB8" w:tentative="1">
      <w:start w:val="1"/>
      <w:numFmt w:val="decimal"/>
      <w:lvlText w:val="%4."/>
      <w:lvlJc w:val="left"/>
      <w:pPr>
        <w:ind w:left="2880" w:hanging="360"/>
      </w:pPr>
    </w:lvl>
    <w:lvl w:ilvl="4" w:tplc="FA24CE2E" w:tentative="1">
      <w:start w:val="1"/>
      <w:numFmt w:val="lowerLetter"/>
      <w:lvlText w:val="%5."/>
      <w:lvlJc w:val="left"/>
      <w:pPr>
        <w:ind w:left="3600" w:hanging="360"/>
      </w:pPr>
    </w:lvl>
    <w:lvl w:ilvl="5" w:tplc="697075A4" w:tentative="1">
      <w:start w:val="1"/>
      <w:numFmt w:val="lowerRoman"/>
      <w:lvlText w:val="%6."/>
      <w:lvlJc w:val="right"/>
      <w:pPr>
        <w:ind w:left="4320" w:hanging="180"/>
      </w:pPr>
    </w:lvl>
    <w:lvl w:ilvl="6" w:tplc="B65EE21A" w:tentative="1">
      <w:start w:val="1"/>
      <w:numFmt w:val="decimal"/>
      <w:lvlText w:val="%7."/>
      <w:lvlJc w:val="left"/>
      <w:pPr>
        <w:ind w:left="5040" w:hanging="360"/>
      </w:pPr>
    </w:lvl>
    <w:lvl w:ilvl="7" w:tplc="AC3E3BCE" w:tentative="1">
      <w:start w:val="1"/>
      <w:numFmt w:val="lowerLetter"/>
      <w:lvlText w:val="%8."/>
      <w:lvlJc w:val="left"/>
      <w:pPr>
        <w:ind w:left="5760" w:hanging="360"/>
      </w:pPr>
    </w:lvl>
    <w:lvl w:ilvl="8" w:tplc="B56A4324" w:tentative="1">
      <w:start w:val="1"/>
      <w:numFmt w:val="lowerRoman"/>
      <w:lvlText w:val="%9."/>
      <w:lvlJc w:val="right"/>
      <w:pPr>
        <w:ind w:left="6480" w:hanging="180"/>
      </w:pPr>
    </w:lvl>
  </w:abstractNum>
  <w:abstractNum w:abstractNumId="9" w15:restartNumberingAfterBreak="0">
    <w:nsid w:val="54DD6571"/>
    <w:multiLevelType w:val="multilevel"/>
    <w:tmpl w:val="DAA460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5D661B"/>
    <w:multiLevelType w:val="multilevel"/>
    <w:tmpl w:val="B8C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5"/>
  </w:num>
  <w:num w:numId="6">
    <w:abstractNumId w:val="4"/>
  </w:num>
  <w:num w:numId="7">
    <w:abstractNumId w:val="5"/>
  </w:num>
  <w:num w:numId="8">
    <w:abstractNumId w:val="3"/>
  </w:num>
  <w:num w:numId="9">
    <w:abstractNumId w:val="4"/>
  </w:num>
  <w:num w:numId="10">
    <w:abstractNumId w:val="1"/>
  </w:num>
  <w:num w:numId="11">
    <w:abstractNumId w:val="5"/>
  </w:num>
  <w:num w:numId="12">
    <w:abstractNumId w:val="3"/>
  </w:num>
  <w:num w:numId="13">
    <w:abstractNumId w:val="4"/>
  </w:num>
  <w:num w:numId="14">
    <w:abstractNumId w:val="1"/>
  </w:num>
  <w:num w:numId="15">
    <w:abstractNumId w:val="5"/>
  </w:num>
  <w:num w:numId="16">
    <w:abstractNumId w:val="3"/>
  </w:num>
  <w:num w:numId="17">
    <w:abstractNumId w:val="2"/>
  </w:num>
  <w:num w:numId="18">
    <w:abstractNumId w:val="4"/>
  </w:num>
  <w:num w:numId="19">
    <w:abstractNumId w:val="1"/>
  </w:num>
  <w:num w:numId="20">
    <w:abstractNumId w:val="0"/>
  </w:num>
  <w:num w:numId="21">
    <w:abstractNumId w:val="5"/>
  </w:num>
  <w:num w:numId="22">
    <w:abstractNumId w:val="3"/>
  </w:num>
  <w:num w:numId="23">
    <w:abstractNumId w:val="2"/>
  </w:num>
  <w:num w:numId="24">
    <w:abstractNumId w:val="4"/>
  </w:num>
  <w:num w:numId="25">
    <w:abstractNumId w:val="1"/>
  </w:num>
  <w:num w:numId="26">
    <w:abstractNumId w:val="0"/>
  </w:num>
  <w:num w:numId="27">
    <w:abstractNumId w:val="5"/>
  </w:num>
  <w:num w:numId="28">
    <w:abstractNumId w:val="5"/>
  </w:num>
  <w:num w:numId="29">
    <w:abstractNumId w:val="5"/>
  </w:num>
  <w:num w:numId="30">
    <w:abstractNumId w:val="3"/>
  </w:num>
  <w:num w:numId="31">
    <w:abstractNumId w:val="2"/>
  </w:num>
  <w:num w:numId="32">
    <w:abstractNumId w:val="4"/>
  </w:num>
  <w:num w:numId="33">
    <w:abstractNumId w:val="1"/>
  </w:num>
  <w:num w:numId="34">
    <w:abstractNumId w:val="0"/>
  </w:num>
  <w:num w:numId="35">
    <w:abstractNumId w:val="6"/>
  </w:num>
  <w:num w:numId="36">
    <w:abstractNumId w:val="7"/>
  </w:num>
  <w:num w:numId="37">
    <w:abstractNumId w:val="8"/>
  </w:num>
  <w:num w:numId="38">
    <w:abstractNumId w:val="1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03"/>
    <w:rsid w:val="00020601"/>
    <w:rsid w:val="0003485C"/>
    <w:rsid w:val="00071A34"/>
    <w:rsid w:val="000751E8"/>
    <w:rsid w:val="000873CE"/>
    <w:rsid w:val="000A6FC2"/>
    <w:rsid w:val="000C6852"/>
    <w:rsid w:val="00105A7D"/>
    <w:rsid w:val="00111134"/>
    <w:rsid w:val="001332AF"/>
    <w:rsid w:val="002005DE"/>
    <w:rsid w:val="00292FDE"/>
    <w:rsid w:val="003032E3"/>
    <w:rsid w:val="003713E5"/>
    <w:rsid w:val="003920BB"/>
    <w:rsid w:val="003A4BD8"/>
    <w:rsid w:val="00450225"/>
    <w:rsid w:val="004912E7"/>
    <w:rsid w:val="00496092"/>
    <w:rsid w:val="0051009D"/>
    <w:rsid w:val="005117FB"/>
    <w:rsid w:val="0052563D"/>
    <w:rsid w:val="00543270"/>
    <w:rsid w:val="005C7B0F"/>
    <w:rsid w:val="006027DF"/>
    <w:rsid w:val="0063263E"/>
    <w:rsid w:val="00657DC9"/>
    <w:rsid w:val="00691FD0"/>
    <w:rsid w:val="006D5AFA"/>
    <w:rsid w:val="00722D84"/>
    <w:rsid w:val="007604CF"/>
    <w:rsid w:val="007924B1"/>
    <w:rsid w:val="008076A2"/>
    <w:rsid w:val="00834530"/>
    <w:rsid w:val="0084798B"/>
    <w:rsid w:val="00874A9A"/>
    <w:rsid w:val="00887F36"/>
    <w:rsid w:val="008C1903"/>
    <w:rsid w:val="008E04BF"/>
    <w:rsid w:val="008E58FA"/>
    <w:rsid w:val="0091639A"/>
    <w:rsid w:val="00985E22"/>
    <w:rsid w:val="00A67646"/>
    <w:rsid w:val="00A83152"/>
    <w:rsid w:val="00B07D39"/>
    <w:rsid w:val="00C1252F"/>
    <w:rsid w:val="00C2046E"/>
    <w:rsid w:val="00C37AC3"/>
    <w:rsid w:val="00C53D1D"/>
    <w:rsid w:val="00C53D3D"/>
    <w:rsid w:val="00C70CB4"/>
    <w:rsid w:val="00C94096"/>
    <w:rsid w:val="00D1452E"/>
    <w:rsid w:val="00D35024"/>
    <w:rsid w:val="00DE7915"/>
    <w:rsid w:val="00E75C83"/>
    <w:rsid w:val="00E94AA1"/>
    <w:rsid w:val="00EC7FEC"/>
    <w:rsid w:val="00F116C2"/>
    <w:rsid w:val="00F4371A"/>
    <w:rsid w:val="00F54C09"/>
    <w:rsid w:val="00F635EB"/>
    <w:rsid w:val="00F732E1"/>
    <w:rsid w:val="00FD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E2FAB-31F7-4D85-98FA-E6CCD8CC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99" w:defSemiHidden="0" w:defUnhideWhenUsed="0" w:defQFormat="0" w:count="371">
    <w:lsdException w:name="Normal" w:uiPriority="19"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uiPriority="1"/>
    <w:lsdException w:name="List Bullet 4" w:semiHidden="1" w:unhideWhenUsed="1"/>
    <w:lsdException w:name="List Bullet 5" w:semiHidden="1" w:unhideWhenUsed="1"/>
    <w:lsdException w:name="List Number 2" w:semiHidden="1" w:uiPriority="0" w:unhideWhenUsed="1"/>
    <w:lsdException w:name="List Number 3" w:uiPriority="1"/>
    <w:lsdException w:name="List Number 4" w:semiHidden="1" w:unhideWhenUsed="1"/>
    <w:lsdException w:name="List Number 5" w:semiHidden="1" w:unhideWhenUsed="1"/>
    <w:lsdException w:name="Title" w:uiPriority="4" w:qFormat="1"/>
    <w:lsdException w:name="Closing" w:semiHidden="1" w:uiPriority="0" w:unhideWhenUsed="1"/>
    <w:lsdException w:name="Signature" w:semiHidden="1" w:uiPriority="14"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 w:unhideWhenUsed="1"/>
    <w:lsdException w:name="List Continue 2" w:semiHidden="1" w:uiPriority="1" w:unhideWhenUsed="1"/>
    <w:lsdException w:name="List Continue 3" w:uiPriority="1"/>
    <w:lsdException w:name="List Continue 4" w:semiHidden="1" w:unhideWhenUsed="1"/>
    <w:lsdException w:name="List Continue 5" w:semiHidden="1" w:unhideWhenUsed="1"/>
    <w:lsdException w:name="Message Header" w:semiHidden="1" w:uiPriority="0" w:unhideWhenUsed="1"/>
    <w:lsdException w:name="Subtitle" w:uiPriority="5" w:qFormat="1"/>
    <w:lsdException w:name="Salutation" w:semiHidden="1" w:uiPriority="0" w:unhideWhenUsed="1"/>
    <w:lsdException w:name="Date" w:semiHidden="1" w:uiPriority="2" w:unhideWhenUsed="1"/>
    <w:lsdException w:name="Body Text First Indent" w:semiHidden="1" w:uiPriority="0" w:unhideWhenUsed="1" w:qFormat="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0"/>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8" w:unhideWhenUsed="1"/>
  </w:latentStyles>
  <w:style w:type="paragraph" w:default="1" w:styleId="Normal">
    <w:name w:val="Normal"/>
    <w:uiPriority w:val="19"/>
    <w:qFormat/>
    <w:rsid w:val="0042581E"/>
    <w:pPr>
      <w:spacing w:after="0"/>
      <w:ind w:left="0" w:right="0" w:firstLine="0"/>
    </w:pPr>
    <w:rPr>
      <w:sz w:val="24"/>
      <w:szCs w:val="24"/>
    </w:rPr>
  </w:style>
  <w:style w:type="paragraph" w:styleId="Heading1">
    <w:name w:val="heading 1"/>
    <w:basedOn w:val="Normal"/>
    <w:next w:val="Normal"/>
    <w:link w:val="Heading1Char"/>
    <w:qFormat/>
    <w:rsid w:val="001F558F"/>
    <w:pPr>
      <w:keepNext/>
      <w:spacing w:after="240"/>
      <w:jc w:val="center"/>
      <w:outlineLvl w:val="0"/>
    </w:pPr>
    <w:rPr>
      <w:b/>
      <w:bCs/>
      <w:caps/>
      <w:kern w:val="32"/>
      <w:szCs w:val="32"/>
    </w:rPr>
  </w:style>
  <w:style w:type="paragraph" w:styleId="Heading2">
    <w:name w:val="heading 2"/>
    <w:basedOn w:val="Normal"/>
    <w:next w:val="Normal"/>
    <w:link w:val="Heading2Char"/>
    <w:qFormat/>
    <w:rsid w:val="001F558F"/>
    <w:pPr>
      <w:keepNext/>
      <w:spacing w:after="240"/>
      <w:jc w:val="center"/>
      <w:outlineLvl w:val="1"/>
    </w:pPr>
    <w:rPr>
      <w:b/>
      <w:bCs/>
      <w:iCs/>
      <w:szCs w:val="28"/>
      <w:u w:val="single"/>
    </w:rPr>
  </w:style>
  <w:style w:type="paragraph" w:styleId="Heading3">
    <w:name w:val="heading 3"/>
    <w:basedOn w:val="Normal"/>
    <w:next w:val="Normal"/>
    <w:link w:val="Heading3Char"/>
    <w:qFormat/>
    <w:rsid w:val="001F558F"/>
    <w:pPr>
      <w:keepNext/>
      <w:spacing w:after="240"/>
      <w:outlineLvl w:val="2"/>
    </w:pPr>
    <w:rPr>
      <w:b/>
      <w:bCs/>
      <w:szCs w:val="26"/>
      <w:u w:val="single"/>
    </w:rPr>
  </w:style>
  <w:style w:type="paragraph" w:styleId="Heading4">
    <w:name w:val="heading 4"/>
    <w:basedOn w:val="Normal"/>
    <w:next w:val="Normal"/>
    <w:link w:val="Heading4Char"/>
    <w:qFormat/>
    <w:rsid w:val="001F558F"/>
    <w:pPr>
      <w:keepNext/>
      <w:spacing w:after="240"/>
      <w:outlineLvl w:val="3"/>
    </w:pPr>
    <w:rPr>
      <w:b/>
      <w:bCs/>
      <w:i/>
      <w:szCs w:val="28"/>
      <w:u w:val="single"/>
    </w:rPr>
  </w:style>
  <w:style w:type="paragraph" w:styleId="Heading5">
    <w:name w:val="heading 5"/>
    <w:basedOn w:val="Normal"/>
    <w:next w:val="Normal"/>
    <w:link w:val="Heading5Char"/>
    <w:qFormat/>
    <w:rsid w:val="001F558F"/>
    <w:pPr>
      <w:keepNext/>
      <w:spacing w:after="240"/>
      <w:outlineLvl w:val="4"/>
    </w:pPr>
    <w:rPr>
      <w:b/>
      <w:bCs/>
      <w:iCs/>
      <w:szCs w:val="26"/>
    </w:rPr>
  </w:style>
  <w:style w:type="paragraph" w:styleId="Heading6">
    <w:name w:val="heading 6"/>
    <w:basedOn w:val="Normal"/>
    <w:next w:val="Normal"/>
    <w:link w:val="Heading6Char"/>
    <w:qFormat/>
    <w:rsid w:val="001F558F"/>
    <w:pPr>
      <w:keepNext/>
      <w:spacing w:after="240"/>
      <w:outlineLvl w:val="5"/>
    </w:pPr>
    <w:rPr>
      <w:bCs/>
      <w:i/>
      <w:szCs w:val="22"/>
    </w:rPr>
  </w:style>
  <w:style w:type="paragraph" w:styleId="Heading7">
    <w:name w:val="heading 7"/>
    <w:basedOn w:val="Normal"/>
    <w:next w:val="Normal"/>
    <w:link w:val="Heading7Char"/>
    <w:qFormat/>
    <w:rsid w:val="001F558F"/>
    <w:pPr>
      <w:keepNext/>
      <w:spacing w:after="240"/>
      <w:outlineLvl w:val="6"/>
    </w:pPr>
    <w:rPr>
      <w:u w:val="single"/>
    </w:rPr>
  </w:style>
  <w:style w:type="paragraph" w:styleId="Heading8">
    <w:name w:val="heading 8"/>
    <w:basedOn w:val="Normal"/>
    <w:next w:val="Normal"/>
    <w:link w:val="Heading8Char"/>
    <w:qFormat/>
    <w:rsid w:val="001F558F"/>
    <w:pPr>
      <w:keepNext/>
      <w:spacing w:after="240"/>
      <w:outlineLvl w:val="7"/>
    </w:pPr>
    <w:rPr>
      <w:i/>
      <w:iCs/>
      <w:u w:val="single"/>
    </w:rPr>
  </w:style>
  <w:style w:type="paragraph" w:styleId="Heading9">
    <w:name w:val="heading 9"/>
    <w:basedOn w:val="Normal"/>
    <w:next w:val="Normal"/>
    <w:link w:val="Heading9Char"/>
    <w:qFormat/>
    <w:rsid w:val="001F558F"/>
    <w:pPr>
      <w:keepNext/>
      <w:spacing w:after="240"/>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558F"/>
    <w:rPr>
      <w:b/>
      <w:bCs/>
      <w:caps/>
      <w:kern w:val="32"/>
      <w:sz w:val="24"/>
      <w:szCs w:val="32"/>
    </w:rPr>
  </w:style>
  <w:style w:type="character" w:customStyle="1" w:styleId="Heading2Char">
    <w:name w:val="Heading 2 Char"/>
    <w:link w:val="Heading2"/>
    <w:rsid w:val="001F558F"/>
    <w:rPr>
      <w:b/>
      <w:bCs/>
      <w:iCs/>
      <w:sz w:val="24"/>
      <w:szCs w:val="28"/>
      <w:u w:val="single"/>
    </w:rPr>
  </w:style>
  <w:style w:type="character" w:customStyle="1" w:styleId="Heading3Char">
    <w:name w:val="Heading 3 Char"/>
    <w:link w:val="Heading3"/>
    <w:rsid w:val="001F558F"/>
    <w:rPr>
      <w:b/>
      <w:bCs/>
      <w:sz w:val="24"/>
      <w:szCs w:val="26"/>
      <w:u w:val="single"/>
    </w:rPr>
  </w:style>
  <w:style w:type="character" w:customStyle="1" w:styleId="Heading4Char">
    <w:name w:val="Heading 4 Char"/>
    <w:link w:val="Heading4"/>
    <w:rsid w:val="001F558F"/>
    <w:rPr>
      <w:b/>
      <w:bCs/>
      <w:i/>
      <w:sz w:val="24"/>
      <w:szCs w:val="28"/>
      <w:u w:val="single"/>
    </w:rPr>
  </w:style>
  <w:style w:type="paragraph" w:styleId="Caption">
    <w:name w:val="caption"/>
    <w:basedOn w:val="Normal"/>
    <w:next w:val="Normal"/>
    <w:semiHidden/>
    <w:unhideWhenUsed/>
    <w:qFormat/>
    <w:rsid w:val="00D35F04"/>
    <w:pPr>
      <w:spacing w:after="200"/>
    </w:pPr>
    <w:rPr>
      <w:rFonts w:eastAsiaTheme="minorEastAsia"/>
      <w:b/>
      <w:bCs/>
      <w:sz w:val="18"/>
      <w:szCs w:val="18"/>
    </w:rPr>
  </w:style>
  <w:style w:type="paragraph" w:styleId="ListBullet">
    <w:name w:val="List Bullet"/>
    <w:basedOn w:val="Normal"/>
    <w:rsid w:val="001F558F"/>
    <w:pPr>
      <w:numPr>
        <w:numId w:val="29"/>
      </w:numPr>
      <w:tabs>
        <w:tab w:val="clear" w:pos="360"/>
        <w:tab w:val="left" w:pos="720"/>
      </w:tabs>
      <w:spacing w:after="240"/>
      <w:ind w:left="720" w:hanging="720"/>
    </w:pPr>
    <w:rPr>
      <w:szCs w:val="20"/>
    </w:rPr>
  </w:style>
  <w:style w:type="paragraph" w:styleId="ListNumber">
    <w:name w:val="List Number"/>
    <w:basedOn w:val="Normal"/>
    <w:rsid w:val="001F558F"/>
    <w:pPr>
      <w:numPr>
        <w:numId w:val="32"/>
      </w:numPr>
      <w:tabs>
        <w:tab w:val="clear" w:pos="360"/>
      </w:tabs>
      <w:spacing w:after="240"/>
      <w:ind w:left="720" w:hanging="720"/>
    </w:pPr>
    <w:rPr>
      <w:szCs w:val="20"/>
    </w:rPr>
  </w:style>
  <w:style w:type="paragraph" w:styleId="Title">
    <w:name w:val="Title"/>
    <w:link w:val="TitleChar"/>
    <w:uiPriority w:val="4"/>
    <w:qFormat/>
    <w:rsid w:val="00D35F04"/>
    <w:pPr>
      <w:keepNext/>
      <w:ind w:left="0" w:right="0" w:firstLine="0"/>
      <w:jc w:val="center"/>
      <w:outlineLvl w:val="0"/>
    </w:pPr>
    <w:rPr>
      <w:rFonts w:eastAsiaTheme="majorEastAsia" w:cs="Arial"/>
      <w:b/>
      <w:bCs/>
      <w:sz w:val="24"/>
      <w:szCs w:val="32"/>
    </w:rPr>
  </w:style>
  <w:style w:type="character" w:customStyle="1" w:styleId="TitleChar">
    <w:name w:val="Title Char"/>
    <w:link w:val="Title"/>
    <w:uiPriority w:val="4"/>
    <w:rsid w:val="00D35F04"/>
    <w:rPr>
      <w:rFonts w:eastAsiaTheme="majorEastAsia" w:cs="Arial"/>
      <w:b/>
      <w:bCs/>
      <w:sz w:val="24"/>
      <w:szCs w:val="32"/>
    </w:rPr>
  </w:style>
  <w:style w:type="paragraph" w:styleId="Signature">
    <w:name w:val="Signature"/>
    <w:basedOn w:val="Normal"/>
    <w:link w:val="SignatureChar"/>
    <w:uiPriority w:val="14"/>
    <w:qFormat/>
    <w:rsid w:val="009F25C7"/>
    <w:pPr>
      <w:tabs>
        <w:tab w:val="right" w:leader="underscore" w:pos="9360"/>
      </w:tabs>
      <w:spacing w:after="240"/>
      <w:ind w:left="4320"/>
    </w:pPr>
    <w:rPr>
      <w:szCs w:val="20"/>
    </w:rPr>
  </w:style>
  <w:style w:type="character" w:customStyle="1" w:styleId="SignatureChar">
    <w:name w:val="Signature Char"/>
    <w:link w:val="Signature"/>
    <w:uiPriority w:val="14"/>
    <w:rsid w:val="009F25C7"/>
    <w:rPr>
      <w:sz w:val="24"/>
    </w:rPr>
  </w:style>
  <w:style w:type="paragraph" w:styleId="BodyText">
    <w:name w:val="Body Text"/>
    <w:basedOn w:val="Normal"/>
    <w:link w:val="BodyTextChar"/>
    <w:qFormat/>
    <w:rsid w:val="00D35F04"/>
    <w:pPr>
      <w:spacing w:after="240"/>
    </w:pPr>
    <w:rPr>
      <w:szCs w:val="20"/>
    </w:rPr>
  </w:style>
  <w:style w:type="character" w:customStyle="1" w:styleId="BodyTextChar">
    <w:name w:val="Body Text Char"/>
    <w:link w:val="BodyText"/>
    <w:rsid w:val="00D35F04"/>
    <w:rPr>
      <w:sz w:val="24"/>
    </w:rPr>
  </w:style>
  <w:style w:type="paragraph" w:styleId="BodyTextFirstIndent">
    <w:name w:val="Body Text First Indent"/>
    <w:basedOn w:val="BodyText"/>
    <w:link w:val="BodyTextFirstIndentChar"/>
    <w:qFormat/>
    <w:rsid w:val="00D35F04"/>
    <w:pPr>
      <w:ind w:firstLine="720"/>
    </w:pPr>
  </w:style>
  <w:style w:type="character" w:customStyle="1" w:styleId="BodyTextFirstIndentChar">
    <w:name w:val="Body Text First Indent Char"/>
    <w:link w:val="BodyTextFirstIndent"/>
    <w:rsid w:val="009B3EDD"/>
    <w:rPr>
      <w:sz w:val="24"/>
    </w:rPr>
  </w:style>
  <w:style w:type="paragraph" w:styleId="Quote">
    <w:name w:val="Quote"/>
    <w:basedOn w:val="Normal"/>
    <w:next w:val="Normal"/>
    <w:link w:val="QuoteChar"/>
    <w:rsid w:val="00D3093E"/>
    <w:pPr>
      <w:spacing w:after="240"/>
      <w:ind w:left="1440" w:right="1440"/>
    </w:pPr>
    <w:rPr>
      <w:i/>
      <w:iCs/>
    </w:rPr>
  </w:style>
  <w:style w:type="character" w:customStyle="1" w:styleId="QuoteChar">
    <w:name w:val="Quote Char"/>
    <w:basedOn w:val="DefaultParagraphFont"/>
    <w:link w:val="Quote"/>
    <w:rsid w:val="00D3093E"/>
    <w:rPr>
      <w:i/>
      <w:iCs/>
      <w:sz w:val="24"/>
      <w:szCs w:val="24"/>
    </w:rPr>
  </w:style>
  <w:style w:type="paragraph" w:styleId="ListParagraph">
    <w:name w:val="List Paragraph"/>
    <w:basedOn w:val="Normal"/>
    <w:uiPriority w:val="1"/>
    <w:rsid w:val="001F558F"/>
    <w:pPr>
      <w:spacing w:after="240"/>
      <w:ind w:left="720"/>
    </w:pPr>
  </w:style>
  <w:style w:type="paragraph" w:styleId="BlockText">
    <w:name w:val="Block Text"/>
    <w:basedOn w:val="Normal"/>
    <w:uiPriority w:val="1"/>
    <w:qFormat/>
    <w:rsid w:val="0042581E"/>
    <w:pPr>
      <w:spacing w:after="240"/>
      <w:ind w:left="1440" w:right="1440"/>
      <w:jc w:val="both"/>
    </w:pPr>
    <w:rPr>
      <w:szCs w:val="20"/>
    </w:rPr>
  </w:style>
  <w:style w:type="paragraph" w:styleId="BodyText2">
    <w:name w:val="Body Text 2"/>
    <w:basedOn w:val="BodyText"/>
    <w:link w:val="BodyText2Char"/>
    <w:rsid w:val="00E4051A"/>
    <w:pPr>
      <w:spacing w:after="0" w:line="480" w:lineRule="auto"/>
    </w:pPr>
  </w:style>
  <w:style w:type="character" w:customStyle="1" w:styleId="BodyText2Char">
    <w:name w:val="Body Text 2 Char"/>
    <w:basedOn w:val="DefaultParagraphFont"/>
    <w:link w:val="BodyText2"/>
    <w:rsid w:val="00E4051A"/>
    <w:rPr>
      <w:sz w:val="24"/>
    </w:rPr>
  </w:style>
  <w:style w:type="paragraph" w:styleId="BodyText3">
    <w:name w:val="Body Text 3"/>
    <w:basedOn w:val="Normal"/>
    <w:link w:val="BodyText3Char"/>
    <w:semiHidden/>
    <w:unhideWhenUsed/>
    <w:rsid w:val="00D3093E"/>
    <w:pPr>
      <w:spacing w:line="360" w:lineRule="auto"/>
    </w:pPr>
    <w:rPr>
      <w:szCs w:val="16"/>
    </w:rPr>
  </w:style>
  <w:style w:type="character" w:customStyle="1" w:styleId="BodyText3Char">
    <w:name w:val="Body Text 3 Char"/>
    <w:basedOn w:val="DefaultParagraphFont"/>
    <w:link w:val="BodyText3"/>
    <w:semiHidden/>
    <w:rsid w:val="00D3093E"/>
    <w:rPr>
      <w:sz w:val="24"/>
      <w:szCs w:val="16"/>
    </w:rPr>
  </w:style>
  <w:style w:type="paragraph" w:styleId="BodyTextIndent">
    <w:name w:val="Body Text Indent"/>
    <w:basedOn w:val="BodyText"/>
    <w:link w:val="BodyTextIndentChar"/>
    <w:rsid w:val="0042581E"/>
    <w:pPr>
      <w:ind w:left="720"/>
    </w:pPr>
  </w:style>
  <w:style w:type="character" w:customStyle="1" w:styleId="BodyTextIndentChar">
    <w:name w:val="Body Text Indent Char"/>
    <w:basedOn w:val="DefaultParagraphFont"/>
    <w:link w:val="BodyTextIndent"/>
    <w:rsid w:val="0042581E"/>
    <w:rPr>
      <w:sz w:val="24"/>
    </w:rPr>
  </w:style>
  <w:style w:type="paragraph" w:styleId="BodyTextFirstIndent2">
    <w:name w:val="Body Text First Indent 2"/>
    <w:basedOn w:val="BodyText"/>
    <w:link w:val="BodyTextFirstIndent2Char"/>
    <w:rsid w:val="00D3093E"/>
    <w:pPr>
      <w:spacing w:line="480" w:lineRule="auto"/>
      <w:ind w:firstLine="720"/>
    </w:pPr>
  </w:style>
  <w:style w:type="character" w:customStyle="1" w:styleId="BodyTextFirstIndent2Char">
    <w:name w:val="Body Text First Indent 2 Char"/>
    <w:basedOn w:val="BodyTextIndentChar"/>
    <w:link w:val="BodyTextFirstIndent2"/>
    <w:rsid w:val="009B3EDD"/>
    <w:rPr>
      <w:sz w:val="24"/>
    </w:rPr>
  </w:style>
  <w:style w:type="paragraph" w:styleId="BodyTextIndent2">
    <w:name w:val="Body Text Indent 2"/>
    <w:basedOn w:val="BodyText"/>
    <w:link w:val="BodyTextIndent2Char"/>
    <w:semiHidden/>
    <w:unhideWhenUsed/>
    <w:rsid w:val="00D3093E"/>
    <w:pPr>
      <w:spacing w:after="0" w:line="480" w:lineRule="auto"/>
      <w:ind w:left="1440"/>
    </w:pPr>
  </w:style>
  <w:style w:type="character" w:customStyle="1" w:styleId="BodyTextIndent2Char">
    <w:name w:val="Body Text Indent 2 Char"/>
    <w:basedOn w:val="DefaultParagraphFont"/>
    <w:link w:val="BodyTextIndent2"/>
    <w:semiHidden/>
    <w:rsid w:val="00D3093E"/>
    <w:rPr>
      <w:sz w:val="24"/>
    </w:rPr>
  </w:style>
  <w:style w:type="paragraph" w:styleId="BodyTextIndent3">
    <w:name w:val="Body Text Indent 3"/>
    <w:basedOn w:val="BodyText"/>
    <w:link w:val="BodyTextIndent3Char"/>
    <w:semiHidden/>
    <w:unhideWhenUsed/>
    <w:rsid w:val="00D3093E"/>
    <w:pPr>
      <w:spacing w:after="0" w:line="360" w:lineRule="auto"/>
      <w:ind w:left="1440"/>
    </w:pPr>
    <w:rPr>
      <w:szCs w:val="16"/>
    </w:rPr>
  </w:style>
  <w:style w:type="character" w:customStyle="1" w:styleId="BodyTextIndent3Char">
    <w:name w:val="Body Text Indent 3 Char"/>
    <w:basedOn w:val="DefaultParagraphFont"/>
    <w:link w:val="BodyTextIndent3"/>
    <w:semiHidden/>
    <w:rsid w:val="00D3093E"/>
    <w:rPr>
      <w:sz w:val="24"/>
      <w:szCs w:val="16"/>
    </w:rPr>
  </w:style>
  <w:style w:type="paragraph" w:styleId="Closing">
    <w:name w:val="Closing"/>
    <w:basedOn w:val="Normal"/>
    <w:link w:val="ClosingChar"/>
    <w:rsid w:val="00D3093E"/>
    <w:pPr>
      <w:spacing w:after="240"/>
    </w:pPr>
    <w:rPr>
      <w:szCs w:val="20"/>
    </w:rPr>
  </w:style>
  <w:style w:type="character" w:customStyle="1" w:styleId="ClosingChar">
    <w:name w:val="Closing Char"/>
    <w:basedOn w:val="DefaultParagraphFont"/>
    <w:link w:val="Closing"/>
    <w:rsid w:val="00D3093E"/>
    <w:rPr>
      <w:sz w:val="24"/>
    </w:rPr>
  </w:style>
  <w:style w:type="paragraph" w:styleId="Date">
    <w:name w:val="Date"/>
    <w:basedOn w:val="Normal"/>
    <w:link w:val="DateChar"/>
    <w:uiPriority w:val="2"/>
    <w:rsid w:val="00D3093E"/>
    <w:pPr>
      <w:spacing w:after="480"/>
      <w:ind w:left="4320"/>
    </w:pPr>
  </w:style>
  <w:style w:type="character" w:customStyle="1" w:styleId="DateChar">
    <w:name w:val="Date Char"/>
    <w:basedOn w:val="DefaultParagraphFont"/>
    <w:link w:val="Date"/>
    <w:uiPriority w:val="2"/>
    <w:rsid w:val="00D3093E"/>
    <w:rPr>
      <w:sz w:val="24"/>
      <w:szCs w:val="24"/>
    </w:rPr>
  </w:style>
  <w:style w:type="paragraph" w:styleId="EndnoteText">
    <w:name w:val="endnote text"/>
    <w:basedOn w:val="Normal"/>
    <w:link w:val="EndnoteTextChar"/>
    <w:semiHidden/>
    <w:unhideWhenUsed/>
    <w:rsid w:val="00D3093E"/>
    <w:rPr>
      <w:szCs w:val="20"/>
    </w:rPr>
  </w:style>
  <w:style w:type="character" w:customStyle="1" w:styleId="EndnoteTextChar">
    <w:name w:val="Endnote Text Char"/>
    <w:basedOn w:val="DefaultParagraphFont"/>
    <w:link w:val="EndnoteText"/>
    <w:semiHidden/>
    <w:rsid w:val="00D3093E"/>
    <w:rPr>
      <w:sz w:val="24"/>
    </w:rPr>
  </w:style>
  <w:style w:type="paragraph" w:styleId="Footer">
    <w:name w:val="footer"/>
    <w:basedOn w:val="Normal"/>
    <w:link w:val="FooterChar"/>
    <w:uiPriority w:val="99"/>
    <w:rsid w:val="00D3093E"/>
    <w:pPr>
      <w:tabs>
        <w:tab w:val="center" w:pos="4680"/>
        <w:tab w:val="right" w:pos="9360"/>
      </w:tabs>
    </w:pPr>
  </w:style>
  <w:style w:type="character" w:customStyle="1" w:styleId="FooterChar">
    <w:name w:val="Footer Char"/>
    <w:basedOn w:val="DefaultParagraphFont"/>
    <w:link w:val="Footer"/>
    <w:uiPriority w:val="99"/>
    <w:rsid w:val="00D3093E"/>
    <w:rPr>
      <w:sz w:val="24"/>
      <w:szCs w:val="24"/>
    </w:rPr>
  </w:style>
  <w:style w:type="character" w:styleId="FootnoteReference">
    <w:name w:val="footnote reference"/>
    <w:basedOn w:val="DefaultParagraphFont"/>
    <w:semiHidden/>
    <w:unhideWhenUsed/>
    <w:rsid w:val="00D3093E"/>
    <w:rPr>
      <w:vertAlign w:val="superscript"/>
    </w:rPr>
  </w:style>
  <w:style w:type="paragraph" w:styleId="FootnoteText">
    <w:name w:val="footnote text"/>
    <w:basedOn w:val="Normal"/>
    <w:link w:val="FootnoteTextChar"/>
    <w:semiHidden/>
    <w:rsid w:val="00D3093E"/>
    <w:pPr>
      <w:spacing w:after="240"/>
    </w:pPr>
    <w:rPr>
      <w:sz w:val="20"/>
      <w:szCs w:val="20"/>
    </w:rPr>
  </w:style>
  <w:style w:type="character" w:customStyle="1" w:styleId="FootnoteTextChar">
    <w:name w:val="Footnote Text Char"/>
    <w:basedOn w:val="DefaultParagraphFont"/>
    <w:link w:val="FootnoteText"/>
    <w:semiHidden/>
    <w:rsid w:val="006C7F9B"/>
  </w:style>
  <w:style w:type="paragraph" w:styleId="Header">
    <w:name w:val="header"/>
    <w:basedOn w:val="Normal"/>
    <w:link w:val="HeaderChar"/>
    <w:rsid w:val="00D3093E"/>
    <w:pPr>
      <w:tabs>
        <w:tab w:val="center" w:pos="4680"/>
        <w:tab w:val="right" w:pos="9360"/>
      </w:tabs>
    </w:pPr>
  </w:style>
  <w:style w:type="character" w:customStyle="1" w:styleId="HeaderChar">
    <w:name w:val="Header Char"/>
    <w:basedOn w:val="DefaultParagraphFont"/>
    <w:link w:val="Header"/>
    <w:rsid w:val="00D3093E"/>
    <w:rPr>
      <w:sz w:val="24"/>
      <w:szCs w:val="24"/>
    </w:rPr>
  </w:style>
  <w:style w:type="character" w:customStyle="1" w:styleId="Heading5Char">
    <w:name w:val="Heading 5 Char"/>
    <w:link w:val="Heading5"/>
    <w:rsid w:val="001F558F"/>
    <w:rPr>
      <w:b/>
      <w:bCs/>
      <w:iCs/>
      <w:sz w:val="24"/>
      <w:szCs w:val="26"/>
    </w:rPr>
  </w:style>
  <w:style w:type="character" w:customStyle="1" w:styleId="Heading6Char">
    <w:name w:val="Heading 6 Char"/>
    <w:link w:val="Heading6"/>
    <w:rsid w:val="001F558F"/>
    <w:rPr>
      <w:bCs/>
      <w:i/>
      <w:sz w:val="24"/>
      <w:szCs w:val="22"/>
    </w:rPr>
  </w:style>
  <w:style w:type="character" w:customStyle="1" w:styleId="Heading7Char">
    <w:name w:val="Heading 7 Char"/>
    <w:link w:val="Heading7"/>
    <w:rsid w:val="001F558F"/>
    <w:rPr>
      <w:sz w:val="24"/>
      <w:szCs w:val="24"/>
      <w:u w:val="single"/>
    </w:rPr>
  </w:style>
  <w:style w:type="character" w:customStyle="1" w:styleId="Heading8Char">
    <w:name w:val="Heading 8 Char"/>
    <w:link w:val="Heading8"/>
    <w:rsid w:val="001F558F"/>
    <w:rPr>
      <w:i/>
      <w:iCs/>
      <w:sz w:val="24"/>
      <w:szCs w:val="24"/>
      <w:u w:val="single"/>
    </w:rPr>
  </w:style>
  <w:style w:type="character" w:customStyle="1" w:styleId="Heading9Char">
    <w:name w:val="Heading 9 Char"/>
    <w:link w:val="Heading9"/>
    <w:rsid w:val="001F558F"/>
    <w:rPr>
      <w:sz w:val="24"/>
      <w:szCs w:val="22"/>
    </w:rPr>
  </w:style>
  <w:style w:type="character" w:styleId="Emphasis">
    <w:name w:val="Emphasis"/>
    <w:aliases w:val="Italic"/>
    <w:basedOn w:val="DefaultParagraphFont"/>
    <w:uiPriority w:val="20"/>
    <w:qFormat/>
    <w:rsid w:val="00D35F04"/>
    <w:rPr>
      <w:i/>
      <w:iCs/>
    </w:rPr>
  </w:style>
  <w:style w:type="character" w:styleId="Strong">
    <w:name w:val="Strong"/>
    <w:aliases w:val="Bold"/>
    <w:basedOn w:val="DefaultParagraphFont"/>
    <w:uiPriority w:val="22"/>
    <w:qFormat/>
    <w:rsid w:val="00D35F04"/>
    <w:rPr>
      <w:b/>
      <w:bCs/>
    </w:rPr>
  </w:style>
  <w:style w:type="character" w:customStyle="1" w:styleId="Underline">
    <w:name w:val="Underline"/>
    <w:basedOn w:val="DefaultParagraphFont"/>
    <w:uiPriority w:val="22"/>
    <w:qFormat/>
    <w:rsid w:val="00D35F04"/>
    <w:rPr>
      <w:u w:val="single"/>
    </w:rPr>
  </w:style>
  <w:style w:type="paragraph" w:customStyle="1" w:styleId="HeadingBody5">
    <w:name w:val="HeadingBody5"/>
    <w:basedOn w:val="BodyText"/>
    <w:uiPriority w:val="4"/>
    <w:semiHidden/>
    <w:unhideWhenUsed/>
    <w:rsid w:val="00D3093E"/>
    <w:pPr>
      <w:ind w:left="3600"/>
    </w:pPr>
  </w:style>
  <w:style w:type="paragraph" w:styleId="List">
    <w:name w:val="List"/>
    <w:basedOn w:val="Normal"/>
    <w:uiPriority w:val="1"/>
    <w:semiHidden/>
    <w:unhideWhenUsed/>
    <w:rsid w:val="00D3093E"/>
    <w:pPr>
      <w:ind w:left="360" w:hanging="360"/>
      <w:contextualSpacing/>
    </w:pPr>
  </w:style>
  <w:style w:type="paragraph" w:styleId="List2">
    <w:name w:val="List 2"/>
    <w:basedOn w:val="Normal"/>
    <w:uiPriority w:val="1"/>
    <w:semiHidden/>
    <w:unhideWhenUsed/>
    <w:rsid w:val="00D3093E"/>
    <w:pPr>
      <w:ind w:left="720" w:hanging="360"/>
      <w:contextualSpacing/>
    </w:pPr>
  </w:style>
  <w:style w:type="paragraph" w:styleId="ListBullet2">
    <w:name w:val="List Bullet 2"/>
    <w:basedOn w:val="Normal"/>
    <w:rsid w:val="001F558F"/>
    <w:pPr>
      <w:numPr>
        <w:numId w:val="30"/>
      </w:numPr>
      <w:tabs>
        <w:tab w:val="clear" w:pos="720"/>
      </w:tabs>
      <w:spacing w:after="240"/>
      <w:ind w:left="1440" w:hanging="720"/>
    </w:pPr>
    <w:rPr>
      <w:szCs w:val="20"/>
    </w:rPr>
  </w:style>
  <w:style w:type="paragraph" w:styleId="ListContinue">
    <w:name w:val="List Continue"/>
    <w:basedOn w:val="Normal"/>
    <w:uiPriority w:val="1"/>
    <w:rsid w:val="001F558F"/>
    <w:pPr>
      <w:spacing w:after="240"/>
      <w:ind w:left="360"/>
    </w:pPr>
  </w:style>
  <w:style w:type="paragraph" w:styleId="ListContinue2">
    <w:name w:val="List Continue 2"/>
    <w:basedOn w:val="Normal"/>
    <w:uiPriority w:val="1"/>
    <w:rsid w:val="001F558F"/>
    <w:pPr>
      <w:spacing w:after="240"/>
      <w:ind w:left="720"/>
    </w:pPr>
  </w:style>
  <w:style w:type="paragraph" w:styleId="ListNumber2">
    <w:name w:val="List Number 2"/>
    <w:basedOn w:val="Normal"/>
    <w:rsid w:val="001F558F"/>
    <w:pPr>
      <w:numPr>
        <w:numId w:val="33"/>
      </w:numPr>
      <w:tabs>
        <w:tab w:val="clear" w:pos="720"/>
      </w:tabs>
      <w:spacing w:after="240"/>
      <w:ind w:left="1440" w:hanging="720"/>
    </w:pPr>
    <w:rPr>
      <w:szCs w:val="20"/>
    </w:rPr>
  </w:style>
  <w:style w:type="paragraph" w:styleId="MessageHeader">
    <w:name w:val="Message Header"/>
    <w:basedOn w:val="Normal"/>
    <w:link w:val="MessageHeaderChar"/>
    <w:autoRedefine/>
    <w:semiHidden/>
    <w:rsid w:val="00D3093E"/>
    <w:pPr>
      <w:pBdr>
        <w:top w:val="single" w:sz="6" w:space="1" w:color="auto"/>
        <w:left w:val="single" w:sz="6" w:space="1" w:color="auto"/>
        <w:bottom w:val="single" w:sz="6" w:space="1" w:color="auto"/>
        <w:right w:val="single" w:sz="6" w:space="1" w:color="auto"/>
      </w:pBdr>
      <w:shd w:val="clear" w:color="auto" w:fill="E0E0E0"/>
      <w:ind w:left="1080" w:hanging="1080"/>
    </w:pPr>
    <w:rPr>
      <w:rFonts w:cs="Arial"/>
      <w:b/>
    </w:rPr>
  </w:style>
  <w:style w:type="character" w:customStyle="1" w:styleId="MessageHeaderChar">
    <w:name w:val="Message Header Char"/>
    <w:basedOn w:val="DefaultParagraphFont"/>
    <w:link w:val="MessageHeader"/>
    <w:semiHidden/>
    <w:rsid w:val="00D3093E"/>
    <w:rPr>
      <w:rFonts w:cs="Arial"/>
      <w:b/>
      <w:sz w:val="24"/>
      <w:szCs w:val="24"/>
      <w:shd w:val="clear" w:color="auto" w:fill="E0E0E0"/>
    </w:rPr>
  </w:style>
  <w:style w:type="paragraph" w:styleId="NoSpacing">
    <w:name w:val="No Spacing"/>
    <w:basedOn w:val="Normal"/>
    <w:link w:val="NoSpacingChar"/>
    <w:uiPriority w:val="19"/>
    <w:qFormat/>
    <w:rsid w:val="00D35F04"/>
  </w:style>
  <w:style w:type="paragraph" w:customStyle="1" w:styleId="ReLine">
    <w:name w:val="Re Line"/>
    <w:basedOn w:val="Normal"/>
    <w:uiPriority w:val="2"/>
    <w:rsid w:val="00D3093E"/>
    <w:pPr>
      <w:tabs>
        <w:tab w:val="left" w:pos="2160"/>
      </w:tabs>
      <w:spacing w:after="240"/>
      <w:ind w:left="2160" w:hanging="720"/>
    </w:pPr>
  </w:style>
  <w:style w:type="paragraph" w:styleId="Salutation">
    <w:name w:val="Salutation"/>
    <w:basedOn w:val="Normal"/>
    <w:next w:val="Normal"/>
    <w:link w:val="SalutationChar"/>
    <w:rsid w:val="00D3093E"/>
    <w:pPr>
      <w:spacing w:after="240"/>
    </w:pPr>
    <w:rPr>
      <w:szCs w:val="20"/>
    </w:rPr>
  </w:style>
  <w:style w:type="character" w:customStyle="1" w:styleId="SalutationChar">
    <w:name w:val="Salutation Char"/>
    <w:basedOn w:val="DefaultParagraphFont"/>
    <w:link w:val="Salutation"/>
    <w:rsid w:val="00D3093E"/>
    <w:rPr>
      <w:sz w:val="24"/>
    </w:rPr>
  </w:style>
  <w:style w:type="paragraph" w:styleId="Subtitle">
    <w:name w:val="Subtitle"/>
    <w:basedOn w:val="Title"/>
    <w:link w:val="SubtitleChar"/>
    <w:uiPriority w:val="5"/>
    <w:qFormat/>
    <w:rsid w:val="00D35F04"/>
    <w:pPr>
      <w:outlineLvl w:val="1"/>
    </w:pPr>
    <w:rPr>
      <w:b w:val="0"/>
      <w:bCs w:val="0"/>
      <w:szCs w:val="24"/>
    </w:rPr>
  </w:style>
  <w:style w:type="character" w:customStyle="1" w:styleId="SubtitleChar">
    <w:name w:val="Subtitle Char"/>
    <w:basedOn w:val="DefaultParagraphFont"/>
    <w:link w:val="Subtitle"/>
    <w:uiPriority w:val="5"/>
    <w:rsid w:val="00D35F04"/>
    <w:rPr>
      <w:rFonts w:eastAsiaTheme="majorEastAsia" w:cs="Arial"/>
      <w:sz w:val="24"/>
      <w:szCs w:val="24"/>
    </w:rPr>
  </w:style>
  <w:style w:type="character" w:styleId="Hyperlink">
    <w:name w:val="Hyperlink"/>
    <w:basedOn w:val="DefaultParagraphFont"/>
    <w:uiPriority w:val="99"/>
    <w:unhideWhenUsed/>
    <w:rsid w:val="00D3093E"/>
    <w:rPr>
      <w:color w:val="0000FF" w:themeColor="hyperlink"/>
      <w:u w:val="single"/>
    </w:rPr>
  </w:style>
  <w:style w:type="paragraph" w:styleId="TOC1">
    <w:name w:val="toc 1"/>
    <w:basedOn w:val="Normal"/>
    <w:next w:val="Normal"/>
    <w:autoRedefine/>
    <w:uiPriority w:val="39"/>
    <w:rsid w:val="00D3093E"/>
    <w:pPr>
      <w:tabs>
        <w:tab w:val="left" w:pos="720"/>
        <w:tab w:val="right" w:leader="dot" w:pos="9360"/>
      </w:tabs>
      <w:spacing w:after="240"/>
      <w:ind w:left="720" w:right="720" w:hanging="720"/>
    </w:pPr>
    <w:rPr>
      <w:rFonts w:eastAsiaTheme="minorHAnsi" w:cstheme="minorBidi"/>
      <w:szCs w:val="22"/>
    </w:rPr>
  </w:style>
  <w:style w:type="paragraph" w:styleId="TOC2">
    <w:name w:val="toc 2"/>
    <w:basedOn w:val="Normal"/>
    <w:next w:val="Normal"/>
    <w:autoRedefine/>
    <w:uiPriority w:val="39"/>
    <w:rsid w:val="00D3093E"/>
    <w:pPr>
      <w:tabs>
        <w:tab w:val="left" w:pos="1440"/>
        <w:tab w:val="right" w:leader="dot" w:pos="9360"/>
      </w:tabs>
      <w:spacing w:after="240"/>
      <w:ind w:left="1440" w:right="720" w:hanging="720"/>
    </w:pPr>
    <w:rPr>
      <w:rFonts w:eastAsiaTheme="minorHAnsi" w:cstheme="minorBidi"/>
      <w:szCs w:val="22"/>
    </w:rPr>
  </w:style>
  <w:style w:type="paragraph" w:styleId="TOC3">
    <w:name w:val="toc 3"/>
    <w:basedOn w:val="Normal"/>
    <w:next w:val="Normal"/>
    <w:autoRedefine/>
    <w:uiPriority w:val="39"/>
    <w:rsid w:val="00D3093E"/>
    <w:pPr>
      <w:tabs>
        <w:tab w:val="left" w:pos="2160"/>
        <w:tab w:val="right" w:leader="dot" w:pos="9360"/>
      </w:tabs>
      <w:spacing w:after="240"/>
      <w:ind w:left="2160" w:right="720" w:hanging="720"/>
    </w:pPr>
    <w:rPr>
      <w:rFonts w:eastAsiaTheme="minorHAnsi" w:cstheme="minorBidi"/>
      <w:noProof/>
      <w:szCs w:val="22"/>
    </w:rPr>
  </w:style>
  <w:style w:type="paragraph" w:styleId="TOC4">
    <w:name w:val="toc 4"/>
    <w:basedOn w:val="Normal"/>
    <w:next w:val="Normal"/>
    <w:autoRedefine/>
    <w:uiPriority w:val="39"/>
    <w:unhideWhenUsed/>
    <w:rsid w:val="00D3093E"/>
    <w:pPr>
      <w:tabs>
        <w:tab w:val="left" w:pos="2880"/>
        <w:tab w:val="right" w:leader="dot" w:pos="9360"/>
      </w:tabs>
      <w:spacing w:after="240"/>
      <w:ind w:left="2880" w:right="720" w:hanging="720"/>
    </w:pPr>
    <w:rPr>
      <w:rFonts w:eastAsiaTheme="minorHAnsi" w:cstheme="minorBidi"/>
      <w:szCs w:val="22"/>
    </w:rPr>
  </w:style>
  <w:style w:type="paragraph" w:styleId="TOC5">
    <w:name w:val="toc 5"/>
    <w:basedOn w:val="Normal"/>
    <w:next w:val="Normal"/>
    <w:autoRedefine/>
    <w:uiPriority w:val="39"/>
    <w:unhideWhenUsed/>
    <w:rsid w:val="00D3093E"/>
    <w:pPr>
      <w:tabs>
        <w:tab w:val="left" w:pos="3600"/>
        <w:tab w:val="right" w:leader="dot" w:pos="9360"/>
      </w:tabs>
      <w:spacing w:after="240"/>
      <w:ind w:left="3600" w:right="720" w:hanging="720"/>
    </w:pPr>
    <w:rPr>
      <w:rFonts w:eastAsiaTheme="minorHAnsi" w:cstheme="minorBidi"/>
      <w:szCs w:val="22"/>
    </w:rPr>
  </w:style>
  <w:style w:type="paragraph" w:styleId="TOC6">
    <w:name w:val="toc 6"/>
    <w:basedOn w:val="Normal"/>
    <w:next w:val="Normal"/>
    <w:autoRedefine/>
    <w:uiPriority w:val="39"/>
    <w:unhideWhenUsed/>
    <w:rsid w:val="00D3093E"/>
    <w:pPr>
      <w:tabs>
        <w:tab w:val="left" w:pos="4320"/>
        <w:tab w:val="right" w:leader="dot" w:pos="9360"/>
      </w:tabs>
      <w:spacing w:after="240"/>
      <w:ind w:left="4320" w:right="720" w:hanging="720"/>
    </w:pPr>
    <w:rPr>
      <w:rFonts w:eastAsiaTheme="minorHAnsi" w:cstheme="minorBidi"/>
      <w:szCs w:val="22"/>
    </w:rPr>
  </w:style>
  <w:style w:type="paragraph" w:styleId="TOC7">
    <w:name w:val="toc 7"/>
    <w:basedOn w:val="Normal"/>
    <w:next w:val="Normal"/>
    <w:autoRedefine/>
    <w:uiPriority w:val="39"/>
    <w:unhideWhenUsed/>
    <w:rsid w:val="00D3093E"/>
    <w:pPr>
      <w:tabs>
        <w:tab w:val="left" w:pos="5040"/>
        <w:tab w:val="right" w:leader="dot" w:pos="9360"/>
      </w:tabs>
      <w:spacing w:after="240"/>
      <w:ind w:left="5040" w:right="720" w:hanging="720"/>
    </w:pPr>
    <w:rPr>
      <w:rFonts w:eastAsiaTheme="minorHAnsi" w:cstheme="minorBidi"/>
      <w:szCs w:val="22"/>
    </w:rPr>
  </w:style>
  <w:style w:type="paragraph" w:styleId="TOC8">
    <w:name w:val="toc 8"/>
    <w:basedOn w:val="Normal"/>
    <w:next w:val="Normal"/>
    <w:autoRedefine/>
    <w:uiPriority w:val="39"/>
    <w:unhideWhenUsed/>
    <w:rsid w:val="00D3093E"/>
    <w:pPr>
      <w:tabs>
        <w:tab w:val="left" w:pos="5760"/>
        <w:tab w:val="right" w:leader="dot" w:pos="9360"/>
      </w:tabs>
      <w:spacing w:after="240"/>
      <w:ind w:left="5760" w:right="720" w:hanging="720"/>
    </w:pPr>
    <w:rPr>
      <w:rFonts w:eastAsiaTheme="minorHAnsi" w:cstheme="minorBidi"/>
      <w:szCs w:val="22"/>
    </w:rPr>
  </w:style>
  <w:style w:type="paragraph" w:styleId="TOC9">
    <w:name w:val="toc 9"/>
    <w:basedOn w:val="Normal"/>
    <w:next w:val="Normal"/>
    <w:autoRedefine/>
    <w:uiPriority w:val="39"/>
    <w:unhideWhenUsed/>
    <w:rsid w:val="00D3093E"/>
    <w:pPr>
      <w:tabs>
        <w:tab w:val="left" w:pos="6480"/>
        <w:tab w:val="right" w:leader="dot" w:pos="9360"/>
      </w:tabs>
      <w:spacing w:after="240"/>
      <w:ind w:left="6480" w:right="720" w:hanging="720"/>
    </w:pPr>
    <w:rPr>
      <w:rFonts w:eastAsiaTheme="minorHAnsi" w:cstheme="minorBidi"/>
      <w:szCs w:val="22"/>
    </w:rPr>
  </w:style>
  <w:style w:type="paragraph" w:customStyle="1" w:styleId="FootnoteContinue">
    <w:name w:val="Footnote Continue"/>
    <w:basedOn w:val="FootnoteText"/>
    <w:semiHidden/>
    <w:unhideWhenUsed/>
    <w:rsid w:val="00D3093E"/>
  </w:style>
  <w:style w:type="paragraph" w:customStyle="1" w:styleId="HeadingBody6">
    <w:name w:val="HeadingBody6"/>
    <w:basedOn w:val="BodyText"/>
    <w:uiPriority w:val="4"/>
    <w:semiHidden/>
    <w:unhideWhenUsed/>
    <w:rsid w:val="00D3093E"/>
    <w:pPr>
      <w:ind w:left="4320"/>
    </w:pPr>
  </w:style>
  <w:style w:type="paragraph" w:customStyle="1" w:styleId="HeadingBody7">
    <w:name w:val="HeadingBody7"/>
    <w:basedOn w:val="BodyText"/>
    <w:uiPriority w:val="4"/>
    <w:semiHidden/>
    <w:unhideWhenUsed/>
    <w:rsid w:val="00D3093E"/>
    <w:pPr>
      <w:ind w:left="5040"/>
    </w:pPr>
  </w:style>
  <w:style w:type="paragraph" w:customStyle="1" w:styleId="HeadingBody8">
    <w:name w:val="HeadingBody8"/>
    <w:basedOn w:val="BodyText"/>
    <w:uiPriority w:val="4"/>
    <w:semiHidden/>
    <w:unhideWhenUsed/>
    <w:rsid w:val="00D3093E"/>
    <w:pPr>
      <w:ind w:left="5760"/>
    </w:pPr>
  </w:style>
  <w:style w:type="paragraph" w:customStyle="1" w:styleId="HeadingBody9">
    <w:name w:val="HeadingBody9"/>
    <w:basedOn w:val="BodyText"/>
    <w:uiPriority w:val="4"/>
    <w:semiHidden/>
    <w:unhideWhenUsed/>
    <w:rsid w:val="00D3093E"/>
    <w:pPr>
      <w:ind w:left="6480"/>
    </w:pPr>
  </w:style>
  <w:style w:type="character" w:customStyle="1" w:styleId="NoSpacingChar">
    <w:name w:val="No Spacing Char"/>
    <w:link w:val="NoSpacing"/>
    <w:uiPriority w:val="19"/>
    <w:rsid w:val="00D35F04"/>
    <w:rPr>
      <w:sz w:val="24"/>
      <w:szCs w:val="24"/>
    </w:rPr>
  </w:style>
  <w:style w:type="paragraph" w:styleId="TOCHeading">
    <w:name w:val="TOC Heading"/>
    <w:basedOn w:val="Heading1"/>
    <w:next w:val="Normal"/>
    <w:uiPriority w:val="38"/>
    <w:rsid w:val="0052223B"/>
    <w:pPr>
      <w:tabs>
        <w:tab w:val="center" w:pos="4680"/>
        <w:tab w:val="right" w:pos="9360"/>
      </w:tabs>
      <w:outlineLvl w:val="9"/>
    </w:pPr>
    <w:rPr>
      <w:rFonts w:cstheme="majorBidi"/>
      <w:caps w:val="0"/>
    </w:rPr>
  </w:style>
  <w:style w:type="paragraph" w:customStyle="1" w:styleId="Addressee">
    <w:name w:val="Addressee"/>
    <w:basedOn w:val="Normal"/>
    <w:rsid w:val="00D3093E"/>
    <w:pPr>
      <w:contextualSpacing/>
    </w:pPr>
  </w:style>
  <w:style w:type="paragraph" w:customStyle="1" w:styleId="Notary">
    <w:name w:val="Notary"/>
    <w:rsid w:val="00D3093E"/>
    <w:pPr>
      <w:tabs>
        <w:tab w:val="left" w:pos="2880"/>
      </w:tabs>
      <w:ind w:left="0" w:right="0" w:firstLine="0"/>
    </w:pPr>
    <w:rPr>
      <w:sz w:val="24"/>
    </w:rPr>
  </w:style>
  <w:style w:type="paragraph" w:customStyle="1" w:styleId="Witnesseth">
    <w:name w:val="Witnesseth"/>
    <w:basedOn w:val="Title"/>
    <w:rsid w:val="00D3093E"/>
    <w:rPr>
      <w:spacing w:val="60"/>
    </w:rPr>
  </w:style>
  <w:style w:type="paragraph" w:customStyle="1" w:styleId="BodyTextFirstIndent1">
    <w:name w:val="Body Text First Indent 1&quot;"/>
    <w:basedOn w:val="BodyText"/>
    <w:link w:val="BodyTextFirstIndent1Char"/>
    <w:qFormat/>
    <w:rsid w:val="00D35F04"/>
    <w:pPr>
      <w:ind w:firstLine="1440"/>
    </w:pPr>
  </w:style>
  <w:style w:type="paragraph" w:styleId="ListBullet3">
    <w:name w:val="List Bullet 3"/>
    <w:basedOn w:val="Normal"/>
    <w:uiPriority w:val="1"/>
    <w:rsid w:val="001F558F"/>
    <w:pPr>
      <w:numPr>
        <w:numId w:val="31"/>
      </w:numPr>
      <w:spacing w:after="240"/>
    </w:pPr>
  </w:style>
  <w:style w:type="paragraph" w:styleId="ListContinue3">
    <w:name w:val="List Continue 3"/>
    <w:basedOn w:val="Normal"/>
    <w:uiPriority w:val="1"/>
    <w:rsid w:val="001F558F"/>
    <w:pPr>
      <w:spacing w:after="240"/>
      <w:ind w:left="1080"/>
    </w:pPr>
  </w:style>
  <w:style w:type="paragraph" w:styleId="ListNumber3">
    <w:name w:val="List Number 3"/>
    <w:basedOn w:val="Normal"/>
    <w:uiPriority w:val="1"/>
    <w:rsid w:val="001F558F"/>
    <w:pPr>
      <w:numPr>
        <w:numId w:val="34"/>
      </w:numPr>
      <w:spacing w:after="240"/>
    </w:pPr>
  </w:style>
  <w:style w:type="character" w:customStyle="1" w:styleId="BodyTextFirstIndent1Char">
    <w:name w:val="Body Text First Indent 1&quot; Char"/>
    <w:basedOn w:val="DefaultParagraphFont"/>
    <w:link w:val="BodyTextFirstIndent1"/>
    <w:rsid w:val="009B3EDD"/>
    <w:rPr>
      <w:sz w:val="24"/>
    </w:rPr>
  </w:style>
  <w:style w:type="character" w:customStyle="1" w:styleId="DocID">
    <w:name w:val="DocID"/>
    <w:basedOn w:val="DefaultParagraphFont"/>
    <w:semiHidden/>
    <w:rsid w:val="0058421F"/>
    <w:rPr>
      <w:rFonts w:ascii="Times New Roman" w:hAnsi="Times New Roman"/>
      <w:sz w:val="16"/>
    </w:rPr>
  </w:style>
  <w:style w:type="character" w:customStyle="1" w:styleId="il">
    <w:name w:val="il"/>
    <w:basedOn w:val="DefaultParagraphFont"/>
    <w:rsid w:val="00BC5268"/>
  </w:style>
  <w:style w:type="paragraph" w:styleId="NormalWeb">
    <w:name w:val="Normal (Web)"/>
    <w:basedOn w:val="Normal"/>
    <w:uiPriority w:val="99"/>
    <w:semiHidden/>
    <w:unhideWhenUsed/>
    <w:rsid w:val="00BC5268"/>
    <w:pPr>
      <w:spacing w:before="100" w:beforeAutospacing="1" w:after="100" w:afterAutospacing="1"/>
    </w:pPr>
  </w:style>
  <w:style w:type="paragraph" w:styleId="BalloonText">
    <w:name w:val="Balloon Text"/>
    <w:basedOn w:val="Normal"/>
    <w:link w:val="BalloonTextChar"/>
    <w:uiPriority w:val="99"/>
    <w:semiHidden/>
    <w:unhideWhenUsed/>
    <w:rsid w:val="00095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0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0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BE843-9981-430E-B0C9-1F2C97B8F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10</Pages>
  <Words>5707</Words>
  <Characters>32531</Characters>
  <Application>Microsoft Office Word</Application>
  <DocSecurity>0</DocSecurity>
  <Lines>271</Lines>
  <Paragraphs>76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ALAC Statement on Data Protection/Privacy Issues: Draft Framework for a Possible</vt:lpstr>
    </vt:vector>
  </TitlesOfParts>
  <Company/>
  <LinksUpToDate>false</LinksUpToDate>
  <CharactersWithSpaces>38162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 Shatan</cp:lastModifiedBy>
  <cp:revision>17</cp:revision>
  <cp:lastPrinted>2018-09-12T06:20:00Z</cp:lastPrinted>
  <dcterms:created xsi:type="dcterms:W3CDTF">2018-09-04T23:05:00Z</dcterms:created>
  <dcterms:modified xsi:type="dcterms:W3CDTF">2018-09-12T06:21:00Z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mentType">
    <vt:lpwstr>pgBlank</vt:lpwstr>
  </property>
  <property fmtid="{D5CDD505-2E9C-101B-9397-08002B2CF9AE}" pid="4" name="_DocHome">
    <vt:i4>-97773585</vt:i4>
  </property>
</Properties>
</file>