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C1BA0" w14:textId="66D753A0" w:rsidR="00AE5D2F" w:rsidRPr="002D585F" w:rsidRDefault="002D585F" w:rsidP="00AE5D2F">
      <w:pPr>
        <w:rPr>
          <w:rFonts w:ascii="Calibri" w:hAnsi="Calibri" w:cstheme="majorHAnsi"/>
          <w:b/>
        </w:rPr>
      </w:pPr>
      <w:r w:rsidRPr="002D585F">
        <w:rPr>
          <w:rFonts w:ascii="Calibri" w:hAnsi="Calibri" w:cstheme="majorHAnsi"/>
          <w:b/>
        </w:rPr>
        <w:t xml:space="preserve">Consensus Designations: </w:t>
      </w:r>
    </w:p>
    <w:p w14:paraId="6254B602" w14:textId="77777777" w:rsidR="002D585F" w:rsidRDefault="002D585F" w:rsidP="00AE5D2F">
      <w:pPr>
        <w:rPr>
          <w:rFonts w:asciiTheme="majorHAnsi" w:hAnsiTheme="majorHAnsi" w:cstheme="majorHAnsi"/>
        </w:rPr>
      </w:pPr>
    </w:p>
    <w:p w14:paraId="6DB0065A" w14:textId="75E1A83D" w:rsidR="002D585F" w:rsidRDefault="002D585F" w:rsidP="00AE5D2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Consensus designation were made in accordance with the Charter, </w:t>
      </w:r>
      <w:r w:rsidRPr="002D585F">
        <w:rPr>
          <w:rFonts w:asciiTheme="majorHAnsi" w:hAnsiTheme="majorHAnsi" w:cstheme="majorHAnsi"/>
        </w:rPr>
        <w:t xml:space="preserve">balancing the bicameral and </w:t>
      </w:r>
      <w:r>
        <w:rPr>
          <w:rFonts w:asciiTheme="majorHAnsi" w:hAnsiTheme="majorHAnsi" w:cstheme="majorHAnsi"/>
        </w:rPr>
        <w:t xml:space="preserve">Stakeholder Group structure </w:t>
      </w:r>
      <w:r w:rsidRPr="002D585F">
        <w:rPr>
          <w:rFonts w:asciiTheme="majorHAnsi" w:hAnsiTheme="majorHAnsi" w:cstheme="majorHAnsi"/>
        </w:rPr>
        <w:t xml:space="preserve">of the </w:t>
      </w:r>
      <w:r>
        <w:rPr>
          <w:rFonts w:asciiTheme="majorHAnsi" w:hAnsiTheme="majorHAnsi" w:cstheme="majorHAnsi"/>
        </w:rPr>
        <w:t>GNSO Council</w:t>
      </w:r>
      <w:r w:rsidRPr="002D585F">
        <w:rPr>
          <w:rFonts w:asciiTheme="majorHAnsi" w:hAnsiTheme="majorHAnsi" w:cstheme="majorHAnsi"/>
        </w:rPr>
        <w:t>, the</w:t>
      </w:r>
      <w:r>
        <w:rPr>
          <w:rFonts w:asciiTheme="majorHAnsi" w:hAnsiTheme="majorHAnsi" w:cstheme="majorHAnsi"/>
        </w:rPr>
        <w:t xml:space="preserve"> Charter</w:t>
      </w:r>
      <w:r w:rsidRPr="002D585F">
        <w:rPr>
          <w:rFonts w:asciiTheme="majorHAnsi" w:hAnsiTheme="majorHAnsi" w:cstheme="majorHAnsi"/>
        </w:rPr>
        <w:t xml:space="preserve"> identification of "groups" </w:t>
      </w:r>
      <w:r>
        <w:rPr>
          <w:rFonts w:asciiTheme="majorHAnsi" w:hAnsiTheme="majorHAnsi" w:cstheme="majorHAnsi"/>
        </w:rPr>
        <w:t>participating in the EPDP</w:t>
      </w:r>
      <w:r w:rsidRPr="002D585F">
        <w:rPr>
          <w:rFonts w:asciiTheme="majorHAnsi" w:hAnsiTheme="majorHAnsi" w:cstheme="majorHAnsi"/>
        </w:rPr>
        <w:t xml:space="preserve">, and the inclusion and beneficial participation of </w:t>
      </w:r>
      <w:r w:rsidR="007D169B">
        <w:rPr>
          <w:rFonts w:asciiTheme="majorHAnsi" w:hAnsiTheme="majorHAnsi" w:cstheme="majorHAnsi"/>
        </w:rPr>
        <w:t xml:space="preserve">Advisory Committees. </w:t>
      </w:r>
    </w:p>
    <w:p w14:paraId="3AA577D5" w14:textId="77777777" w:rsidR="00657D00" w:rsidRDefault="00657D00" w:rsidP="00AE5D2F">
      <w:pPr>
        <w:rPr>
          <w:rFonts w:asciiTheme="majorHAnsi" w:hAnsiTheme="majorHAnsi" w:cstheme="majorHAnsi"/>
        </w:rPr>
      </w:pPr>
    </w:p>
    <w:p w14:paraId="78F2EB89" w14:textId="11A6E72C" w:rsidR="00657D00" w:rsidRDefault="00657D00" w:rsidP="00AE5D2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In the table below and consistent with the groupings identified in the Charter: </w:t>
      </w:r>
    </w:p>
    <w:p w14:paraId="1A42D9B6" w14:textId="39357EC1" w:rsidR="00657D00" w:rsidRDefault="00657D00" w:rsidP="00657D00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NCSG, RrSG and RySG refer to the Non-Commercial, Registrar and Registry Stakeholder Groups respectively. </w:t>
      </w:r>
    </w:p>
    <w:p w14:paraId="7F7EA965" w14:textId="1B706CD9" w:rsidR="00657D00" w:rsidRDefault="00657D00" w:rsidP="00657D00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BC, IPC and ISPC refer to the Business, Intellectual Property and Internet Service Provider Constituencies respectively that form the Commercial Stakeholder Group</w:t>
      </w:r>
    </w:p>
    <w:p w14:paraId="6A383260" w14:textId="4F809040" w:rsidR="00657D00" w:rsidRDefault="00657D00" w:rsidP="00657D00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ALAC, GAC and SSAC refer to the At-Large, Governmental and Security &amp; Stability Advisory Committees respectively.</w:t>
      </w:r>
    </w:p>
    <w:p w14:paraId="430C720F" w14:textId="77777777" w:rsidR="00657D00" w:rsidRDefault="00657D00" w:rsidP="00657D00">
      <w:pPr>
        <w:rPr>
          <w:rFonts w:asciiTheme="majorHAnsi" w:hAnsiTheme="majorHAnsi" w:cstheme="majorHAnsi"/>
        </w:rPr>
      </w:pPr>
    </w:p>
    <w:p w14:paraId="3483D532" w14:textId="312CB4A3" w:rsidR="00657D00" w:rsidRDefault="00F561E3" w:rsidP="00657D0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</w:t>
      </w:r>
      <w:r w:rsidR="00657D00">
        <w:rPr>
          <w:rFonts w:asciiTheme="majorHAnsi" w:hAnsiTheme="majorHAnsi" w:cstheme="majorHAnsi"/>
        </w:rPr>
        <w:t>ote</w:t>
      </w:r>
      <w:r w:rsidR="009A05C9">
        <w:rPr>
          <w:rFonts w:asciiTheme="majorHAnsi" w:hAnsiTheme="majorHAnsi" w:cstheme="majorHAnsi"/>
        </w:rPr>
        <w:t xml:space="preserve"> the BC / IP</w:t>
      </w:r>
      <w:r w:rsidR="00101375">
        <w:rPr>
          <w:rFonts w:asciiTheme="majorHAnsi" w:hAnsiTheme="majorHAnsi" w:cstheme="majorHAnsi"/>
        </w:rPr>
        <w:t>C</w:t>
      </w:r>
      <w:r w:rsidR="009A05C9">
        <w:rPr>
          <w:rFonts w:asciiTheme="majorHAnsi" w:hAnsiTheme="majorHAnsi" w:cstheme="majorHAnsi"/>
        </w:rPr>
        <w:t xml:space="preserve"> &lt;minority statement&gt;</w:t>
      </w:r>
      <w:bookmarkStart w:id="0" w:name="_GoBack"/>
      <w:bookmarkEnd w:id="0"/>
      <w:r w:rsidR="009A05C9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All other groups support the Final Report. </w:t>
      </w:r>
    </w:p>
    <w:p w14:paraId="391D9A64" w14:textId="77777777" w:rsidR="00F561E3" w:rsidRDefault="00F561E3" w:rsidP="00657D00">
      <w:pPr>
        <w:rPr>
          <w:rFonts w:asciiTheme="majorHAnsi" w:hAnsiTheme="majorHAnsi" w:cstheme="majorHAnsi"/>
        </w:rPr>
      </w:pPr>
    </w:p>
    <w:p w14:paraId="2C310FD8" w14:textId="0861B39B" w:rsidR="002D585F" w:rsidRDefault="00F561E3" w:rsidP="00AE5D2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Also note that several Recommendations are designated as Full Consensus / Consensus. While no group disagreed with the Recommendation in these cases, the designation was made in deference to the significant compromise </w:t>
      </w:r>
      <w:r>
        <w:rPr>
          <w:rFonts w:asciiTheme="majorHAnsi" w:hAnsiTheme="majorHAnsi" w:cstheme="majorHAnsi"/>
          <w:b/>
        </w:rPr>
        <w:t xml:space="preserve">made in developing this set of Recommendations. </w:t>
      </w:r>
    </w:p>
    <w:p w14:paraId="7139908E" w14:textId="77777777" w:rsidR="002D585F" w:rsidRDefault="002D585F" w:rsidP="00AE5D2F">
      <w:pPr>
        <w:rPr>
          <w:rFonts w:asciiTheme="majorHAnsi" w:hAnsiTheme="majorHAnsi" w:cstheme="majorHAnsi"/>
        </w:rPr>
      </w:pPr>
    </w:p>
    <w:p w14:paraId="6D0030B5" w14:textId="77777777" w:rsidR="007D169B" w:rsidRPr="00E20883" w:rsidRDefault="007D169B" w:rsidP="00AE5D2F">
      <w:pPr>
        <w:rPr>
          <w:rFonts w:asciiTheme="majorHAnsi" w:hAnsiTheme="majorHAnsi" w:cstheme="majorHAnsi"/>
        </w:rPr>
      </w:pPr>
    </w:p>
    <w:p w14:paraId="0F9C99D4" w14:textId="77777777" w:rsidR="00AE5D2F" w:rsidRPr="00E20883" w:rsidRDefault="00AE5D2F" w:rsidP="00AE5D2F">
      <w:pPr>
        <w:rPr>
          <w:rFonts w:asciiTheme="majorHAnsi" w:hAnsiTheme="majorHAnsi"/>
        </w:rPr>
      </w:pPr>
    </w:p>
    <w:tbl>
      <w:tblPr>
        <w:tblStyle w:val="TableGrid"/>
        <w:tblW w:w="9314" w:type="dxa"/>
        <w:tblLook w:val="04A0" w:firstRow="1" w:lastRow="0" w:firstColumn="1" w:lastColumn="0" w:noHBand="0" w:noVBand="1"/>
      </w:tblPr>
      <w:tblGrid>
        <w:gridCol w:w="3071"/>
        <w:gridCol w:w="3186"/>
        <w:gridCol w:w="3057"/>
      </w:tblGrid>
      <w:tr w:rsidR="00AE5D2F" w:rsidRPr="00E20883" w14:paraId="33044695" w14:textId="5E80EBFA" w:rsidTr="00AE5D2F">
        <w:trPr>
          <w:tblHeader/>
        </w:trPr>
        <w:tc>
          <w:tcPr>
            <w:tcW w:w="307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CAAC" w:themeFill="accent2" w:themeFillTint="66"/>
          </w:tcPr>
          <w:p w14:paraId="05C61630" w14:textId="4A6044FD" w:rsidR="00AE5D2F" w:rsidRPr="00E20883" w:rsidRDefault="002D585F" w:rsidP="008C1AB5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Purpose / Recommendation</w:t>
            </w:r>
          </w:p>
        </w:tc>
        <w:tc>
          <w:tcPr>
            <w:tcW w:w="31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CAAC" w:themeFill="accent2" w:themeFillTint="66"/>
          </w:tcPr>
          <w:p w14:paraId="15352620" w14:textId="649E0D9A" w:rsidR="00AE5D2F" w:rsidRPr="00E20883" w:rsidRDefault="00AE5D2F" w:rsidP="002D585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20883">
              <w:rPr>
                <w:rFonts w:asciiTheme="majorHAnsi" w:hAnsiTheme="majorHAnsi" w:cstheme="majorHAnsi"/>
                <w:b/>
              </w:rPr>
              <w:t>Chair Proposed</w:t>
            </w:r>
            <w:r>
              <w:rPr>
                <w:rFonts w:asciiTheme="majorHAnsi" w:hAnsiTheme="majorHAnsi" w:cstheme="majorHAnsi"/>
                <w:b/>
              </w:rPr>
              <w:t xml:space="preserve"> / Team Reviewed</w:t>
            </w:r>
            <w:r w:rsidR="002D585F">
              <w:rPr>
                <w:rFonts w:asciiTheme="majorHAnsi" w:hAnsiTheme="majorHAnsi" w:cstheme="majorHAnsi"/>
                <w:b/>
              </w:rPr>
              <w:t xml:space="preserve"> </w:t>
            </w:r>
            <w:r w:rsidRPr="00E20883">
              <w:rPr>
                <w:rFonts w:asciiTheme="majorHAnsi" w:hAnsiTheme="majorHAnsi" w:cstheme="majorHAnsi"/>
                <w:b/>
              </w:rPr>
              <w:t>Designation</w:t>
            </w:r>
          </w:p>
        </w:tc>
        <w:tc>
          <w:tcPr>
            <w:tcW w:w="30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CAAC" w:themeFill="accent2" w:themeFillTint="66"/>
          </w:tcPr>
          <w:p w14:paraId="12E9C671" w14:textId="18844F1F" w:rsidR="00AE5D2F" w:rsidRPr="00E20883" w:rsidRDefault="002D585F" w:rsidP="002D585F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Groups </w:t>
            </w:r>
            <w:r w:rsidR="00F81A4C">
              <w:rPr>
                <w:rFonts w:asciiTheme="majorHAnsi" w:hAnsiTheme="majorHAnsi" w:cstheme="majorHAnsi"/>
                <w:b/>
              </w:rPr>
              <w:t>Not Supporting Purpose / R</w:t>
            </w:r>
            <w:r w:rsidR="00AE5D2F">
              <w:rPr>
                <w:rFonts w:asciiTheme="majorHAnsi" w:hAnsiTheme="majorHAnsi" w:cstheme="majorHAnsi"/>
                <w:b/>
              </w:rPr>
              <w:t>ecommendation</w:t>
            </w:r>
          </w:p>
        </w:tc>
      </w:tr>
      <w:tr w:rsidR="00AE5D2F" w:rsidRPr="00E20883" w14:paraId="56FDCB77" w14:textId="2D6E90C1" w:rsidTr="00AE5D2F">
        <w:tc>
          <w:tcPr>
            <w:tcW w:w="3071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</w:tcPr>
          <w:p w14:paraId="46149B5E" w14:textId="6A92C6B7" w:rsidR="00AE5D2F" w:rsidRPr="00E20883" w:rsidRDefault="00AE5D2F" w:rsidP="008C1AB5">
            <w:pPr>
              <w:spacing w:before="60"/>
              <w:rPr>
                <w:rFonts w:asciiTheme="majorHAnsi" w:hAnsiTheme="majorHAnsi" w:cstheme="majorHAnsi"/>
                <w:color w:val="000000" w:themeColor="text1"/>
              </w:rPr>
            </w:pPr>
            <w:r w:rsidRPr="00E20883">
              <w:rPr>
                <w:rFonts w:asciiTheme="majorHAnsi" w:hAnsiTheme="majorHAnsi" w:cstheme="majorHAnsi"/>
                <w:color w:val="000000" w:themeColor="text1"/>
              </w:rPr>
              <w:t xml:space="preserve">Purpose 1 </w:t>
            </w:r>
            <w:r w:rsidRPr="001349CE">
              <w:rPr>
                <w:rFonts w:asciiTheme="majorHAnsi" w:hAnsiTheme="majorHAnsi" w:cstheme="majorHAnsi"/>
                <w:color w:val="000000" w:themeColor="text1"/>
              </w:rPr>
              <w:t>–</w:t>
            </w:r>
            <w:r w:rsidRPr="00E20883">
              <w:rPr>
                <w:rFonts w:asciiTheme="majorHAnsi" w:hAnsiTheme="majorHAnsi" w:cstheme="majorHAnsi"/>
                <w:color w:val="000000" w:themeColor="text1"/>
              </w:rPr>
              <w:t xml:space="preserve"> Establish the rights of a Registered Name Holder </w:t>
            </w:r>
          </w:p>
        </w:tc>
        <w:tc>
          <w:tcPr>
            <w:tcW w:w="3186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</w:tcPr>
          <w:p w14:paraId="1F994BCD" w14:textId="77777777" w:rsidR="00AE5D2F" w:rsidRPr="002D585F" w:rsidRDefault="00AE5D2F" w:rsidP="008C1AB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D585F">
              <w:rPr>
                <w:rFonts w:asciiTheme="majorHAnsi" w:hAnsiTheme="majorHAnsi" w:cstheme="majorHAnsi"/>
                <w:color w:val="000000" w:themeColor="text1"/>
              </w:rPr>
              <w:t xml:space="preserve">Full Consensus / Consensus </w:t>
            </w:r>
          </w:p>
        </w:tc>
        <w:tc>
          <w:tcPr>
            <w:tcW w:w="3057" w:type="dxa"/>
            <w:tcBorders>
              <w:top w:val="single" w:sz="18" w:space="0" w:color="000000"/>
              <w:bottom w:val="single" w:sz="4" w:space="0" w:color="auto"/>
            </w:tcBorders>
          </w:tcPr>
          <w:p w14:paraId="05B3FC55" w14:textId="77777777" w:rsidR="00AE5D2F" w:rsidRPr="00E20883" w:rsidRDefault="00AE5D2F" w:rsidP="008C1AB5">
            <w:pPr>
              <w:rPr>
                <w:rFonts w:asciiTheme="majorHAnsi" w:hAnsiTheme="majorHAnsi" w:cstheme="majorHAnsi"/>
              </w:rPr>
            </w:pPr>
          </w:p>
        </w:tc>
      </w:tr>
      <w:tr w:rsidR="00AE5D2F" w:rsidRPr="00E20883" w14:paraId="18586259" w14:textId="64E3EF8A" w:rsidTr="004B2423">
        <w:trPr>
          <w:trHeight w:val="989"/>
        </w:trPr>
        <w:tc>
          <w:tcPr>
            <w:tcW w:w="3071" w:type="dxa"/>
            <w:shd w:val="clear" w:color="auto" w:fill="auto"/>
          </w:tcPr>
          <w:p w14:paraId="617385D2" w14:textId="77777777" w:rsidR="00AE5D2F" w:rsidRPr="00E20883" w:rsidRDefault="00AE5D2F" w:rsidP="008C1AB5">
            <w:pPr>
              <w:spacing w:before="60"/>
              <w:rPr>
                <w:rFonts w:asciiTheme="majorHAnsi" w:hAnsiTheme="majorHAnsi" w:cstheme="majorHAnsi"/>
                <w:color w:val="000000" w:themeColor="text1"/>
              </w:rPr>
            </w:pPr>
            <w:r w:rsidRPr="00E20883">
              <w:rPr>
                <w:rFonts w:asciiTheme="majorHAnsi" w:hAnsiTheme="majorHAnsi" w:cstheme="majorHAnsi"/>
                <w:color w:val="000000" w:themeColor="text1"/>
              </w:rPr>
              <w:t xml:space="preserve">Purpose 2 </w:t>
            </w:r>
            <w:r w:rsidRPr="001349CE">
              <w:rPr>
                <w:rFonts w:asciiTheme="majorHAnsi" w:hAnsiTheme="majorHAnsi" w:cstheme="majorHAnsi"/>
                <w:color w:val="000000" w:themeColor="text1"/>
              </w:rPr>
              <w:t>–</w:t>
            </w:r>
            <w:r w:rsidRPr="00E20883">
              <w:rPr>
                <w:rFonts w:asciiTheme="majorHAnsi" w:hAnsiTheme="majorHAnsi" w:cstheme="majorHAnsi"/>
                <w:color w:val="000000" w:themeColor="text1"/>
              </w:rPr>
              <w:t xml:space="preserve"> Maintaining SSR through enabling of lawful access</w:t>
            </w:r>
          </w:p>
        </w:tc>
        <w:tc>
          <w:tcPr>
            <w:tcW w:w="3186" w:type="dxa"/>
            <w:shd w:val="clear" w:color="auto" w:fill="auto"/>
          </w:tcPr>
          <w:p w14:paraId="27E1B137" w14:textId="565E8F82" w:rsidR="00AE5D2F" w:rsidRPr="002D585F" w:rsidRDefault="00DE2463" w:rsidP="0088788A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2D585F">
              <w:rPr>
                <w:rFonts w:asciiTheme="majorHAnsi" w:hAnsiTheme="majorHAnsi" w:cstheme="majorHAnsi"/>
                <w:color w:val="000000" w:themeColor="text1"/>
              </w:rPr>
              <w:t>Consensus</w:t>
            </w:r>
            <w:r w:rsidR="0088788A" w:rsidRPr="002D585F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</w:p>
        </w:tc>
        <w:tc>
          <w:tcPr>
            <w:tcW w:w="3057" w:type="dxa"/>
          </w:tcPr>
          <w:p w14:paraId="5BE0E3E8" w14:textId="10F37784" w:rsidR="00AE5D2F" w:rsidRDefault="0088788A" w:rsidP="008C1AB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IPC</w:t>
            </w:r>
            <w:r w:rsidR="00F561E3">
              <w:rPr>
                <w:rFonts w:asciiTheme="majorHAnsi" w:hAnsiTheme="majorHAnsi" w:cstheme="majorHAnsi"/>
              </w:rPr>
              <w:t xml:space="preserve"> / BC</w:t>
            </w:r>
          </w:p>
          <w:p w14:paraId="176976D9" w14:textId="2619D11A" w:rsidR="008A501E" w:rsidRPr="00E20883" w:rsidRDefault="008A501E" w:rsidP="004B2423">
            <w:pPr>
              <w:rPr>
                <w:rFonts w:asciiTheme="majorHAnsi" w:hAnsiTheme="majorHAnsi" w:cstheme="majorHAnsi"/>
              </w:rPr>
            </w:pPr>
          </w:p>
        </w:tc>
      </w:tr>
      <w:tr w:rsidR="00AE5D2F" w:rsidRPr="00E20883" w14:paraId="62EAED02" w14:textId="44012405" w:rsidTr="00AE5D2F">
        <w:tc>
          <w:tcPr>
            <w:tcW w:w="3071" w:type="dxa"/>
            <w:shd w:val="clear" w:color="auto" w:fill="auto"/>
          </w:tcPr>
          <w:p w14:paraId="11C1C23B" w14:textId="77777777" w:rsidR="00AE5D2F" w:rsidRPr="00E20883" w:rsidRDefault="00AE5D2F" w:rsidP="008C1AB5">
            <w:pPr>
              <w:spacing w:before="60"/>
              <w:rPr>
                <w:rFonts w:asciiTheme="majorHAnsi" w:hAnsiTheme="majorHAnsi" w:cstheme="majorHAnsi"/>
                <w:color w:val="000000" w:themeColor="text1"/>
              </w:rPr>
            </w:pPr>
            <w:r w:rsidRPr="00E20883">
              <w:rPr>
                <w:rFonts w:asciiTheme="majorHAnsi" w:hAnsiTheme="majorHAnsi" w:cstheme="majorHAnsi"/>
                <w:color w:val="000000" w:themeColor="text1"/>
              </w:rPr>
              <w:t xml:space="preserve">Purpose 3 </w:t>
            </w:r>
            <w:r w:rsidRPr="001349CE">
              <w:rPr>
                <w:rFonts w:asciiTheme="majorHAnsi" w:hAnsiTheme="majorHAnsi" w:cstheme="majorHAnsi"/>
                <w:color w:val="000000" w:themeColor="text1"/>
              </w:rPr>
              <w:t>–</w:t>
            </w:r>
            <w:r w:rsidRPr="00E20883">
              <w:rPr>
                <w:rFonts w:asciiTheme="majorHAnsi" w:hAnsiTheme="majorHAnsi" w:cstheme="majorHAnsi"/>
                <w:color w:val="000000" w:themeColor="text1"/>
              </w:rPr>
              <w:t xml:space="preserve"> Enable communication with RNH</w:t>
            </w:r>
          </w:p>
        </w:tc>
        <w:tc>
          <w:tcPr>
            <w:tcW w:w="3186" w:type="dxa"/>
            <w:shd w:val="clear" w:color="auto" w:fill="auto"/>
          </w:tcPr>
          <w:p w14:paraId="5145195D" w14:textId="77777777" w:rsidR="00AE5D2F" w:rsidRPr="002D585F" w:rsidRDefault="00AE5D2F" w:rsidP="008C1AB5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2D585F">
              <w:rPr>
                <w:rFonts w:asciiTheme="majorHAnsi" w:hAnsiTheme="majorHAnsi" w:cstheme="majorHAnsi"/>
                <w:color w:val="000000" w:themeColor="text1"/>
              </w:rPr>
              <w:t>Full Consensus / Consensus</w:t>
            </w:r>
          </w:p>
        </w:tc>
        <w:tc>
          <w:tcPr>
            <w:tcW w:w="3057" w:type="dxa"/>
          </w:tcPr>
          <w:p w14:paraId="7ACFAEB3" w14:textId="77777777" w:rsidR="00AE5D2F" w:rsidRPr="00E20883" w:rsidRDefault="00AE5D2F" w:rsidP="008C1AB5">
            <w:pPr>
              <w:rPr>
                <w:rFonts w:asciiTheme="majorHAnsi" w:hAnsiTheme="majorHAnsi" w:cstheme="majorHAnsi"/>
              </w:rPr>
            </w:pPr>
          </w:p>
        </w:tc>
      </w:tr>
      <w:tr w:rsidR="00AE5D2F" w:rsidRPr="00E20883" w14:paraId="39CCBBA8" w14:textId="0C6E15E5" w:rsidTr="00AE5D2F">
        <w:tc>
          <w:tcPr>
            <w:tcW w:w="3071" w:type="dxa"/>
            <w:shd w:val="clear" w:color="auto" w:fill="auto"/>
          </w:tcPr>
          <w:p w14:paraId="699358F7" w14:textId="77777777" w:rsidR="00AE5D2F" w:rsidRPr="00E20883" w:rsidRDefault="00AE5D2F" w:rsidP="008C1AB5">
            <w:pPr>
              <w:spacing w:before="60"/>
              <w:rPr>
                <w:rFonts w:asciiTheme="majorHAnsi" w:hAnsiTheme="majorHAnsi" w:cstheme="majorHAnsi"/>
                <w:color w:val="000000" w:themeColor="text1"/>
              </w:rPr>
            </w:pPr>
            <w:r w:rsidRPr="00E20883">
              <w:rPr>
                <w:rFonts w:asciiTheme="majorHAnsi" w:hAnsiTheme="majorHAnsi" w:cstheme="majorHAnsi"/>
                <w:color w:val="000000" w:themeColor="text1"/>
              </w:rPr>
              <w:t xml:space="preserve">Purpose 4 </w:t>
            </w:r>
            <w:r w:rsidRPr="001349CE">
              <w:rPr>
                <w:rFonts w:asciiTheme="majorHAnsi" w:hAnsiTheme="majorHAnsi" w:cstheme="majorHAnsi"/>
                <w:color w:val="000000" w:themeColor="text1"/>
              </w:rPr>
              <w:t>–</w:t>
            </w:r>
            <w:r w:rsidRPr="00E20883">
              <w:rPr>
                <w:rFonts w:asciiTheme="majorHAnsi" w:hAnsiTheme="majorHAnsi" w:cstheme="majorHAnsi"/>
                <w:color w:val="000000" w:themeColor="text1"/>
              </w:rPr>
              <w:t xml:space="preserve"> Safeguarding RNH's Registration Data</w:t>
            </w:r>
          </w:p>
        </w:tc>
        <w:tc>
          <w:tcPr>
            <w:tcW w:w="3186" w:type="dxa"/>
            <w:shd w:val="clear" w:color="auto" w:fill="auto"/>
          </w:tcPr>
          <w:p w14:paraId="54C8E381" w14:textId="77777777" w:rsidR="00AE5D2F" w:rsidRPr="002D585F" w:rsidRDefault="00AE5D2F" w:rsidP="008C1AB5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2D585F">
              <w:rPr>
                <w:rFonts w:asciiTheme="majorHAnsi" w:hAnsiTheme="majorHAnsi" w:cstheme="majorHAnsi"/>
                <w:color w:val="000000" w:themeColor="text1"/>
              </w:rPr>
              <w:t>Full Consensus / Consensus</w:t>
            </w:r>
          </w:p>
        </w:tc>
        <w:tc>
          <w:tcPr>
            <w:tcW w:w="3057" w:type="dxa"/>
          </w:tcPr>
          <w:p w14:paraId="764AB83F" w14:textId="77777777" w:rsidR="00AE5D2F" w:rsidRPr="00E20883" w:rsidRDefault="00AE5D2F" w:rsidP="008C1AB5">
            <w:pPr>
              <w:rPr>
                <w:rFonts w:asciiTheme="majorHAnsi" w:hAnsiTheme="majorHAnsi" w:cstheme="majorHAnsi"/>
              </w:rPr>
            </w:pPr>
          </w:p>
        </w:tc>
      </w:tr>
      <w:tr w:rsidR="00AE5D2F" w:rsidRPr="00E20883" w14:paraId="2254E3AE" w14:textId="2B8B42B9" w:rsidTr="00AE5D2F">
        <w:tc>
          <w:tcPr>
            <w:tcW w:w="3071" w:type="dxa"/>
            <w:shd w:val="clear" w:color="auto" w:fill="auto"/>
          </w:tcPr>
          <w:p w14:paraId="7E47F62B" w14:textId="77777777" w:rsidR="00AE5D2F" w:rsidRPr="00E20883" w:rsidRDefault="00AE5D2F" w:rsidP="008C1AB5">
            <w:pPr>
              <w:spacing w:before="60"/>
              <w:rPr>
                <w:rFonts w:asciiTheme="majorHAnsi" w:hAnsiTheme="majorHAnsi" w:cstheme="majorHAnsi"/>
                <w:color w:val="000000" w:themeColor="text1"/>
              </w:rPr>
            </w:pPr>
            <w:r w:rsidRPr="00E20883">
              <w:rPr>
                <w:rFonts w:asciiTheme="majorHAnsi" w:hAnsiTheme="majorHAnsi" w:cstheme="majorHAnsi"/>
                <w:color w:val="000000" w:themeColor="text1"/>
              </w:rPr>
              <w:t xml:space="preserve">Purpose 5 </w:t>
            </w:r>
            <w:r w:rsidRPr="001349CE">
              <w:rPr>
                <w:rFonts w:asciiTheme="majorHAnsi" w:hAnsiTheme="majorHAnsi" w:cstheme="majorHAnsi"/>
                <w:color w:val="000000" w:themeColor="text1"/>
              </w:rPr>
              <w:t>–</w:t>
            </w:r>
            <w:r w:rsidRPr="00E20883">
              <w:rPr>
                <w:rFonts w:asciiTheme="majorHAnsi" w:hAnsiTheme="majorHAnsi" w:cstheme="majorHAnsi"/>
                <w:color w:val="000000" w:themeColor="text1"/>
              </w:rPr>
              <w:t xml:space="preserve"> Handling Contractual Compliance</w:t>
            </w:r>
          </w:p>
        </w:tc>
        <w:tc>
          <w:tcPr>
            <w:tcW w:w="3186" w:type="dxa"/>
            <w:shd w:val="clear" w:color="auto" w:fill="auto"/>
          </w:tcPr>
          <w:p w14:paraId="29BBBD2B" w14:textId="77777777" w:rsidR="00AE5D2F" w:rsidRPr="002D585F" w:rsidRDefault="00AE5D2F" w:rsidP="008C1AB5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2D585F">
              <w:rPr>
                <w:rFonts w:asciiTheme="majorHAnsi" w:hAnsiTheme="majorHAnsi" w:cstheme="majorHAnsi"/>
                <w:color w:val="000000" w:themeColor="text1"/>
              </w:rPr>
              <w:t>Full Consensus / Consensus</w:t>
            </w:r>
          </w:p>
        </w:tc>
        <w:tc>
          <w:tcPr>
            <w:tcW w:w="3057" w:type="dxa"/>
          </w:tcPr>
          <w:p w14:paraId="188B742C" w14:textId="77777777" w:rsidR="00AE5D2F" w:rsidRPr="00E20883" w:rsidRDefault="00AE5D2F" w:rsidP="008C1AB5">
            <w:pPr>
              <w:rPr>
                <w:rFonts w:asciiTheme="majorHAnsi" w:hAnsiTheme="majorHAnsi" w:cstheme="majorHAnsi"/>
              </w:rPr>
            </w:pPr>
          </w:p>
        </w:tc>
      </w:tr>
      <w:tr w:rsidR="00AE5D2F" w:rsidRPr="00E20883" w14:paraId="034E047D" w14:textId="38F481F8" w:rsidTr="00AE5D2F">
        <w:tc>
          <w:tcPr>
            <w:tcW w:w="3071" w:type="dxa"/>
            <w:shd w:val="clear" w:color="auto" w:fill="auto"/>
          </w:tcPr>
          <w:p w14:paraId="2DAF4182" w14:textId="77777777" w:rsidR="00AE5D2F" w:rsidRPr="00E20883" w:rsidRDefault="00AE5D2F" w:rsidP="008C1AB5">
            <w:pPr>
              <w:spacing w:before="60"/>
              <w:rPr>
                <w:rFonts w:asciiTheme="majorHAnsi" w:hAnsiTheme="majorHAnsi" w:cstheme="majorHAnsi"/>
                <w:color w:val="000000" w:themeColor="text1"/>
              </w:rPr>
            </w:pPr>
            <w:r w:rsidRPr="00E20883">
              <w:rPr>
                <w:rFonts w:asciiTheme="majorHAnsi" w:hAnsiTheme="majorHAnsi" w:cstheme="majorHAnsi"/>
                <w:color w:val="000000" w:themeColor="text1"/>
              </w:rPr>
              <w:t xml:space="preserve">Purpose 6 </w:t>
            </w:r>
            <w:r w:rsidRPr="001349CE">
              <w:rPr>
                <w:rFonts w:asciiTheme="majorHAnsi" w:hAnsiTheme="majorHAnsi" w:cstheme="majorHAnsi"/>
                <w:color w:val="000000" w:themeColor="text1"/>
              </w:rPr>
              <w:t>–</w:t>
            </w:r>
            <w:r w:rsidRPr="00E20883">
              <w:rPr>
                <w:rFonts w:asciiTheme="majorHAnsi" w:hAnsiTheme="majorHAnsi" w:cstheme="majorHAnsi"/>
                <w:color w:val="000000" w:themeColor="text1"/>
              </w:rPr>
              <w:t xml:space="preserve"> Resolution of DRPs</w:t>
            </w:r>
          </w:p>
        </w:tc>
        <w:tc>
          <w:tcPr>
            <w:tcW w:w="3186" w:type="dxa"/>
            <w:shd w:val="clear" w:color="auto" w:fill="auto"/>
          </w:tcPr>
          <w:p w14:paraId="3770F404" w14:textId="77777777" w:rsidR="00AE5D2F" w:rsidRPr="002D585F" w:rsidRDefault="00AE5D2F" w:rsidP="008C1AB5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2D585F">
              <w:rPr>
                <w:rFonts w:asciiTheme="majorHAnsi" w:hAnsiTheme="majorHAnsi" w:cstheme="majorHAnsi"/>
                <w:color w:val="000000" w:themeColor="text1"/>
              </w:rPr>
              <w:t>Full Consensus / Consensus</w:t>
            </w:r>
          </w:p>
        </w:tc>
        <w:tc>
          <w:tcPr>
            <w:tcW w:w="3057" w:type="dxa"/>
          </w:tcPr>
          <w:p w14:paraId="172AD399" w14:textId="77777777" w:rsidR="00AE5D2F" w:rsidRPr="00E20883" w:rsidRDefault="00AE5D2F" w:rsidP="008C1AB5">
            <w:pPr>
              <w:rPr>
                <w:rFonts w:asciiTheme="majorHAnsi" w:hAnsiTheme="majorHAnsi" w:cstheme="majorHAnsi"/>
              </w:rPr>
            </w:pPr>
          </w:p>
        </w:tc>
      </w:tr>
      <w:tr w:rsidR="00AE5D2F" w:rsidRPr="00E20883" w14:paraId="63E4BC2C" w14:textId="61045984" w:rsidTr="00AE5D2F">
        <w:tc>
          <w:tcPr>
            <w:tcW w:w="3071" w:type="dxa"/>
            <w:tcBorders>
              <w:bottom w:val="single" w:sz="4" w:space="0" w:color="auto"/>
            </w:tcBorders>
            <w:shd w:val="clear" w:color="auto" w:fill="auto"/>
          </w:tcPr>
          <w:p w14:paraId="630EEA60" w14:textId="77777777" w:rsidR="00AE5D2F" w:rsidRPr="00E20883" w:rsidRDefault="00AE5D2F" w:rsidP="008C1AB5">
            <w:pPr>
              <w:spacing w:before="60"/>
              <w:rPr>
                <w:rFonts w:asciiTheme="majorHAnsi" w:hAnsiTheme="majorHAnsi" w:cstheme="majorHAnsi"/>
                <w:color w:val="000000" w:themeColor="text1"/>
              </w:rPr>
            </w:pPr>
            <w:r w:rsidRPr="00E20883">
              <w:rPr>
                <w:rFonts w:asciiTheme="majorHAnsi" w:hAnsiTheme="majorHAnsi" w:cstheme="majorHAnsi"/>
                <w:color w:val="000000" w:themeColor="text1"/>
              </w:rPr>
              <w:t xml:space="preserve">Purpose 7 </w:t>
            </w:r>
            <w:r w:rsidRPr="001349CE">
              <w:rPr>
                <w:rFonts w:asciiTheme="majorHAnsi" w:hAnsiTheme="majorHAnsi" w:cstheme="majorHAnsi"/>
                <w:color w:val="000000" w:themeColor="text1"/>
              </w:rPr>
              <w:t>–</w:t>
            </w:r>
            <w:r w:rsidRPr="00E20883">
              <w:rPr>
                <w:rFonts w:asciiTheme="majorHAnsi" w:hAnsiTheme="majorHAnsi" w:cstheme="majorHAnsi"/>
                <w:color w:val="000000" w:themeColor="text1"/>
              </w:rPr>
              <w:t> gTLD registration policy eligibility criteria </w:t>
            </w:r>
          </w:p>
        </w:tc>
        <w:tc>
          <w:tcPr>
            <w:tcW w:w="3186" w:type="dxa"/>
            <w:tcBorders>
              <w:bottom w:val="single" w:sz="4" w:space="0" w:color="auto"/>
            </w:tcBorders>
            <w:shd w:val="clear" w:color="auto" w:fill="auto"/>
          </w:tcPr>
          <w:p w14:paraId="4E426335" w14:textId="31266A4E" w:rsidR="00AE5D2F" w:rsidRPr="002D585F" w:rsidRDefault="00F05A19" w:rsidP="008C1AB5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2D585F">
              <w:rPr>
                <w:rFonts w:asciiTheme="majorHAnsi" w:hAnsiTheme="majorHAnsi" w:cstheme="majorHAnsi"/>
                <w:color w:val="000000" w:themeColor="text1"/>
              </w:rPr>
              <w:t>Consensus</w:t>
            </w:r>
          </w:p>
        </w:tc>
        <w:tc>
          <w:tcPr>
            <w:tcW w:w="3057" w:type="dxa"/>
            <w:tcBorders>
              <w:bottom w:val="single" w:sz="4" w:space="0" w:color="auto"/>
            </w:tcBorders>
          </w:tcPr>
          <w:p w14:paraId="7EEAFAFC" w14:textId="6EED155F" w:rsidR="00AE5D2F" w:rsidRPr="00E20883" w:rsidRDefault="00AE5D2F" w:rsidP="008C1AB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NCSG</w:t>
            </w:r>
          </w:p>
        </w:tc>
      </w:tr>
      <w:tr w:rsidR="00AE5D2F" w:rsidRPr="00E20883" w14:paraId="1B976418" w14:textId="77777777" w:rsidTr="00AE5D2F">
        <w:tc>
          <w:tcPr>
            <w:tcW w:w="3071" w:type="dxa"/>
            <w:tcBorders>
              <w:bottom w:val="single" w:sz="4" w:space="0" w:color="auto"/>
            </w:tcBorders>
            <w:shd w:val="clear" w:color="auto" w:fill="auto"/>
          </w:tcPr>
          <w:p w14:paraId="70BCD1E3" w14:textId="64461795" w:rsidR="00AE5D2F" w:rsidRPr="00E20883" w:rsidRDefault="00AE5D2F" w:rsidP="008C1AB5">
            <w:pPr>
              <w:spacing w:before="60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lastRenderedPageBreak/>
              <w:t>Recommendation #2 – Additional Purposes</w:t>
            </w:r>
          </w:p>
        </w:tc>
        <w:tc>
          <w:tcPr>
            <w:tcW w:w="3186" w:type="dxa"/>
            <w:tcBorders>
              <w:bottom w:val="single" w:sz="4" w:space="0" w:color="auto"/>
            </w:tcBorders>
            <w:shd w:val="clear" w:color="auto" w:fill="auto"/>
          </w:tcPr>
          <w:p w14:paraId="16CCDDBD" w14:textId="41F42A2D" w:rsidR="00AE5D2F" w:rsidRPr="002D585F" w:rsidRDefault="006161C0" w:rsidP="008C1AB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D585F">
              <w:rPr>
                <w:rFonts w:asciiTheme="majorHAnsi" w:hAnsiTheme="majorHAnsi" w:cstheme="majorHAnsi"/>
                <w:color w:val="000000" w:themeColor="text1"/>
              </w:rPr>
              <w:t>Divergence</w:t>
            </w:r>
          </w:p>
        </w:tc>
        <w:tc>
          <w:tcPr>
            <w:tcW w:w="3057" w:type="dxa"/>
            <w:tcBorders>
              <w:bottom w:val="single" w:sz="4" w:space="0" w:color="auto"/>
            </w:tcBorders>
          </w:tcPr>
          <w:p w14:paraId="0ECF1E93" w14:textId="77777777" w:rsidR="00AE5D2F" w:rsidRDefault="00AE5D2F" w:rsidP="008C1AB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NCSG</w:t>
            </w:r>
          </w:p>
          <w:p w14:paraId="3A4E5E84" w14:textId="47779A00" w:rsidR="00AE5D2F" w:rsidRDefault="00AE5D2F" w:rsidP="008C1AB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RySG</w:t>
            </w:r>
            <w:r w:rsidR="003E2A96">
              <w:rPr>
                <w:rFonts w:asciiTheme="majorHAnsi" w:hAnsiTheme="majorHAnsi" w:cstheme="majorHAnsi"/>
              </w:rPr>
              <w:t xml:space="preserve"> </w:t>
            </w:r>
          </w:p>
          <w:p w14:paraId="4C636145" w14:textId="05416905" w:rsidR="00AE5D2F" w:rsidRPr="00E20883" w:rsidRDefault="00AE5D2F" w:rsidP="008C1AB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RrSG</w:t>
            </w:r>
          </w:p>
        </w:tc>
      </w:tr>
      <w:tr w:rsidR="00AE5D2F" w:rsidRPr="00E20883" w14:paraId="1683060E" w14:textId="17AB942E" w:rsidTr="00AE5D2F">
        <w:tc>
          <w:tcPr>
            <w:tcW w:w="3071" w:type="dxa"/>
            <w:tcBorders>
              <w:bottom w:val="single" w:sz="4" w:space="0" w:color="auto"/>
            </w:tcBorders>
            <w:shd w:val="clear" w:color="auto" w:fill="auto"/>
          </w:tcPr>
          <w:p w14:paraId="5913CE9B" w14:textId="77777777" w:rsidR="00AE5D2F" w:rsidRPr="00E20883" w:rsidRDefault="00AE5D2F" w:rsidP="008C1AB5">
            <w:pPr>
              <w:spacing w:before="60"/>
              <w:rPr>
                <w:rFonts w:asciiTheme="majorHAnsi" w:hAnsiTheme="majorHAnsi" w:cstheme="majorHAnsi"/>
                <w:color w:val="000000" w:themeColor="text1"/>
              </w:rPr>
            </w:pPr>
            <w:r w:rsidRPr="00E20883">
              <w:rPr>
                <w:rFonts w:asciiTheme="majorHAnsi" w:hAnsiTheme="majorHAnsi" w:cstheme="majorHAnsi"/>
                <w:color w:val="000000" w:themeColor="text1"/>
              </w:rPr>
              <w:t>Recommendation #</w:t>
            </w:r>
            <w:r>
              <w:rPr>
                <w:rFonts w:asciiTheme="majorHAnsi" w:hAnsiTheme="majorHAnsi" w:cstheme="majorHAnsi"/>
                <w:color w:val="000000" w:themeColor="text1"/>
              </w:rPr>
              <w:t>3</w:t>
            </w:r>
            <w:r w:rsidRPr="00E20883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1349CE">
              <w:rPr>
                <w:rFonts w:asciiTheme="majorHAnsi" w:hAnsiTheme="majorHAnsi" w:cstheme="majorHAnsi"/>
                <w:color w:val="000000" w:themeColor="text1"/>
              </w:rPr>
              <w:t>–</w:t>
            </w:r>
            <w:r w:rsidRPr="00E20883">
              <w:rPr>
                <w:rFonts w:asciiTheme="majorHAnsi" w:hAnsiTheme="majorHAnsi" w:cstheme="majorHAnsi"/>
                <w:color w:val="000000" w:themeColor="text1"/>
              </w:rPr>
              <w:t xml:space="preserve"> Commitment to consider a system for Standardized Access to non-public Registration Data</w:t>
            </w:r>
          </w:p>
        </w:tc>
        <w:tc>
          <w:tcPr>
            <w:tcW w:w="3186" w:type="dxa"/>
            <w:tcBorders>
              <w:bottom w:val="single" w:sz="4" w:space="0" w:color="auto"/>
            </w:tcBorders>
            <w:shd w:val="clear" w:color="auto" w:fill="auto"/>
          </w:tcPr>
          <w:p w14:paraId="67E9FC5A" w14:textId="77777777" w:rsidR="00AE5D2F" w:rsidRPr="002D585F" w:rsidRDefault="00AE5D2F" w:rsidP="008C1AB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D585F">
              <w:rPr>
                <w:rFonts w:asciiTheme="majorHAnsi" w:hAnsiTheme="majorHAnsi" w:cstheme="majorHAnsi"/>
                <w:color w:val="000000" w:themeColor="text1"/>
              </w:rPr>
              <w:t>Full Consensus / Consensus</w:t>
            </w:r>
          </w:p>
        </w:tc>
        <w:tc>
          <w:tcPr>
            <w:tcW w:w="3057" w:type="dxa"/>
            <w:tcBorders>
              <w:bottom w:val="single" w:sz="4" w:space="0" w:color="auto"/>
            </w:tcBorders>
          </w:tcPr>
          <w:p w14:paraId="2C605B4A" w14:textId="77777777" w:rsidR="00AE5D2F" w:rsidRPr="00E20883" w:rsidRDefault="00AE5D2F" w:rsidP="008C1AB5">
            <w:pPr>
              <w:rPr>
                <w:rFonts w:asciiTheme="majorHAnsi" w:hAnsiTheme="majorHAnsi" w:cstheme="majorHAnsi"/>
              </w:rPr>
            </w:pPr>
          </w:p>
        </w:tc>
      </w:tr>
      <w:tr w:rsidR="00AE5D2F" w:rsidRPr="00E20883" w14:paraId="45EE3063" w14:textId="079AF0AA" w:rsidTr="00AE5D2F">
        <w:tc>
          <w:tcPr>
            <w:tcW w:w="3071" w:type="dxa"/>
            <w:shd w:val="clear" w:color="auto" w:fill="auto"/>
          </w:tcPr>
          <w:p w14:paraId="3B8BF624" w14:textId="77777777" w:rsidR="00AE5D2F" w:rsidRPr="00E20883" w:rsidRDefault="00AE5D2F" w:rsidP="008C1AB5">
            <w:pPr>
              <w:spacing w:before="60"/>
              <w:rPr>
                <w:rFonts w:asciiTheme="majorHAnsi" w:hAnsiTheme="majorHAnsi" w:cstheme="majorHAnsi"/>
                <w:color w:val="000000" w:themeColor="text1"/>
              </w:rPr>
            </w:pPr>
            <w:r w:rsidRPr="00E20883">
              <w:rPr>
                <w:rFonts w:asciiTheme="majorHAnsi" w:hAnsiTheme="majorHAnsi" w:cstheme="majorHAnsi"/>
                <w:color w:val="000000" w:themeColor="text1"/>
              </w:rPr>
              <w:t>Recommendation #</w:t>
            </w:r>
            <w:r>
              <w:rPr>
                <w:rFonts w:asciiTheme="majorHAnsi" w:hAnsiTheme="majorHAnsi" w:cstheme="majorHAnsi"/>
                <w:color w:val="000000" w:themeColor="text1"/>
              </w:rPr>
              <w:t>4</w:t>
            </w:r>
            <w:r w:rsidRPr="00E20883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1349CE">
              <w:rPr>
                <w:rFonts w:asciiTheme="majorHAnsi" w:hAnsiTheme="majorHAnsi" w:cstheme="majorHAnsi"/>
                <w:color w:val="000000" w:themeColor="text1"/>
              </w:rPr>
              <w:t>–</w:t>
            </w:r>
            <w:r w:rsidRPr="00E20883">
              <w:rPr>
                <w:rFonts w:asciiTheme="majorHAnsi" w:hAnsiTheme="majorHAnsi" w:cstheme="majorHAnsi"/>
                <w:color w:val="000000" w:themeColor="text1"/>
              </w:rPr>
              <w:t xml:space="preserve"> Requirements related to accuracy</w:t>
            </w:r>
          </w:p>
        </w:tc>
        <w:tc>
          <w:tcPr>
            <w:tcW w:w="3186" w:type="dxa"/>
            <w:shd w:val="clear" w:color="auto" w:fill="auto"/>
          </w:tcPr>
          <w:p w14:paraId="036E9F9E" w14:textId="77777777" w:rsidR="00AE5D2F" w:rsidRPr="002D585F" w:rsidRDefault="00AE5D2F" w:rsidP="008C1AB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D585F">
              <w:rPr>
                <w:rFonts w:asciiTheme="majorHAnsi" w:hAnsiTheme="majorHAnsi" w:cstheme="majorHAnsi"/>
                <w:color w:val="000000" w:themeColor="text1"/>
              </w:rPr>
              <w:t>Full Consensus / Consensus</w:t>
            </w:r>
          </w:p>
        </w:tc>
        <w:tc>
          <w:tcPr>
            <w:tcW w:w="3057" w:type="dxa"/>
          </w:tcPr>
          <w:p w14:paraId="5E0F67DF" w14:textId="77777777" w:rsidR="00AE5D2F" w:rsidRPr="00E20883" w:rsidRDefault="00AE5D2F" w:rsidP="008C1AB5">
            <w:pPr>
              <w:rPr>
                <w:rFonts w:asciiTheme="majorHAnsi" w:hAnsiTheme="majorHAnsi" w:cstheme="majorHAnsi"/>
              </w:rPr>
            </w:pPr>
          </w:p>
        </w:tc>
      </w:tr>
      <w:tr w:rsidR="00AE5D2F" w:rsidRPr="00E20883" w14:paraId="5E8464DA" w14:textId="77777777" w:rsidTr="00AE5D2F">
        <w:tc>
          <w:tcPr>
            <w:tcW w:w="3071" w:type="dxa"/>
            <w:shd w:val="clear" w:color="auto" w:fill="auto"/>
          </w:tcPr>
          <w:p w14:paraId="419CBE81" w14:textId="33F56E4B" w:rsidR="00AE5D2F" w:rsidRDefault="00AE5D2F" w:rsidP="008C1AB5">
            <w:pPr>
              <w:spacing w:before="60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Recommendation #5 – Data Elements to be collected by Registrars</w:t>
            </w:r>
          </w:p>
        </w:tc>
        <w:tc>
          <w:tcPr>
            <w:tcW w:w="3186" w:type="dxa"/>
            <w:shd w:val="clear" w:color="auto" w:fill="auto"/>
          </w:tcPr>
          <w:p w14:paraId="35452AAA" w14:textId="6BE92D47" w:rsidR="00AE5D2F" w:rsidRPr="002D585F" w:rsidRDefault="00FA0809" w:rsidP="00173175">
            <w:pPr>
              <w:rPr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Full Consensus / Consensus</w:t>
            </w:r>
            <w:r w:rsidR="00253881">
              <w:rPr>
                <w:rFonts w:asciiTheme="majorHAnsi" w:hAnsiTheme="majorHAnsi" w:cstheme="majorHAnsi"/>
                <w:color w:val="000000" w:themeColor="text1"/>
              </w:rPr>
              <w:t xml:space="preserve">* </w:t>
            </w:r>
          </w:p>
        </w:tc>
        <w:tc>
          <w:tcPr>
            <w:tcW w:w="3057" w:type="dxa"/>
          </w:tcPr>
          <w:p w14:paraId="39828065" w14:textId="53F34C95" w:rsidR="00AE5D2F" w:rsidRDefault="00FA0809" w:rsidP="00FA080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*</w:t>
            </w:r>
            <w:r w:rsidR="00173175">
              <w:rPr>
                <w:rFonts w:asciiTheme="majorHAnsi" w:hAnsiTheme="majorHAnsi" w:cstheme="majorHAnsi"/>
              </w:rPr>
              <w:t xml:space="preserve">Note: 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73175">
              <w:rPr>
                <w:rFonts w:asciiTheme="majorHAnsi" w:hAnsiTheme="majorHAnsi" w:cstheme="majorHAnsi"/>
              </w:rPr>
              <w:t xml:space="preserve">Consensus designation applies to </w:t>
            </w:r>
            <w:r w:rsidR="00173175" w:rsidRPr="002D585F">
              <w:rPr>
                <w:rFonts w:asciiTheme="majorHAnsi" w:hAnsiTheme="majorHAnsi" w:cstheme="majorHAnsi"/>
                <w:color w:val="000000" w:themeColor="text1"/>
              </w:rPr>
              <w:t xml:space="preserve">data elements to be collected 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(except for the Tech Fields) </w:t>
            </w:r>
            <w:r w:rsidR="00173175" w:rsidRPr="002D585F">
              <w:rPr>
                <w:rFonts w:asciiTheme="majorHAnsi" w:hAnsiTheme="majorHAnsi" w:cstheme="majorHAnsi"/>
                <w:color w:val="000000" w:themeColor="text1"/>
              </w:rPr>
              <w:t>and which data elements are optional for RNHs to provide</w:t>
            </w:r>
            <w:r w:rsidR="00173175">
              <w:rPr>
                <w:rFonts w:asciiTheme="majorHAnsi" w:hAnsiTheme="majorHAnsi" w:cstheme="majorHAnsi"/>
                <w:color w:val="000000" w:themeColor="text1"/>
              </w:rPr>
              <w:t xml:space="preserve">.  </w:t>
            </w:r>
            <w:r>
              <w:rPr>
                <w:rFonts w:asciiTheme="majorHAnsi" w:hAnsiTheme="majorHAnsi" w:cstheme="majorHAnsi"/>
                <w:color w:val="000000" w:themeColor="text1"/>
              </w:rPr>
              <w:t>For the Tech Fields,</w:t>
            </w:r>
            <w:r w:rsidR="00173175" w:rsidRPr="002D585F">
              <w:rPr>
                <w:rFonts w:asciiTheme="majorHAnsi" w:hAnsiTheme="majorHAnsi" w:cstheme="majorHAnsi"/>
                <w:color w:val="000000" w:themeColor="text1"/>
              </w:rPr>
              <w:t xml:space="preserve"> there is </w:t>
            </w:r>
            <w:r w:rsidR="00173175">
              <w:rPr>
                <w:rFonts w:asciiTheme="majorHAnsi" w:hAnsiTheme="majorHAnsi" w:cstheme="majorHAnsi"/>
                <w:color w:val="000000" w:themeColor="text1"/>
              </w:rPr>
              <w:t>no consensus on the issue of</w:t>
            </w:r>
            <w:r w:rsidR="00173175" w:rsidRPr="002D585F">
              <w:rPr>
                <w:rFonts w:asciiTheme="majorHAnsi" w:hAnsiTheme="majorHAnsi" w:cstheme="majorHAnsi"/>
                <w:color w:val="000000" w:themeColor="text1"/>
              </w:rPr>
              <w:t xml:space="preserve"> whether registrars are required to collect</w:t>
            </w:r>
            <w:r w:rsidR="0017317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</w:rPr>
              <w:t>Tech Fields</w:t>
            </w:r>
            <w:r w:rsidR="00173175">
              <w:rPr>
                <w:rFonts w:asciiTheme="majorHAnsi" w:hAnsiTheme="majorHAnsi" w:cstheme="majorHAnsi"/>
                <w:color w:val="000000" w:themeColor="text1"/>
              </w:rPr>
              <w:t xml:space="preserve"> data.</w:t>
            </w:r>
          </w:p>
        </w:tc>
      </w:tr>
      <w:tr w:rsidR="00AE5D2F" w:rsidRPr="00E20883" w14:paraId="784340D6" w14:textId="1010C61C" w:rsidTr="00AE5D2F">
        <w:tc>
          <w:tcPr>
            <w:tcW w:w="3071" w:type="dxa"/>
            <w:shd w:val="clear" w:color="auto" w:fill="auto"/>
          </w:tcPr>
          <w:p w14:paraId="5DC32473" w14:textId="77777777" w:rsidR="00AE5D2F" w:rsidRPr="00E20883" w:rsidRDefault="00AE5D2F" w:rsidP="008C1AB5">
            <w:pPr>
              <w:spacing w:before="60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Recommendation #6 </w:t>
            </w:r>
            <w:r w:rsidRPr="001349CE">
              <w:rPr>
                <w:rFonts w:asciiTheme="majorHAnsi" w:hAnsiTheme="majorHAnsi" w:cstheme="majorHAnsi"/>
                <w:color w:val="000000" w:themeColor="text1"/>
              </w:rPr>
              <w:t>–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Consent to publish additional contact information</w:t>
            </w:r>
          </w:p>
        </w:tc>
        <w:tc>
          <w:tcPr>
            <w:tcW w:w="3186" w:type="dxa"/>
            <w:shd w:val="clear" w:color="auto" w:fill="auto"/>
          </w:tcPr>
          <w:p w14:paraId="225A2B7E" w14:textId="77777777" w:rsidR="00AE5D2F" w:rsidRPr="002D585F" w:rsidRDefault="00AE5D2F" w:rsidP="008C1AB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D585F">
              <w:rPr>
                <w:rFonts w:asciiTheme="majorHAnsi" w:hAnsiTheme="majorHAnsi" w:cstheme="majorHAnsi"/>
                <w:color w:val="000000" w:themeColor="text1"/>
              </w:rPr>
              <w:t>Full consensus / Consensus</w:t>
            </w:r>
          </w:p>
        </w:tc>
        <w:tc>
          <w:tcPr>
            <w:tcW w:w="3057" w:type="dxa"/>
          </w:tcPr>
          <w:p w14:paraId="6E8CC974" w14:textId="77777777" w:rsidR="00AE5D2F" w:rsidRDefault="00AE5D2F" w:rsidP="008C1AB5">
            <w:pPr>
              <w:rPr>
                <w:rFonts w:asciiTheme="majorHAnsi" w:hAnsiTheme="majorHAnsi" w:cstheme="majorHAnsi"/>
              </w:rPr>
            </w:pPr>
          </w:p>
        </w:tc>
      </w:tr>
      <w:tr w:rsidR="00AE5D2F" w:rsidRPr="00E20883" w14:paraId="0E20A7A1" w14:textId="77777777" w:rsidTr="00AE5D2F">
        <w:tc>
          <w:tcPr>
            <w:tcW w:w="3071" w:type="dxa"/>
            <w:shd w:val="clear" w:color="auto" w:fill="auto"/>
          </w:tcPr>
          <w:p w14:paraId="579C8A66" w14:textId="4FE03927" w:rsidR="00AE5D2F" w:rsidRDefault="00AE5D2F" w:rsidP="008C1AB5">
            <w:pPr>
              <w:spacing w:before="60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Recommendation #7 – Data elements to be transferred from Registrars to Registries</w:t>
            </w:r>
          </w:p>
        </w:tc>
        <w:tc>
          <w:tcPr>
            <w:tcW w:w="3186" w:type="dxa"/>
            <w:shd w:val="clear" w:color="auto" w:fill="auto"/>
          </w:tcPr>
          <w:p w14:paraId="2B765EF8" w14:textId="7B69193C" w:rsidR="00AE5D2F" w:rsidRPr="002D585F" w:rsidRDefault="00AE5D2F" w:rsidP="008C1AB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D585F">
              <w:rPr>
                <w:rFonts w:asciiTheme="majorHAnsi" w:hAnsiTheme="majorHAnsi" w:cstheme="majorHAnsi"/>
                <w:color w:val="000000" w:themeColor="text1"/>
              </w:rPr>
              <w:t>Full Consensus / Consensus</w:t>
            </w:r>
          </w:p>
        </w:tc>
        <w:tc>
          <w:tcPr>
            <w:tcW w:w="3057" w:type="dxa"/>
          </w:tcPr>
          <w:p w14:paraId="772629DB" w14:textId="77777777" w:rsidR="00AE5D2F" w:rsidRDefault="00AE5D2F" w:rsidP="008C1AB5">
            <w:pPr>
              <w:rPr>
                <w:rFonts w:asciiTheme="majorHAnsi" w:hAnsiTheme="majorHAnsi" w:cstheme="majorHAnsi"/>
              </w:rPr>
            </w:pPr>
          </w:p>
        </w:tc>
      </w:tr>
      <w:tr w:rsidR="00AE5D2F" w:rsidRPr="00E20883" w14:paraId="6B29A2A7" w14:textId="2A196A91" w:rsidTr="00AE5D2F">
        <w:tc>
          <w:tcPr>
            <w:tcW w:w="3071" w:type="dxa"/>
            <w:shd w:val="clear" w:color="auto" w:fill="auto"/>
          </w:tcPr>
          <w:p w14:paraId="471B3732" w14:textId="77777777" w:rsidR="00AE5D2F" w:rsidRPr="00E20883" w:rsidRDefault="00AE5D2F" w:rsidP="008C1AB5">
            <w:pPr>
              <w:spacing w:before="60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Recommendation #8 </w:t>
            </w:r>
            <w:r w:rsidRPr="001349CE">
              <w:rPr>
                <w:rFonts w:asciiTheme="majorHAnsi" w:hAnsiTheme="majorHAnsi" w:cstheme="majorHAnsi"/>
                <w:color w:val="000000" w:themeColor="text1"/>
              </w:rPr>
              <w:t>–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Escrow Providers</w:t>
            </w:r>
          </w:p>
        </w:tc>
        <w:tc>
          <w:tcPr>
            <w:tcW w:w="3186" w:type="dxa"/>
            <w:shd w:val="clear" w:color="auto" w:fill="auto"/>
          </w:tcPr>
          <w:p w14:paraId="7A2150E7" w14:textId="4C45EE00" w:rsidR="00AE5D2F" w:rsidRPr="002D585F" w:rsidRDefault="00AE5D2F" w:rsidP="008C1AB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D585F">
              <w:rPr>
                <w:rFonts w:asciiTheme="majorHAnsi" w:hAnsiTheme="majorHAnsi" w:cstheme="majorHAnsi"/>
                <w:color w:val="000000" w:themeColor="text1"/>
              </w:rPr>
              <w:t>Full Consensus / Consensus</w:t>
            </w:r>
          </w:p>
        </w:tc>
        <w:tc>
          <w:tcPr>
            <w:tcW w:w="3057" w:type="dxa"/>
          </w:tcPr>
          <w:p w14:paraId="2C1A073B" w14:textId="77777777" w:rsidR="00AE5D2F" w:rsidRDefault="00AE5D2F" w:rsidP="008C1AB5">
            <w:pPr>
              <w:rPr>
                <w:rFonts w:asciiTheme="majorHAnsi" w:hAnsiTheme="majorHAnsi" w:cstheme="majorHAnsi"/>
              </w:rPr>
            </w:pPr>
          </w:p>
        </w:tc>
      </w:tr>
      <w:tr w:rsidR="00AE5D2F" w:rsidRPr="00E20883" w14:paraId="00EA193B" w14:textId="77777777" w:rsidTr="008C1AB5">
        <w:tc>
          <w:tcPr>
            <w:tcW w:w="3071" w:type="dxa"/>
            <w:shd w:val="clear" w:color="auto" w:fill="auto"/>
          </w:tcPr>
          <w:p w14:paraId="5E6EE78F" w14:textId="37BC1349" w:rsidR="00AE5D2F" w:rsidRDefault="00AE5D2F" w:rsidP="008C1AB5">
            <w:pPr>
              <w:spacing w:before="60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Recommendation #9 – Contractual Compliance</w:t>
            </w:r>
          </w:p>
        </w:tc>
        <w:tc>
          <w:tcPr>
            <w:tcW w:w="3186" w:type="dxa"/>
            <w:shd w:val="clear" w:color="auto" w:fill="auto"/>
          </w:tcPr>
          <w:p w14:paraId="5FB6332A" w14:textId="5409CEE0" w:rsidR="00AE5D2F" w:rsidRPr="002D585F" w:rsidRDefault="00AE5D2F" w:rsidP="008C1AB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D585F">
              <w:rPr>
                <w:rFonts w:asciiTheme="majorHAnsi" w:hAnsiTheme="majorHAnsi" w:cstheme="majorHAnsi"/>
                <w:color w:val="000000" w:themeColor="text1"/>
              </w:rPr>
              <w:t>Full Consensus / Consensus</w:t>
            </w:r>
          </w:p>
        </w:tc>
        <w:tc>
          <w:tcPr>
            <w:tcW w:w="3057" w:type="dxa"/>
          </w:tcPr>
          <w:p w14:paraId="6BD5B769" w14:textId="77777777" w:rsidR="00AE5D2F" w:rsidRPr="00E20883" w:rsidRDefault="00AE5D2F" w:rsidP="008C1AB5">
            <w:pPr>
              <w:rPr>
                <w:rFonts w:asciiTheme="majorHAnsi" w:hAnsiTheme="majorHAnsi" w:cstheme="majorHAnsi"/>
              </w:rPr>
            </w:pPr>
          </w:p>
        </w:tc>
      </w:tr>
      <w:tr w:rsidR="00AE5D2F" w:rsidRPr="00E20883" w14:paraId="478C603B" w14:textId="77777777" w:rsidTr="008C1AB5">
        <w:tc>
          <w:tcPr>
            <w:tcW w:w="3071" w:type="dxa"/>
            <w:shd w:val="clear" w:color="auto" w:fill="auto"/>
          </w:tcPr>
          <w:p w14:paraId="44CCCB6E" w14:textId="77777777" w:rsidR="00AE5D2F" w:rsidRPr="00E20883" w:rsidRDefault="00AE5D2F" w:rsidP="008C1AB5">
            <w:pPr>
              <w:spacing w:before="60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Recommendation #10 – Data redaction </w:t>
            </w:r>
          </w:p>
        </w:tc>
        <w:tc>
          <w:tcPr>
            <w:tcW w:w="3186" w:type="dxa"/>
            <w:shd w:val="clear" w:color="auto" w:fill="auto"/>
          </w:tcPr>
          <w:p w14:paraId="7FA51133" w14:textId="77777777" w:rsidR="00AE5D2F" w:rsidRPr="002D585F" w:rsidRDefault="00AE5D2F" w:rsidP="008C1AB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D585F">
              <w:rPr>
                <w:rFonts w:asciiTheme="majorHAnsi" w:hAnsiTheme="majorHAnsi" w:cstheme="majorHAnsi"/>
                <w:color w:val="000000" w:themeColor="text1"/>
              </w:rPr>
              <w:t>Full Consensus / Consensus</w:t>
            </w:r>
          </w:p>
        </w:tc>
        <w:tc>
          <w:tcPr>
            <w:tcW w:w="3057" w:type="dxa"/>
          </w:tcPr>
          <w:p w14:paraId="7A91D459" w14:textId="77777777" w:rsidR="00AE5D2F" w:rsidRPr="00E20883" w:rsidRDefault="00AE5D2F" w:rsidP="008C1AB5">
            <w:pPr>
              <w:rPr>
                <w:rFonts w:asciiTheme="majorHAnsi" w:hAnsiTheme="majorHAnsi" w:cstheme="majorHAnsi"/>
              </w:rPr>
            </w:pPr>
          </w:p>
        </w:tc>
      </w:tr>
      <w:tr w:rsidR="00FF2D74" w:rsidRPr="00E20883" w14:paraId="0A392F0F" w14:textId="77777777" w:rsidTr="0048413E">
        <w:trPr>
          <w:trHeight w:val="683"/>
        </w:trPr>
        <w:tc>
          <w:tcPr>
            <w:tcW w:w="3071" w:type="dxa"/>
            <w:shd w:val="clear" w:color="auto" w:fill="auto"/>
          </w:tcPr>
          <w:p w14:paraId="101D0114" w14:textId="385D84B2" w:rsidR="00FF2D74" w:rsidRDefault="00FF2D74" w:rsidP="008C1AB5">
            <w:pPr>
              <w:spacing w:before="60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Recommendation #11 – City Field</w:t>
            </w:r>
          </w:p>
        </w:tc>
        <w:tc>
          <w:tcPr>
            <w:tcW w:w="3186" w:type="dxa"/>
            <w:shd w:val="clear" w:color="auto" w:fill="auto"/>
          </w:tcPr>
          <w:p w14:paraId="43BF0FBE" w14:textId="04E28BF0" w:rsidR="00FF2D74" w:rsidRPr="002D585F" w:rsidRDefault="0048413E" w:rsidP="008C1AB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D585F">
              <w:rPr>
                <w:rFonts w:asciiTheme="majorHAnsi" w:hAnsiTheme="majorHAnsi" w:cstheme="majorHAnsi"/>
                <w:color w:val="000000" w:themeColor="text1"/>
              </w:rPr>
              <w:t>Full Consensus / Consensus</w:t>
            </w:r>
          </w:p>
        </w:tc>
        <w:tc>
          <w:tcPr>
            <w:tcW w:w="3057" w:type="dxa"/>
          </w:tcPr>
          <w:p w14:paraId="13CBBDB3" w14:textId="63862472" w:rsidR="00FF2D74" w:rsidRPr="00E20883" w:rsidRDefault="00FF2D74" w:rsidP="00F81A4C">
            <w:pPr>
              <w:rPr>
                <w:rFonts w:asciiTheme="majorHAnsi" w:hAnsiTheme="majorHAnsi" w:cstheme="majorHAnsi"/>
              </w:rPr>
            </w:pPr>
          </w:p>
        </w:tc>
      </w:tr>
      <w:tr w:rsidR="00FF2D74" w:rsidRPr="00E20883" w14:paraId="6D5A6589" w14:textId="77777777" w:rsidTr="00AE5D2F">
        <w:tc>
          <w:tcPr>
            <w:tcW w:w="3071" w:type="dxa"/>
            <w:shd w:val="clear" w:color="auto" w:fill="auto"/>
          </w:tcPr>
          <w:p w14:paraId="0277F2F6" w14:textId="10992EB2" w:rsidR="00FF2D74" w:rsidRDefault="00FF2D74" w:rsidP="008C1AB5">
            <w:pPr>
              <w:spacing w:before="60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Recommendation #12 – Organization Field</w:t>
            </w:r>
          </w:p>
        </w:tc>
        <w:tc>
          <w:tcPr>
            <w:tcW w:w="3186" w:type="dxa"/>
            <w:shd w:val="clear" w:color="auto" w:fill="auto"/>
          </w:tcPr>
          <w:p w14:paraId="4EB08721" w14:textId="4B1BDCE9" w:rsidR="00FF2D74" w:rsidRPr="002D585F" w:rsidRDefault="006161C0" w:rsidP="008C1AB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D585F">
              <w:rPr>
                <w:rFonts w:asciiTheme="majorHAnsi" w:hAnsiTheme="majorHAnsi" w:cstheme="majorHAnsi"/>
                <w:color w:val="000000" w:themeColor="text1"/>
              </w:rPr>
              <w:t xml:space="preserve">Full </w:t>
            </w:r>
            <w:r w:rsidR="003267B0" w:rsidRPr="002D585F">
              <w:rPr>
                <w:rFonts w:asciiTheme="majorHAnsi" w:hAnsiTheme="majorHAnsi" w:cstheme="majorHAnsi"/>
                <w:color w:val="000000" w:themeColor="text1"/>
              </w:rPr>
              <w:t>Consensus</w:t>
            </w:r>
            <w:r w:rsidRPr="002D585F">
              <w:rPr>
                <w:rFonts w:asciiTheme="majorHAnsi" w:hAnsiTheme="majorHAnsi" w:cstheme="majorHAnsi"/>
                <w:color w:val="000000" w:themeColor="text1"/>
              </w:rPr>
              <w:t xml:space="preserve"> / Consensus</w:t>
            </w:r>
          </w:p>
        </w:tc>
        <w:tc>
          <w:tcPr>
            <w:tcW w:w="3057" w:type="dxa"/>
          </w:tcPr>
          <w:p w14:paraId="653CECEE" w14:textId="3CA5A5FC" w:rsidR="00FF2D74" w:rsidRPr="00E20883" w:rsidRDefault="00FF2D74" w:rsidP="008C1AB5">
            <w:pPr>
              <w:rPr>
                <w:rFonts w:asciiTheme="majorHAnsi" w:hAnsiTheme="majorHAnsi" w:cstheme="majorHAnsi"/>
              </w:rPr>
            </w:pPr>
          </w:p>
        </w:tc>
      </w:tr>
      <w:tr w:rsidR="00AE5D2F" w:rsidRPr="00E20883" w14:paraId="0EE48691" w14:textId="77777777" w:rsidTr="00AE5D2F">
        <w:tc>
          <w:tcPr>
            <w:tcW w:w="3071" w:type="dxa"/>
            <w:shd w:val="clear" w:color="auto" w:fill="auto"/>
          </w:tcPr>
          <w:p w14:paraId="6B095788" w14:textId="7A455C6C" w:rsidR="00AE5D2F" w:rsidRPr="00E20883" w:rsidRDefault="00AE5D2F" w:rsidP="008C1AB5">
            <w:pPr>
              <w:spacing w:before="60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lastRenderedPageBreak/>
              <w:t>Recommendation #13 – Email Communication</w:t>
            </w:r>
          </w:p>
        </w:tc>
        <w:tc>
          <w:tcPr>
            <w:tcW w:w="3186" w:type="dxa"/>
            <w:shd w:val="clear" w:color="auto" w:fill="auto"/>
          </w:tcPr>
          <w:p w14:paraId="606FE9E0" w14:textId="3E79610A" w:rsidR="00AE5D2F" w:rsidRPr="002D585F" w:rsidRDefault="00AE5D2F" w:rsidP="008C1AB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D585F">
              <w:rPr>
                <w:rFonts w:asciiTheme="majorHAnsi" w:hAnsiTheme="majorHAnsi" w:cstheme="majorHAnsi"/>
                <w:color w:val="000000" w:themeColor="text1"/>
              </w:rPr>
              <w:t>Full Consensus / Consensus</w:t>
            </w:r>
          </w:p>
        </w:tc>
        <w:tc>
          <w:tcPr>
            <w:tcW w:w="3057" w:type="dxa"/>
          </w:tcPr>
          <w:p w14:paraId="406C1EC0" w14:textId="77777777" w:rsidR="00AE5D2F" w:rsidRPr="00E20883" w:rsidRDefault="00AE5D2F" w:rsidP="008C1AB5">
            <w:pPr>
              <w:rPr>
                <w:rFonts w:asciiTheme="majorHAnsi" w:hAnsiTheme="majorHAnsi" w:cstheme="majorHAnsi"/>
              </w:rPr>
            </w:pPr>
          </w:p>
        </w:tc>
      </w:tr>
      <w:tr w:rsidR="00AE5D2F" w:rsidRPr="00E20883" w14:paraId="6F2478B2" w14:textId="77777777" w:rsidTr="00AE5D2F">
        <w:tc>
          <w:tcPr>
            <w:tcW w:w="3071" w:type="dxa"/>
            <w:shd w:val="clear" w:color="auto" w:fill="auto"/>
          </w:tcPr>
          <w:p w14:paraId="399EF736" w14:textId="6C5A7AA9" w:rsidR="00AE5D2F" w:rsidRDefault="00AE5D2F" w:rsidP="008C1AB5">
            <w:pPr>
              <w:spacing w:before="60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Recommendation #14 – Privacy/Proxy Registrations</w:t>
            </w:r>
          </w:p>
        </w:tc>
        <w:tc>
          <w:tcPr>
            <w:tcW w:w="3186" w:type="dxa"/>
            <w:shd w:val="clear" w:color="auto" w:fill="auto"/>
          </w:tcPr>
          <w:p w14:paraId="227E9CB9" w14:textId="3986B302" w:rsidR="00AE5D2F" w:rsidRPr="002D585F" w:rsidRDefault="00AE5D2F" w:rsidP="008C1AB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D585F">
              <w:rPr>
                <w:rFonts w:asciiTheme="majorHAnsi" w:hAnsiTheme="majorHAnsi" w:cstheme="majorHAnsi"/>
                <w:color w:val="000000" w:themeColor="text1"/>
              </w:rPr>
              <w:t>Full Consensus / Consensus</w:t>
            </w:r>
          </w:p>
        </w:tc>
        <w:tc>
          <w:tcPr>
            <w:tcW w:w="3057" w:type="dxa"/>
          </w:tcPr>
          <w:p w14:paraId="6E4F3155" w14:textId="77777777" w:rsidR="00AE5D2F" w:rsidRPr="00E20883" w:rsidRDefault="00AE5D2F" w:rsidP="008C1AB5">
            <w:pPr>
              <w:rPr>
                <w:rFonts w:asciiTheme="majorHAnsi" w:hAnsiTheme="majorHAnsi" w:cstheme="majorHAnsi"/>
              </w:rPr>
            </w:pPr>
          </w:p>
        </w:tc>
      </w:tr>
      <w:tr w:rsidR="00AE5D2F" w:rsidRPr="00E20883" w14:paraId="6C0D9266" w14:textId="77777777" w:rsidTr="00AE5D2F">
        <w:tc>
          <w:tcPr>
            <w:tcW w:w="3071" w:type="dxa"/>
            <w:shd w:val="clear" w:color="auto" w:fill="auto"/>
          </w:tcPr>
          <w:p w14:paraId="274E9EEA" w14:textId="18F53433" w:rsidR="00AE5D2F" w:rsidRPr="00E20883" w:rsidRDefault="00AE5D2F" w:rsidP="008C1AB5">
            <w:pPr>
              <w:spacing w:before="60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Recommendation #15 – Data Retention</w:t>
            </w:r>
          </w:p>
        </w:tc>
        <w:tc>
          <w:tcPr>
            <w:tcW w:w="3186" w:type="dxa"/>
            <w:shd w:val="clear" w:color="auto" w:fill="auto"/>
          </w:tcPr>
          <w:p w14:paraId="0E334469" w14:textId="4653AAFA" w:rsidR="00AE5D2F" w:rsidRPr="002D585F" w:rsidRDefault="00AE5D2F" w:rsidP="008C1AB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D585F">
              <w:rPr>
                <w:rFonts w:asciiTheme="majorHAnsi" w:hAnsiTheme="majorHAnsi" w:cstheme="majorHAnsi"/>
                <w:color w:val="000000" w:themeColor="text1"/>
              </w:rPr>
              <w:t>Full Consensus / Consensus</w:t>
            </w:r>
          </w:p>
        </w:tc>
        <w:tc>
          <w:tcPr>
            <w:tcW w:w="3057" w:type="dxa"/>
          </w:tcPr>
          <w:p w14:paraId="5FD43BF8" w14:textId="77777777" w:rsidR="00AE5D2F" w:rsidRPr="00E20883" w:rsidRDefault="00AE5D2F" w:rsidP="008C1AB5">
            <w:pPr>
              <w:rPr>
                <w:rFonts w:asciiTheme="majorHAnsi" w:hAnsiTheme="majorHAnsi" w:cstheme="majorHAnsi"/>
              </w:rPr>
            </w:pPr>
          </w:p>
        </w:tc>
      </w:tr>
      <w:tr w:rsidR="00FF2D74" w:rsidRPr="00E20883" w14:paraId="4BA14E78" w14:textId="77777777" w:rsidTr="00AE5D2F">
        <w:tc>
          <w:tcPr>
            <w:tcW w:w="3071" w:type="dxa"/>
            <w:shd w:val="clear" w:color="auto" w:fill="auto"/>
          </w:tcPr>
          <w:p w14:paraId="1BBD4765" w14:textId="3177B5AF" w:rsidR="00FF2D74" w:rsidRDefault="00FF2D74" w:rsidP="008C1AB5">
            <w:pPr>
              <w:spacing w:before="60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Recommendation #16 – Geographic Basis</w:t>
            </w:r>
          </w:p>
        </w:tc>
        <w:tc>
          <w:tcPr>
            <w:tcW w:w="3186" w:type="dxa"/>
            <w:shd w:val="clear" w:color="auto" w:fill="auto"/>
          </w:tcPr>
          <w:p w14:paraId="4768A823" w14:textId="021F2552" w:rsidR="00FF2D74" w:rsidRPr="002D585F" w:rsidRDefault="0048413E" w:rsidP="008C1AB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D585F">
              <w:rPr>
                <w:rFonts w:asciiTheme="majorHAnsi" w:hAnsiTheme="majorHAnsi" w:cstheme="majorHAnsi"/>
                <w:color w:val="000000" w:themeColor="text1"/>
              </w:rPr>
              <w:t>Divergence</w:t>
            </w:r>
          </w:p>
        </w:tc>
        <w:tc>
          <w:tcPr>
            <w:tcW w:w="3057" w:type="dxa"/>
          </w:tcPr>
          <w:p w14:paraId="66A3BE6D" w14:textId="77777777" w:rsidR="00F561E3" w:rsidRDefault="00F561E3" w:rsidP="008C1AB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IPC / BC</w:t>
            </w:r>
            <w:r w:rsidRPr="00F561E3">
              <w:rPr>
                <w:rFonts w:asciiTheme="majorHAnsi" w:hAnsiTheme="majorHAnsi" w:cstheme="majorHAnsi"/>
              </w:rPr>
              <w:t xml:space="preserve">, </w:t>
            </w:r>
          </w:p>
          <w:p w14:paraId="0992ACCE" w14:textId="628BDBF9" w:rsidR="00F561E3" w:rsidRDefault="00F561E3" w:rsidP="008C1AB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SSAC</w:t>
            </w:r>
          </w:p>
          <w:p w14:paraId="15071445" w14:textId="5AFC1A73" w:rsidR="00FF2D74" w:rsidRPr="00E20883" w:rsidRDefault="00F561E3" w:rsidP="008C1AB5">
            <w:pPr>
              <w:rPr>
                <w:rFonts w:asciiTheme="majorHAnsi" w:hAnsiTheme="majorHAnsi" w:cstheme="majorHAnsi"/>
              </w:rPr>
            </w:pPr>
            <w:r w:rsidRPr="00F561E3">
              <w:rPr>
                <w:rFonts w:asciiTheme="majorHAnsi" w:hAnsiTheme="majorHAnsi" w:cstheme="majorHAnsi"/>
              </w:rPr>
              <w:t>ALAC</w:t>
            </w:r>
          </w:p>
        </w:tc>
      </w:tr>
      <w:tr w:rsidR="00FF2D74" w:rsidRPr="00E20883" w14:paraId="3C0A4C7B" w14:textId="77777777" w:rsidTr="00AE5D2F">
        <w:tc>
          <w:tcPr>
            <w:tcW w:w="3071" w:type="dxa"/>
            <w:shd w:val="clear" w:color="auto" w:fill="auto"/>
          </w:tcPr>
          <w:p w14:paraId="6A3EC0B3" w14:textId="0FFD72EA" w:rsidR="00FF2D74" w:rsidRDefault="00FF2D74" w:rsidP="008C1AB5">
            <w:pPr>
              <w:spacing w:before="60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Recommendation #17 – Natural vs. Legal</w:t>
            </w:r>
          </w:p>
        </w:tc>
        <w:tc>
          <w:tcPr>
            <w:tcW w:w="3186" w:type="dxa"/>
            <w:shd w:val="clear" w:color="auto" w:fill="auto"/>
          </w:tcPr>
          <w:p w14:paraId="047390FC" w14:textId="35290774" w:rsidR="00FF2D74" w:rsidRPr="002D585F" w:rsidRDefault="00B56E81" w:rsidP="008C1AB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D585F">
              <w:rPr>
                <w:rFonts w:asciiTheme="majorHAnsi" w:hAnsiTheme="majorHAnsi" w:cstheme="majorHAnsi"/>
                <w:color w:val="000000" w:themeColor="text1"/>
              </w:rPr>
              <w:t>Consensus</w:t>
            </w:r>
          </w:p>
        </w:tc>
        <w:tc>
          <w:tcPr>
            <w:tcW w:w="3057" w:type="dxa"/>
          </w:tcPr>
          <w:p w14:paraId="608DD3FC" w14:textId="56CBC4F6" w:rsidR="00FF2D74" w:rsidRPr="00E20883" w:rsidRDefault="00FF2D74" w:rsidP="008C1AB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SSAC</w:t>
            </w:r>
          </w:p>
        </w:tc>
      </w:tr>
      <w:tr w:rsidR="00FF2D74" w:rsidRPr="00E20883" w14:paraId="45CF535C" w14:textId="77777777" w:rsidTr="00B56E81">
        <w:tc>
          <w:tcPr>
            <w:tcW w:w="3071" w:type="dxa"/>
            <w:shd w:val="clear" w:color="auto" w:fill="auto"/>
          </w:tcPr>
          <w:p w14:paraId="48D72F7D" w14:textId="62EEE456" w:rsidR="00FF2D74" w:rsidRDefault="00FF2D74" w:rsidP="008C1AB5">
            <w:pPr>
              <w:spacing w:before="60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Recommendation #18 – Requests for Lawful Disclosure</w:t>
            </w:r>
          </w:p>
        </w:tc>
        <w:tc>
          <w:tcPr>
            <w:tcW w:w="3186" w:type="dxa"/>
            <w:shd w:val="clear" w:color="auto" w:fill="auto"/>
          </w:tcPr>
          <w:p w14:paraId="0245A3FB" w14:textId="020FBF31" w:rsidR="00FF2D74" w:rsidRPr="002D585F" w:rsidRDefault="00B56E81" w:rsidP="008C1AB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D585F">
              <w:rPr>
                <w:rFonts w:asciiTheme="majorHAnsi" w:hAnsiTheme="majorHAnsi" w:cstheme="majorHAnsi"/>
                <w:color w:val="000000" w:themeColor="text1"/>
              </w:rPr>
              <w:t>Consensus</w:t>
            </w:r>
          </w:p>
        </w:tc>
        <w:tc>
          <w:tcPr>
            <w:tcW w:w="3057" w:type="dxa"/>
          </w:tcPr>
          <w:p w14:paraId="5D16B5F3" w14:textId="2A82C403" w:rsidR="00FF2D74" w:rsidRDefault="0048413E" w:rsidP="008C1AB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IP</w:t>
            </w:r>
            <w:r w:rsidR="00F561E3">
              <w:rPr>
                <w:rFonts w:asciiTheme="majorHAnsi" w:hAnsiTheme="majorHAnsi" w:cstheme="majorHAnsi"/>
              </w:rPr>
              <w:t>C</w:t>
            </w:r>
            <w:r>
              <w:rPr>
                <w:rFonts w:asciiTheme="majorHAnsi" w:hAnsiTheme="majorHAnsi" w:cstheme="majorHAnsi"/>
              </w:rPr>
              <w:t xml:space="preserve"> / BC</w:t>
            </w:r>
          </w:p>
          <w:p w14:paraId="4B4F05A4" w14:textId="77777777" w:rsidR="0088788A" w:rsidRDefault="0088788A" w:rsidP="008C1AB5">
            <w:pPr>
              <w:rPr>
                <w:rFonts w:asciiTheme="majorHAnsi" w:hAnsiTheme="majorHAnsi" w:cstheme="majorHAnsi"/>
              </w:rPr>
            </w:pPr>
          </w:p>
          <w:p w14:paraId="44B0984B" w14:textId="525BDDBF" w:rsidR="0088788A" w:rsidRPr="00E20883" w:rsidRDefault="0088788A" w:rsidP="008C1AB5">
            <w:pPr>
              <w:rPr>
                <w:rFonts w:asciiTheme="majorHAnsi" w:hAnsiTheme="majorHAnsi" w:cstheme="majorHAnsi"/>
              </w:rPr>
            </w:pPr>
          </w:p>
        </w:tc>
      </w:tr>
      <w:tr w:rsidR="00AE5D2F" w:rsidRPr="00E20883" w14:paraId="286E4C53" w14:textId="77777777" w:rsidTr="00AE5D2F">
        <w:tc>
          <w:tcPr>
            <w:tcW w:w="3071" w:type="dxa"/>
            <w:shd w:val="clear" w:color="auto" w:fill="auto"/>
          </w:tcPr>
          <w:p w14:paraId="5E71E8F4" w14:textId="04C8C384" w:rsidR="00AE5D2F" w:rsidRPr="00E20883" w:rsidRDefault="00AE5D2F" w:rsidP="008C1AB5">
            <w:pPr>
              <w:spacing w:before="60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Recommendation #19 – Controller Agreement</w:t>
            </w:r>
          </w:p>
        </w:tc>
        <w:tc>
          <w:tcPr>
            <w:tcW w:w="3186" w:type="dxa"/>
            <w:shd w:val="clear" w:color="auto" w:fill="auto"/>
          </w:tcPr>
          <w:p w14:paraId="5302CDFA" w14:textId="5395922C" w:rsidR="00AE5D2F" w:rsidRPr="002D585F" w:rsidRDefault="00AE5D2F" w:rsidP="008C1AB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D585F">
              <w:rPr>
                <w:rFonts w:asciiTheme="majorHAnsi" w:hAnsiTheme="majorHAnsi" w:cstheme="majorHAnsi"/>
                <w:color w:val="000000" w:themeColor="text1"/>
              </w:rPr>
              <w:t>Full Consensus / Consensus</w:t>
            </w:r>
          </w:p>
        </w:tc>
        <w:tc>
          <w:tcPr>
            <w:tcW w:w="3057" w:type="dxa"/>
          </w:tcPr>
          <w:p w14:paraId="2DA4DAE5" w14:textId="77777777" w:rsidR="00AE5D2F" w:rsidRPr="00E20883" w:rsidRDefault="00AE5D2F" w:rsidP="008C1AB5">
            <w:pPr>
              <w:rPr>
                <w:rFonts w:asciiTheme="majorHAnsi" w:hAnsiTheme="majorHAnsi" w:cstheme="majorHAnsi"/>
              </w:rPr>
            </w:pPr>
          </w:p>
        </w:tc>
      </w:tr>
      <w:tr w:rsidR="00AE5D2F" w:rsidRPr="00E20883" w14:paraId="2E95647A" w14:textId="77777777" w:rsidTr="00AE5D2F">
        <w:tc>
          <w:tcPr>
            <w:tcW w:w="3071" w:type="dxa"/>
            <w:shd w:val="clear" w:color="auto" w:fill="auto"/>
          </w:tcPr>
          <w:p w14:paraId="665AB988" w14:textId="47B2269D" w:rsidR="00AE5D2F" w:rsidRPr="00E20883" w:rsidRDefault="00AE5D2F" w:rsidP="008C1AB5">
            <w:pPr>
              <w:spacing w:before="60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Recommendation #20</w:t>
            </w:r>
          </w:p>
        </w:tc>
        <w:tc>
          <w:tcPr>
            <w:tcW w:w="3186" w:type="dxa"/>
            <w:shd w:val="clear" w:color="auto" w:fill="auto"/>
          </w:tcPr>
          <w:p w14:paraId="418C8407" w14:textId="51332E20" w:rsidR="00AE5D2F" w:rsidRPr="002D585F" w:rsidRDefault="00AE5D2F" w:rsidP="008C1AB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D585F">
              <w:rPr>
                <w:rFonts w:asciiTheme="majorHAnsi" w:hAnsiTheme="majorHAnsi" w:cstheme="majorHAnsi"/>
                <w:color w:val="000000" w:themeColor="text1"/>
              </w:rPr>
              <w:t>Full Consensus / Consensus</w:t>
            </w:r>
          </w:p>
        </w:tc>
        <w:tc>
          <w:tcPr>
            <w:tcW w:w="3057" w:type="dxa"/>
          </w:tcPr>
          <w:p w14:paraId="46B1D06B" w14:textId="77777777" w:rsidR="00AE5D2F" w:rsidRPr="00E20883" w:rsidRDefault="00AE5D2F" w:rsidP="008C1AB5">
            <w:pPr>
              <w:rPr>
                <w:rFonts w:asciiTheme="majorHAnsi" w:hAnsiTheme="majorHAnsi" w:cstheme="majorHAnsi"/>
              </w:rPr>
            </w:pPr>
          </w:p>
        </w:tc>
      </w:tr>
      <w:tr w:rsidR="00AE5D2F" w:rsidRPr="00E20883" w14:paraId="59869ED5" w14:textId="7D943201" w:rsidTr="00AE5D2F">
        <w:tc>
          <w:tcPr>
            <w:tcW w:w="3071" w:type="dxa"/>
            <w:shd w:val="clear" w:color="auto" w:fill="auto"/>
          </w:tcPr>
          <w:p w14:paraId="3751E0DF" w14:textId="77777777" w:rsidR="00AE5D2F" w:rsidRPr="00E20883" w:rsidRDefault="00AE5D2F" w:rsidP="008C1AB5">
            <w:pPr>
              <w:spacing w:before="60"/>
              <w:rPr>
                <w:rFonts w:asciiTheme="majorHAnsi" w:hAnsiTheme="majorHAnsi" w:cstheme="majorHAnsi"/>
                <w:color w:val="000000" w:themeColor="text1"/>
              </w:rPr>
            </w:pPr>
            <w:r w:rsidRPr="00E20883">
              <w:rPr>
                <w:rFonts w:asciiTheme="majorHAnsi" w:hAnsiTheme="majorHAnsi" w:cstheme="majorHAnsi"/>
                <w:color w:val="000000" w:themeColor="text1"/>
              </w:rPr>
              <w:t>Recommendation #</w:t>
            </w:r>
            <w:r>
              <w:rPr>
                <w:rFonts w:asciiTheme="majorHAnsi" w:hAnsiTheme="majorHAnsi" w:cstheme="majorHAnsi"/>
                <w:color w:val="000000" w:themeColor="text1"/>
              </w:rPr>
              <w:t>21</w:t>
            </w:r>
            <w:r w:rsidRPr="00E20883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1349CE">
              <w:rPr>
                <w:rFonts w:asciiTheme="majorHAnsi" w:hAnsiTheme="majorHAnsi" w:cstheme="majorHAnsi"/>
                <w:color w:val="000000" w:themeColor="text1"/>
              </w:rPr>
              <w:t>–</w:t>
            </w:r>
            <w:r w:rsidRPr="00E20883">
              <w:rPr>
                <w:rFonts w:asciiTheme="majorHAnsi" w:hAnsiTheme="majorHAnsi" w:cstheme="majorHAnsi"/>
                <w:color w:val="000000" w:themeColor="text1"/>
              </w:rPr>
              <w:t xml:space="preserve"> URS / UDRP</w:t>
            </w:r>
          </w:p>
        </w:tc>
        <w:tc>
          <w:tcPr>
            <w:tcW w:w="3186" w:type="dxa"/>
            <w:shd w:val="clear" w:color="auto" w:fill="auto"/>
          </w:tcPr>
          <w:p w14:paraId="5B2C9CC2" w14:textId="77777777" w:rsidR="00AE5D2F" w:rsidRPr="002D585F" w:rsidRDefault="00AE5D2F" w:rsidP="008C1AB5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2D585F">
              <w:rPr>
                <w:rFonts w:asciiTheme="majorHAnsi" w:hAnsiTheme="majorHAnsi" w:cstheme="majorHAnsi"/>
                <w:color w:val="000000" w:themeColor="text1"/>
              </w:rPr>
              <w:t>Full Consensus / Consensus</w:t>
            </w:r>
          </w:p>
        </w:tc>
        <w:tc>
          <w:tcPr>
            <w:tcW w:w="3057" w:type="dxa"/>
          </w:tcPr>
          <w:p w14:paraId="394F4CD2" w14:textId="77777777" w:rsidR="00AE5D2F" w:rsidRPr="00E20883" w:rsidRDefault="00AE5D2F" w:rsidP="008C1AB5">
            <w:pPr>
              <w:rPr>
                <w:rFonts w:asciiTheme="majorHAnsi" w:hAnsiTheme="majorHAnsi" w:cstheme="majorHAnsi"/>
              </w:rPr>
            </w:pPr>
          </w:p>
        </w:tc>
      </w:tr>
      <w:tr w:rsidR="00AE5D2F" w:rsidRPr="00E20883" w14:paraId="327FBED3" w14:textId="3242E2E4" w:rsidTr="00AE5D2F">
        <w:tc>
          <w:tcPr>
            <w:tcW w:w="3071" w:type="dxa"/>
            <w:shd w:val="clear" w:color="auto" w:fill="auto"/>
          </w:tcPr>
          <w:p w14:paraId="1C8841D9" w14:textId="77777777" w:rsidR="00AE5D2F" w:rsidRPr="00E20883" w:rsidRDefault="00AE5D2F" w:rsidP="008C1AB5">
            <w:pPr>
              <w:spacing w:before="60"/>
              <w:rPr>
                <w:rFonts w:asciiTheme="majorHAnsi" w:hAnsiTheme="majorHAnsi" w:cstheme="majorHAnsi"/>
                <w:color w:val="000000" w:themeColor="text1"/>
              </w:rPr>
            </w:pPr>
            <w:r w:rsidRPr="00E20883">
              <w:rPr>
                <w:rFonts w:asciiTheme="majorHAnsi" w:hAnsiTheme="majorHAnsi" w:cstheme="majorHAnsi"/>
                <w:color w:val="000000" w:themeColor="text1"/>
              </w:rPr>
              <w:t>Recommendation #</w:t>
            </w:r>
            <w:r>
              <w:rPr>
                <w:rFonts w:asciiTheme="majorHAnsi" w:hAnsiTheme="majorHAnsi" w:cstheme="majorHAnsi"/>
                <w:color w:val="000000" w:themeColor="text1"/>
              </w:rPr>
              <w:t>22</w:t>
            </w:r>
            <w:r w:rsidRPr="00E20883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1349CE">
              <w:rPr>
                <w:rFonts w:asciiTheme="majorHAnsi" w:hAnsiTheme="majorHAnsi" w:cstheme="majorHAnsi"/>
                <w:color w:val="000000" w:themeColor="text1"/>
              </w:rPr>
              <w:t>–</w:t>
            </w:r>
            <w:r w:rsidRPr="00E20883">
              <w:rPr>
                <w:rFonts w:asciiTheme="majorHAnsi" w:hAnsiTheme="majorHAnsi" w:cstheme="majorHAnsi"/>
                <w:color w:val="000000" w:themeColor="text1"/>
              </w:rPr>
              <w:t xml:space="preserve"> Instructions for RPM PDP WG</w:t>
            </w:r>
          </w:p>
        </w:tc>
        <w:tc>
          <w:tcPr>
            <w:tcW w:w="3186" w:type="dxa"/>
            <w:shd w:val="clear" w:color="auto" w:fill="auto"/>
          </w:tcPr>
          <w:p w14:paraId="3252EDF6" w14:textId="77777777" w:rsidR="00AE5D2F" w:rsidRPr="002D585F" w:rsidRDefault="00AE5D2F" w:rsidP="008C1AB5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2D585F">
              <w:rPr>
                <w:rFonts w:asciiTheme="majorHAnsi" w:hAnsiTheme="majorHAnsi" w:cstheme="majorHAnsi"/>
                <w:color w:val="000000" w:themeColor="text1"/>
              </w:rPr>
              <w:t>Full Consensus / Consensus</w:t>
            </w:r>
          </w:p>
        </w:tc>
        <w:tc>
          <w:tcPr>
            <w:tcW w:w="3057" w:type="dxa"/>
          </w:tcPr>
          <w:p w14:paraId="4B070D0F" w14:textId="77777777" w:rsidR="00AE5D2F" w:rsidRPr="00E20883" w:rsidRDefault="00AE5D2F" w:rsidP="008C1AB5">
            <w:pPr>
              <w:rPr>
                <w:rFonts w:asciiTheme="majorHAnsi" w:hAnsiTheme="majorHAnsi" w:cstheme="majorHAnsi"/>
              </w:rPr>
            </w:pPr>
          </w:p>
        </w:tc>
      </w:tr>
      <w:tr w:rsidR="00AE5D2F" w:rsidRPr="00E20883" w14:paraId="47DC0598" w14:textId="688CD62F" w:rsidTr="00AE5D2F">
        <w:tc>
          <w:tcPr>
            <w:tcW w:w="3071" w:type="dxa"/>
            <w:shd w:val="clear" w:color="auto" w:fill="auto"/>
          </w:tcPr>
          <w:p w14:paraId="69C870ED" w14:textId="77777777" w:rsidR="00AE5D2F" w:rsidRPr="00E20883" w:rsidRDefault="00AE5D2F" w:rsidP="008C1AB5">
            <w:pPr>
              <w:spacing w:before="60"/>
              <w:rPr>
                <w:rFonts w:asciiTheme="majorHAnsi" w:hAnsiTheme="majorHAnsi" w:cstheme="majorHAnsi"/>
                <w:color w:val="000000" w:themeColor="text1"/>
              </w:rPr>
            </w:pPr>
            <w:r w:rsidRPr="00E20883">
              <w:rPr>
                <w:rFonts w:asciiTheme="majorHAnsi" w:hAnsiTheme="majorHAnsi" w:cstheme="majorHAnsi"/>
                <w:color w:val="000000" w:themeColor="text1"/>
              </w:rPr>
              <w:t>Recommendation #</w:t>
            </w:r>
            <w:r>
              <w:rPr>
                <w:rFonts w:asciiTheme="majorHAnsi" w:hAnsiTheme="majorHAnsi" w:cstheme="majorHAnsi"/>
                <w:color w:val="000000" w:themeColor="text1"/>
              </w:rPr>
              <w:t>23</w:t>
            </w:r>
            <w:r w:rsidRPr="00E20883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1349CE">
              <w:rPr>
                <w:rFonts w:asciiTheme="majorHAnsi" w:hAnsiTheme="majorHAnsi" w:cstheme="majorHAnsi"/>
                <w:color w:val="000000" w:themeColor="text1"/>
              </w:rPr>
              <w:t>–</w:t>
            </w:r>
            <w:r w:rsidRPr="00E20883">
              <w:rPr>
                <w:rFonts w:asciiTheme="majorHAnsi" w:hAnsiTheme="majorHAnsi" w:cstheme="majorHAnsi"/>
                <w:color w:val="000000" w:themeColor="text1"/>
              </w:rPr>
              <w:t xml:space="preserve"> Data processing agreements with dispute resolution providers </w:t>
            </w:r>
          </w:p>
        </w:tc>
        <w:tc>
          <w:tcPr>
            <w:tcW w:w="3186" w:type="dxa"/>
            <w:shd w:val="clear" w:color="auto" w:fill="auto"/>
          </w:tcPr>
          <w:p w14:paraId="49A130DA" w14:textId="77777777" w:rsidR="00AE5D2F" w:rsidRPr="002D585F" w:rsidRDefault="00AE5D2F" w:rsidP="008C1AB5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2D585F">
              <w:rPr>
                <w:rFonts w:asciiTheme="majorHAnsi" w:hAnsiTheme="majorHAnsi" w:cstheme="majorHAnsi"/>
                <w:color w:val="000000" w:themeColor="text1"/>
              </w:rPr>
              <w:t>Full Consensus / Consensus</w:t>
            </w:r>
          </w:p>
        </w:tc>
        <w:tc>
          <w:tcPr>
            <w:tcW w:w="3057" w:type="dxa"/>
          </w:tcPr>
          <w:p w14:paraId="7E01ABD4" w14:textId="77777777" w:rsidR="00AE5D2F" w:rsidRPr="00E20883" w:rsidRDefault="00AE5D2F" w:rsidP="008C1AB5">
            <w:pPr>
              <w:rPr>
                <w:rFonts w:asciiTheme="majorHAnsi" w:hAnsiTheme="majorHAnsi" w:cstheme="majorHAnsi"/>
              </w:rPr>
            </w:pPr>
          </w:p>
        </w:tc>
      </w:tr>
      <w:tr w:rsidR="00AE5D2F" w:rsidRPr="00E20883" w14:paraId="50344996" w14:textId="2129CD4B" w:rsidTr="00AE5D2F">
        <w:tc>
          <w:tcPr>
            <w:tcW w:w="3071" w:type="dxa"/>
            <w:shd w:val="clear" w:color="auto" w:fill="auto"/>
          </w:tcPr>
          <w:p w14:paraId="5ECF6F5C" w14:textId="77777777" w:rsidR="00AE5D2F" w:rsidRPr="00E20883" w:rsidRDefault="00AE5D2F" w:rsidP="008C1AB5">
            <w:pPr>
              <w:spacing w:before="60"/>
              <w:rPr>
                <w:rFonts w:asciiTheme="majorHAnsi" w:hAnsiTheme="majorHAnsi" w:cstheme="majorHAnsi"/>
                <w:color w:val="000000" w:themeColor="text1"/>
              </w:rPr>
            </w:pPr>
            <w:r w:rsidRPr="00E20883">
              <w:rPr>
                <w:rFonts w:asciiTheme="majorHAnsi" w:hAnsiTheme="majorHAnsi" w:cstheme="majorHAnsi"/>
                <w:color w:val="000000" w:themeColor="text1"/>
              </w:rPr>
              <w:t>Recommendation #</w:t>
            </w:r>
            <w:r>
              <w:rPr>
                <w:rFonts w:asciiTheme="majorHAnsi" w:hAnsiTheme="majorHAnsi" w:cstheme="majorHAnsi"/>
                <w:color w:val="000000" w:themeColor="text1"/>
              </w:rPr>
              <w:t>24</w:t>
            </w:r>
            <w:r w:rsidRPr="00E20883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1349CE">
              <w:rPr>
                <w:rFonts w:asciiTheme="majorHAnsi" w:hAnsiTheme="majorHAnsi" w:cstheme="majorHAnsi"/>
                <w:color w:val="000000" w:themeColor="text1"/>
              </w:rPr>
              <w:t>–</w:t>
            </w:r>
            <w:r w:rsidRPr="00E20883">
              <w:rPr>
                <w:rFonts w:asciiTheme="majorHAnsi" w:hAnsiTheme="majorHAnsi" w:cstheme="majorHAnsi"/>
                <w:color w:val="000000" w:themeColor="text1"/>
              </w:rPr>
              <w:t xml:space="preserve"> Transfer Policy</w:t>
            </w:r>
          </w:p>
        </w:tc>
        <w:tc>
          <w:tcPr>
            <w:tcW w:w="3186" w:type="dxa"/>
            <w:shd w:val="clear" w:color="auto" w:fill="auto"/>
          </w:tcPr>
          <w:p w14:paraId="56EFFFC7" w14:textId="77777777" w:rsidR="00AE5D2F" w:rsidRPr="002D585F" w:rsidRDefault="00AE5D2F" w:rsidP="008C1AB5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2D585F">
              <w:rPr>
                <w:rFonts w:asciiTheme="majorHAnsi" w:hAnsiTheme="majorHAnsi" w:cstheme="majorHAnsi"/>
                <w:color w:val="000000" w:themeColor="text1"/>
              </w:rPr>
              <w:t>Full Consensus / Consensus</w:t>
            </w:r>
          </w:p>
        </w:tc>
        <w:tc>
          <w:tcPr>
            <w:tcW w:w="3057" w:type="dxa"/>
          </w:tcPr>
          <w:p w14:paraId="5BB571AA" w14:textId="77777777" w:rsidR="00AE5D2F" w:rsidRPr="00E20883" w:rsidRDefault="00AE5D2F" w:rsidP="008C1AB5">
            <w:pPr>
              <w:rPr>
                <w:rFonts w:asciiTheme="majorHAnsi" w:hAnsiTheme="majorHAnsi" w:cstheme="majorHAnsi"/>
              </w:rPr>
            </w:pPr>
          </w:p>
        </w:tc>
      </w:tr>
      <w:tr w:rsidR="00AE5D2F" w:rsidRPr="00E20883" w14:paraId="21FC2843" w14:textId="5AD6622B" w:rsidTr="00AE5D2F">
        <w:tc>
          <w:tcPr>
            <w:tcW w:w="3071" w:type="dxa"/>
            <w:shd w:val="clear" w:color="auto" w:fill="auto"/>
          </w:tcPr>
          <w:p w14:paraId="00F7E699" w14:textId="77777777" w:rsidR="00AE5D2F" w:rsidRPr="00E20883" w:rsidRDefault="00AE5D2F" w:rsidP="008C1AB5">
            <w:pPr>
              <w:spacing w:before="60"/>
              <w:rPr>
                <w:rFonts w:asciiTheme="majorHAnsi" w:hAnsiTheme="majorHAnsi" w:cstheme="majorHAnsi"/>
                <w:color w:val="000000" w:themeColor="text1"/>
              </w:rPr>
            </w:pPr>
            <w:r w:rsidRPr="00E20883">
              <w:rPr>
                <w:rFonts w:asciiTheme="majorHAnsi" w:hAnsiTheme="majorHAnsi" w:cstheme="majorHAnsi"/>
                <w:color w:val="000000" w:themeColor="text1"/>
              </w:rPr>
              <w:t>Recommendation #2</w:t>
            </w:r>
            <w:r>
              <w:rPr>
                <w:rFonts w:asciiTheme="majorHAnsi" w:hAnsiTheme="majorHAnsi" w:cstheme="majorHAnsi"/>
                <w:color w:val="000000" w:themeColor="text1"/>
              </w:rPr>
              <w:t>5</w:t>
            </w:r>
            <w:r w:rsidRPr="00E20883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1349CE">
              <w:rPr>
                <w:rFonts w:asciiTheme="majorHAnsi" w:hAnsiTheme="majorHAnsi" w:cstheme="majorHAnsi"/>
                <w:color w:val="000000" w:themeColor="text1"/>
              </w:rPr>
              <w:t>–</w:t>
            </w:r>
            <w:r w:rsidRPr="00E20883">
              <w:rPr>
                <w:rFonts w:asciiTheme="majorHAnsi" w:hAnsiTheme="majorHAnsi" w:cstheme="majorHAnsi"/>
                <w:color w:val="000000" w:themeColor="text1"/>
              </w:rPr>
              <w:t xml:space="preserve"> Input to Transfer Policy review </w:t>
            </w:r>
          </w:p>
        </w:tc>
        <w:tc>
          <w:tcPr>
            <w:tcW w:w="3186" w:type="dxa"/>
            <w:shd w:val="clear" w:color="auto" w:fill="auto"/>
          </w:tcPr>
          <w:p w14:paraId="41562CA9" w14:textId="77777777" w:rsidR="00AE5D2F" w:rsidRPr="002D585F" w:rsidRDefault="00AE5D2F" w:rsidP="008C1AB5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2D585F">
              <w:rPr>
                <w:rFonts w:asciiTheme="majorHAnsi" w:hAnsiTheme="majorHAnsi" w:cstheme="majorHAnsi"/>
                <w:color w:val="000000" w:themeColor="text1"/>
              </w:rPr>
              <w:t>Full Consensus / Consensus</w:t>
            </w:r>
          </w:p>
        </w:tc>
        <w:tc>
          <w:tcPr>
            <w:tcW w:w="3057" w:type="dxa"/>
          </w:tcPr>
          <w:p w14:paraId="6D80FC89" w14:textId="77777777" w:rsidR="00AE5D2F" w:rsidRPr="00E20883" w:rsidRDefault="00AE5D2F" w:rsidP="008C1AB5">
            <w:pPr>
              <w:rPr>
                <w:rFonts w:asciiTheme="majorHAnsi" w:hAnsiTheme="majorHAnsi" w:cstheme="majorHAnsi"/>
              </w:rPr>
            </w:pPr>
          </w:p>
        </w:tc>
      </w:tr>
      <w:tr w:rsidR="00AE5D2F" w:rsidRPr="00E20883" w14:paraId="09FA2069" w14:textId="086509B6" w:rsidTr="00AE5D2F">
        <w:tc>
          <w:tcPr>
            <w:tcW w:w="3071" w:type="dxa"/>
            <w:shd w:val="clear" w:color="auto" w:fill="auto"/>
          </w:tcPr>
          <w:p w14:paraId="61A1619D" w14:textId="77777777" w:rsidR="00AE5D2F" w:rsidRPr="00E20883" w:rsidRDefault="00AE5D2F" w:rsidP="008C1AB5">
            <w:pPr>
              <w:spacing w:before="60"/>
              <w:rPr>
                <w:rFonts w:asciiTheme="majorHAnsi" w:hAnsiTheme="majorHAnsi" w:cstheme="majorHAnsi"/>
                <w:color w:val="000000" w:themeColor="text1"/>
              </w:rPr>
            </w:pPr>
            <w:r w:rsidRPr="00E20883">
              <w:rPr>
                <w:rFonts w:asciiTheme="majorHAnsi" w:hAnsiTheme="majorHAnsi" w:cstheme="majorHAnsi"/>
                <w:color w:val="000000" w:themeColor="text1"/>
              </w:rPr>
              <w:t>Recommendation #2</w:t>
            </w:r>
            <w:r>
              <w:rPr>
                <w:rFonts w:asciiTheme="majorHAnsi" w:hAnsiTheme="majorHAnsi" w:cstheme="majorHAnsi"/>
                <w:color w:val="000000" w:themeColor="text1"/>
              </w:rPr>
              <w:t>6</w:t>
            </w:r>
            <w:r w:rsidRPr="00E20883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1349CE">
              <w:rPr>
                <w:rFonts w:asciiTheme="majorHAnsi" w:hAnsiTheme="majorHAnsi" w:cstheme="majorHAnsi"/>
                <w:color w:val="000000" w:themeColor="text1"/>
              </w:rPr>
              <w:t>–</w:t>
            </w:r>
            <w:r w:rsidRPr="00E20883">
              <w:rPr>
                <w:rFonts w:asciiTheme="majorHAnsi" w:hAnsiTheme="majorHAnsi" w:cstheme="majorHAnsi"/>
                <w:color w:val="000000" w:themeColor="text1"/>
              </w:rPr>
              <w:t xml:space="preserve"> Data processing agreements with non-Contracted Party entities involved in registration data processing</w:t>
            </w:r>
          </w:p>
        </w:tc>
        <w:tc>
          <w:tcPr>
            <w:tcW w:w="3186" w:type="dxa"/>
            <w:shd w:val="clear" w:color="auto" w:fill="auto"/>
          </w:tcPr>
          <w:p w14:paraId="072AA49F" w14:textId="77777777" w:rsidR="00AE5D2F" w:rsidRPr="002D585F" w:rsidRDefault="00AE5D2F" w:rsidP="008C1AB5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2D585F">
              <w:rPr>
                <w:rFonts w:asciiTheme="majorHAnsi" w:hAnsiTheme="majorHAnsi" w:cstheme="majorHAnsi"/>
                <w:color w:val="000000" w:themeColor="text1"/>
              </w:rPr>
              <w:t>Full Consensus / Consensus</w:t>
            </w:r>
          </w:p>
        </w:tc>
        <w:tc>
          <w:tcPr>
            <w:tcW w:w="3057" w:type="dxa"/>
          </w:tcPr>
          <w:p w14:paraId="27323B00" w14:textId="77777777" w:rsidR="00AE5D2F" w:rsidRPr="00E20883" w:rsidRDefault="00AE5D2F" w:rsidP="008C1AB5">
            <w:pPr>
              <w:rPr>
                <w:rFonts w:asciiTheme="majorHAnsi" w:hAnsiTheme="majorHAnsi" w:cstheme="majorHAnsi"/>
              </w:rPr>
            </w:pPr>
          </w:p>
        </w:tc>
      </w:tr>
      <w:tr w:rsidR="00FF2D74" w:rsidRPr="00E20883" w14:paraId="113B458F" w14:textId="77777777" w:rsidTr="00AE5D2F">
        <w:tc>
          <w:tcPr>
            <w:tcW w:w="3071" w:type="dxa"/>
            <w:shd w:val="clear" w:color="auto" w:fill="auto"/>
          </w:tcPr>
          <w:p w14:paraId="5857191A" w14:textId="189A1223" w:rsidR="00FF2D74" w:rsidRDefault="00FF2D74" w:rsidP="008C1AB5">
            <w:pPr>
              <w:spacing w:before="60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Recommendation #27 – Impact on other policies</w:t>
            </w:r>
          </w:p>
        </w:tc>
        <w:tc>
          <w:tcPr>
            <w:tcW w:w="3186" w:type="dxa"/>
            <w:shd w:val="clear" w:color="auto" w:fill="auto"/>
          </w:tcPr>
          <w:p w14:paraId="206ADF00" w14:textId="3C042084" w:rsidR="00FF2D74" w:rsidRPr="002D585F" w:rsidRDefault="00FF2D74" w:rsidP="008C1AB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D585F">
              <w:rPr>
                <w:rFonts w:asciiTheme="majorHAnsi" w:hAnsiTheme="majorHAnsi" w:cstheme="majorHAnsi"/>
                <w:color w:val="000000" w:themeColor="text1"/>
              </w:rPr>
              <w:t>Full Consensus / Consensus</w:t>
            </w:r>
          </w:p>
        </w:tc>
        <w:tc>
          <w:tcPr>
            <w:tcW w:w="3057" w:type="dxa"/>
          </w:tcPr>
          <w:p w14:paraId="3EF9D3B3" w14:textId="77777777" w:rsidR="00FF2D74" w:rsidRPr="00E20883" w:rsidRDefault="00FF2D74" w:rsidP="008C1AB5">
            <w:pPr>
              <w:rPr>
                <w:rFonts w:asciiTheme="majorHAnsi" w:hAnsiTheme="majorHAnsi" w:cstheme="majorHAnsi"/>
              </w:rPr>
            </w:pPr>
          </w:p>
        </w:tc>
      </w:tr>
      <w:tr w:rsidR="00AE5D2F" w:rsidRPr="00E20883" w14:paraId="4A9AB4EC" w14:textId="77777777" w:rsidTr="00AE5D2F">
        <w:tc>
          <w:tcPr>
            <w:tcW w:w="3071" w:type="dxa"/>
            <w:shd w:val="clear" w:color="auto" w:fill="auto"/>
          </w:tcPr>
          <w:p w14:paraId="05C9AF64" w14:textId="69FED9F9" w:rsidR="00AE5D2F" w:rsidRPr="00E20883" w:rsidRDefault="00AE5D2F" w:rsidP="008C1AB5">
            <w:pPr>
              <w:spacing w:before="60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lastRenderedPageBreak/>
              <w:t>Recommendation #28 – Implementation Transition Period</w:t>
            </w:r>
          </w:p>
        </w:tc>
        <w:tc>
          <w:tcPr>
            <w:tcW w:w="3186" w:type="dxa"/>
            <w:shd w:val="clear" w:color="auto" w:fill="auto"/>
          </w:tcPr>
          <w:p w14:paraId="255A3385" w14:textId="77CF9C73" w:rsidR="00AE5D2F" w:rsidRPr="002D585F" w:rsidRDefault="00AE5D2F" w:rsidP="008C1AB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D585F">
              <w:rPr>
                <w:rFonts w:asciiTheme="majorHAnsi" w:hAnsiTheme="majorHAnsi" w:cstheme="majorHAnsi"/>
                <w:color w:val="000000" w:themeColor="text1"/>
              </w:rPr>
              <w:t>Full Consensus / Consensus</w:t>
            </w:r>
          </w:p>
        </w:tc>
        <w:tc>
          <w:tcPr>
            <w:tcW w:w="3057" w:type="dxa"/>
          </w:tcPr>
          <w:p w14:paraId="107744E5" w14:textId="77777777" w:rsidR="00AE5D2F" w:rsidRPr="00E20883" w:rsidRDefault="00AE5D2F" w:rsidP="008C1AB5">
            <w:pPr>
              <w:rPr>
                <w:rFonts w:asciiTheme="majorHAnsi" w:hAnsiTheme="majorHAnsi" w:cstheme="majorHAnsi"/>
              </w:rPr>
            </w:pPr>
          </w:p>
        </w:tc>
      </w:tr>
      <w:tr w:rsidR="00EB7A23" w:rsidRPr="00E20883" w14:paraId="1C0B8285" w14:textId="77777777" w:rsidTr="00AE5D2F">
        <w:tc>
          <w:tcPr>
            <w:tcW w:w="3071" w:type="dxa"/>
            <w:shd w:val="clear" w:color="auto" w:fill="auto"/>
          </w:tcPr>
          <w:p w14:paraId="4C04A4BF" w14:textId="5761CEB1" w:rsidR="00EB7A23" w:rsidRDefault="00EB7A23" w:rsidP="008C1AB5">
            <w:pPr>
              <w:spacing w:before="60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Recommendation #29 </w:t>
            </w:r>
            <w:r w:rsidR="00D1255E">
              <w:rPr>
                <w:rFonts w:asciiTheme="majorHAnsi" w:hAnsiTheme="majorHAnsi" w:cstheme="majorHAnsi"/>
                <w:color w:val="000000" w:themeColor="text1"/>
              </w:rPr>
              <w:t>–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1255E">
              <w:rPr>
                <w:rFonts w:asciiTheme="majorHAnsi" w:hAnsiTheme="majorHAnsi" w:cstheme="majorHAnsi"/>
                <w:color w:val="000000" w:themeColor="text1"/>
              </w:rPr>
              <w:t>Admin Contact Transition</w:t>
            </w:r>
          </w:p>
        </w:tc>
        <w:tc>
          <w:tcPr>
            <w:tcW w:w="3186" w:type="dxa"/>
            <w:shd w:val="clear" w:color="auto" w:fill="auto"/>
          </w:tcPr>
          <w:p w14:paraId="69311FA8" w14:textId="1A045ED1" w:rsidR="00EB7A23" w:rsidRDefault="00D1255E" w:rsidP="008C1AB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Full Consensus / Consensus</w:t>
            </w:r>
          </w:p>
        </w:tc>
        <w:tc>
          <w:tcPr>
            <w:tcW w:w="3057" w:type="dxa"/>
          </w:tcPr>
          <w:p w14:paraId="1C985BEE" w14:textId="77777777" w:rsidR="00EB7A23" w:rsidRPr="00E20883" w:rsidRDefault="00EB7A23" w:rsidP="008C1AB5">
            <w:pPr>
              <w:rPr>
                <w:rFonts w:asciiTheme="majorHAnsi" w:hAnsiTheme="majorHAnsi" w:cstheme="majorHAnsi"/>
              </w:rPr>
            </w:pPr>
          </w:p>
        </w:tc>
      </w:tr>
    </w:tbl>
    <w:p w14:paraId="5BBA1BE8" w14:textId="77777777" w:rsidR="00AE5D2F" w:rsidRDefault="00AE5D2F" w:rsidP="00AE5D2F">
      <w:pPr>
        <w:rPr>
          <w:rFonts w:asciiTheme="majorHAnsi" w:hAnsiTheme="majorHAnsi"/>
        </w:rPr>
      </w:pPr>
    </w:p>
    <w:sectPr w:rsidR="00AE5D2F" w:rsidSect="007F1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FE3DF2"/>
    <w:multiLevelType w:val="hybridMultilevel"/>
    <w:tmpl w:val="41C80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2F"/>
    <w:rsid w:val="000B7A30"/>
    <w:rsid w:val="00101375"/>
    <w:rsid w:val="00173175"/>
    <w:rsid w:val="00246C3B"/>
    <w:rsid w:val="00253881"/>
    <w:rsid w:val="002D585F"/>
    <w:rsid w:val="003267B0"/>
    <w:rsid w:val="00385D74"/>
    <w:rsid w:val="003E2A96"/>
    <w:rsid w:val="0048413E"/>
    <w:rsid w:val="004B2423"/>
    <w:rsid w:val="005E720C"/>
    <w:rsid w:val="005F102F"/>
    <w:rsid w:val="006161C0"/>
    <w:rsid w:val="00657D00"/>
    <w:rsid w:val="007D169B"/>
    <w:rsid w:val="007F1FED"/>
    <w:rsid w:val="008363A6"/>
    <w:rsid w:val="0088788A"/>
    <w:rsid w:val="008A501E"/>
    <w:rsid w:val="00964BD8"/>
    <w:rsid w:val="009A05C9"/>
    <w:rsid w:val="00A74430"/>
    <w:rsid w:val="00AB0AD2"/>
    <w:rsid w:val="00AE5D2F"/>
    <w:rsid w:val="00B34569"/>
    <w:rsid w:val="00B56E81"/>
    <w:rsid w:val="00BE5129"/>
    <w:rsid w:val="00D1255E"/>
    <w:rsid w:val="00D23803"/>
    <w:rsid w:val="00DE2463"/>
    <w:rsid w:val="00E47CF1"/>
    <w:rsid w:val="00E53B3D"/>
    <w:rsid w:val="00EB7A23"/>
    <w:rsid w:val="00EF35AF"/>
    <w:rsid w:val="00F05A19"/>
    <w:rsid w:val="00F10689"/>
    <w:rsid w:val="00F561E3"/>
    <w:rsid w:val="00F76A69"/>
    <w:rsid w:val="00F81A4C"/>
    <w:rsid w:val="00FA0809"/>
    <w:rsid w:val="00FB751B"/>
    <w:rsid w:val="00FF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CE863C"/>
  <w15:chartTrackingRefBased/>
  <w15:docId w15:val="{448D21C7-58CF-2943-A532-77250F51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E5D2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D2F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05A1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5A1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5A19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5A1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5A1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A1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A19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657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642</Words>
  <Characters>3660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Konings</dc:creator>
  <cp:keywords/>
  <dc:description/>
  <cp:lastModifiedBy>Kurt Pritz</cp:lastModifiedBy>
  <cp:revision>3</cp:revision>
  <cp:lastPrinted>2019-02-20T14:47:00Z</cp:lastPrinted>
  <dcterms:created xsi:type="dcterms:W3CDTF">2019-02-20T18:49:00Z</dcterms:created>
  <dcterms:modified xsi:type="dcterms:W3CDTF">2019-02-20T19:02:00Z</dcterms:modified>
</cp:coreProperties>
</file>