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40" w:rsidRPr="00BA3240" w:rsidRDefault="00BA3240">
      <w:r w:rsidRPr="00BA3240">
        <w:t>4 October 2019</w:t>
      </w:r>
    </w:p>
    <w:p w:rsidR="00BA3240" w:rsidRDefault="00BA3240">
      <w:pPr>
        <w:rPr>
          <w:b/>
          <w:sz w:val="28"/>
        </w:rPr>
      </w:pPr>
    </w:p>
    <w:p w:rsidR="00BA3240" w:rsidRDefault="00BA3240">
      <w:pPr>
        <w:rPr>
          <w:b/>
          <w:sz w:val="28"/>
        </w:rPr>
      </w:pPr>
    </w:p>
    <w:p w:rsidR="00BA3240" w:rsidRDefault="00BA3240">
      <w:pPr>
        <w:rPr>
          <w:b/>
          <w:sz w:val="28"/>
        </w:rPr>
      </w:pPr>
    </w:p>
    <w:p w:rsidR="00D509E4" w:rsidRDefault="000C1CDD">
      <w:pPr>
        <w:rPr>
          <w:b/>
          <w:sz w:val="28"/>
        </w:rPr>
      </w:pPr>
      <w:r w:rsidRPr="000C1CDD">
        <w:rPr>
          <w:b/>
          <w:sz w:val="28"/>
        </w:rPr>
        <w:t xml:space="preserve">ALAC-GAC </w:t>
      </w:r>
      <w:proofErr w:type="spellStart"/>
      <w:r w:rsidRPr="000C1CDD">
        <w:rPr>
          <w:b/>
          <w:sz w:val="28"/>
        </w:rPr>
        <w:t>intersessional</w:t>
      </w:r>
      <w:proofErr w:type="spellEnd"/>
      <w:r w:rsidRPr="000C1CDD">
        <w:rPr>
          <w:b/>
          <w:sz w:val="28"/>
        </w:rPr>
        <w:t xml:space="preserve"> call, 30 September 2019</w:t>
      </w:r>
    </w:p>
    <w:p w:rsidR="000C1CDD" w:rsidRPr="00D509E4" w:rsidRDefault="00D509E4">
      <w:r w:rsidRPr="00D509E4">
        <w:t xml:space="preserve">Report by </w:t>
      </w:r>
      <w:proofErr w:type="spellStart"/>
      <w:r w:rsidRPr="00D509E4">
        <w:t>Yrjö</w:t>
      </w:r>
      <w:proofErr w:type="spellEnd"/>
      <w:r w:rsidRPr="00D509E4">
        <w:t xml:space="preserve"> </w:t>
      </w:r>
      <w:proofErr w:type="spellStart"/>
      <w:r w:rsidRPr="00D509E4">
        <w:t>Länsipuro</w:t>
      </w:r>
      <w:proofErr w:type="spellEnd"/>
      <w:r w:rsidRPr="00D509E4">
        <w:t>, ALAC Liaison to the GAC</w:t>
      </w:r>
    </w:p>
    <w:p w:rsidR="00D509E4" w:rsidRDefault="00D509E4"/>
    <w:p w:rsidR="000C1CDD" w:rsidRPr="00D509E4" w:rsidRDefault="000C1CDD"/>
    <w:p w:rsidR="00F5021B" w:rsidRDefault="000C1CDD">
      <w:pPr>
        <w:rPr>
          <w:b/>
        </w:rPr>
      </w:pPr>
      <w:r>
        <w:rPr>
          <w:b/>
        </w:rPr>
        <w:t xml:space="preserve">Agenda: </w:t>
      </w:r>
    </w:p>
    <w:p w:rsidR="00F5021B" w:rsidRPr="00E803CE" w:rsidRDefault="00F5021B" w:rsidP="00F71F4C">
      <w:pPr>
        <w:spacing w:beforeLines="1" w:afterLines="1"/>
        <w:ind w:left="1440" w:hanging="360"/>
        <w:rPr>
          <w:rFonts w:cs="Times New Roman"/>
          <w:i/>
          <w:szCs w:val="20"/>
        </w:rPr>
      </w:pPr>
      <w:r w:rsidRPr="00E803CE">
        <w:rPr>
          <w:rFonts w:cs="Times New Roman"/>
          <w:i/>
          <w:color w:val="000000"/>
          <w:szCs w:val="20"/>
        </w:rPr>
        <w:t>1.</w:t>
      </w:r>
      <w:r w:rsidRPr="00E803CE">
        <w:rPr>
          <w:rFonts w:cs="Times New Roman"/>
          <w:i/>
          <w:color w:val="000000"/>
          <w:szCs w:val="14"/>
        </w:rPr>
        <w:t xml:space="preserve">       </w:t>
      </w:r>
      <w:r w:rsidRPr="00E803CE">
        <w:rPr>
          <w:rFonts w:cs="Times New Roman"/>
          <w:i/>
          <w:color w:val="000000"/>
          <w:szCs w:val="20"/>
        </w:rPr>
        <w:t xml:space="preserve">Updates on EPDP </w:t>
      </w:r>
    </w:p>
    <w:p w:rsidR="00F5021B" w:rsidRPr="00E803CE" w:rsidRDefault="00F5021B" w:rsidP="00F71F4C">
      <w:pPr>
        <w:spacing w:beforeLines="1" w:afterLines="1"/>
        <w:ind w:left="1440" w:hanging="360"/>
        <w:rPr>
          <w:rFonts w:cs="Times New Roman"/>
          <w:i/>
          <w:szCs w:val="20"/>
        </w:rPr>
      </w:pPr>
      <w:r w:rsidRPr="00E803CE">
        <w:rPr>
          <w:rFonts w:cs="Times New Roman"/>
          <w:i/>
          <w:color w:val="000000"/>
          <w:szCs w:val="20"/>
        </w:rPr>
        <w:t>2.</w:t>
      </w:r>
      <w:r w:rsidRPr="00E803CE">
        <w:rPr>
          <w:rFonts w:cs="Times New Roman"/>
          <w:i/>
          <w:color w:val="000000"/>
          <w:szCs w:val="14"/>
        </w:rPr>
        <w:t xml:space="preserve">       </w:t>
      </w:r>
      <w:r w:rsidRPr="00E803CE">
        <w:rPr>
          <w:rFonts w:cs="Times New Roman"/>
          <w:i/>
          <w:color w:val="000000"/>
          <w:szCs w:val="20"/>
        </w:rPr>
        <w:t>Cooperation in capacity building</w:t>
      </w:r>
    </w:p>
    <w:p w:rsidR="00F5021B" w:rsidRPr="00E803CE" w:rsidRDefault="00F5021B" w:rsidP="00F71F4C">
      <w:pPr>
        <w:spacing w:beforeLines="1" w:afterLines="1"/>
        <w:ind w:left="1440" w:hanging="360"/>
        <w:rPr>
          <w:rFonts w:cs="Times New Roman"/>
          <w:i/>
          <w:szCs w:val="20"/>
        </w:rPr>
      </w:pPr>
      <w:r w:rsidRPr="00E803CE">
        <w:rPr>
          <w:rFonts w:cs="Times New Roman"/>
          <w:i/>
          <w:color w:val="000000"/>
          <w:szCs w:val="20"/>
        </w:rPr>
        <w:t>3.</w:t>
      </w:r>
      <w:r w:rsidRPr="00E803CE">
        <w:rPr>
          <w:rFonts w:cs="Times New Roman"/>
          <w:i/>
          <w:color w:val="000000"/>
          <w:szCs w:val="14"/>
        </w:rPr>
        <w:t xml:space="preserve">       </w:t>
      </w:r>
      <w:r w:rsidRPr="00E803CE">
        <w:rPr>
          <w:rFonts w:cs="Times New Roman"/>
          <w:i/>
          <w:color w:val="000000"/>
          <w:szCs w:val="20"/>
        </w:rPr>
        <w:t>Subsequent Procedures</w:t>
      </w:r>
    </w:p>
    <w:p w:rsidR="00E803CE" w:rsidRDefault="00F5021B" w:rsidP="00F71F4C">
      <w:pPr>
        <w:numPr>
          <w:ilvl w:val="2"/>
          <w:numId w:val="1"/>
        </w:numPr>
        <w:spacing w:beforeLines="1" w:afterLines="1"/>
        <w:rPr>
          <w:i/>
          <w:color w:val="000000"/>
          <w:szCs w:val="20"/>
        </w:rPr>
      </w:pPr>
      <w:r w:rsidRPr="00E803CE">
        <w:rPr>
          <w:i/>
          <w:color w:val="000000"/>
          <w:szCs w:val="20"/>
        </w:rPr>
        <w:t xml:space="preserve">ALAC participation in the GAC focal group on new </w:t>
      </w:r>
      <w:proofErr w:type="spellStart"/>
      <w:r w:rsidRPr="00E803CE">
        <w:rPr>
          <w:i/>
          <w:color w:val="000000"/>
          <w:szCs w:val="20"/>
        </w:rPr>
        <w:t>gTLDs</w:t>
      </w:r>
      <w:proofErr w:type="spellEnd"/>
      <w:r w:rsidRPr="00E803CE">
        <w:rPr>
          <w:i/>
          <w:color w:val="000000"/>
          <w:szCs w:val="20"/>
        </w:rPr>
        <w:t xml:space="preserve"> </w:t>
      </w:r>
    </w:p>
    <w:p w:rsidR="00F5021B" w:rsidRPr="00E803CE" w:rsidRDefault="00F5021B" w:rsidP="00F71F4C">
      <w:pPr>
        <w:numPr>
          <w:ilvl w:val="3"/>
          <w:numId w:val="1"/>
        </w:numPr>
        <w:spacing w:beforeLines="1" w:afterLines="1"/>
        <w:rPr>
          <w:i/>
          <w:color w:val="000000"/>
          <w:szCs w:val="20"/>
        </w:rPr>
      </w:pPr>
      <w:r w:rsidRPr="00E803CE">
        <w:rPr>
          <w:i/>
          <w:color w:val="000000"/>
          <w:szCs w:val="20"/>
        </w:rPr>
        <w:t xml:space="preserve">Global Public interests and safeguards (highly regulated sectors, verified </w:t>
      </w:r>
      <w:proofErr w:type="spellStart"/>
      <w:r w:rsidRPr="00E803CE">
        <w:rPr>
          <w:i/>
          <w:color w:val="000000"/>
          <w:szCs w:val="20"/>
        </w:rPr>
        <w:t>TLDs</w:t>
      </w:r>
      <w:proofErr w:type="spellEnd"/>
      <w:r w:rsidRPr="00E803CE">
        <w:rPr>
          <w:i/>
          <w:color w:val="000000"/>
          <w:szCs w:val="20"/>
        </w:rPr>
        <w:t>, registration restriction, DNS abuse)</w:t>
      </w:r>
    </w:p>
    <w:p w:rsidR="00F5021B" w:rsidRPr="00E803CE" w:rsidRDefault="00F5021B" w:rsidP="00F71F4C">
      <w:pPr>
        <w:numPr>
          <w:ilvl w:val="2"/>
          <w:numId w:val="1"/>
        </w:numPr>
        <w:spacing w:beforeLines="1" w:afterLines="1"/>
        <w:rPr>
          <w:i/>
          <w:color w:val="000000"/>
          <w:szCs w:val="20"/>
        </w:rPr>
      </w:pPr>
      <w:r w:rsidRPr="00E803CE">
        <w:rPr>
          <w:i/>
          <w:color w:val="000000"/>
          <w:szCs w:val="20"/>
        </w:rPr>
        <w:t>Geographic Names</w:t>
      </w:r>
    </w:p>
    <w:p w:rsidR="00F5021B" w:rsidRPr="00E803CE" w:rsidRDefault="00F5021B" w:rsidP="00F71F4C">
      <w:pPr>
        <w:spacing w:beforeLines="1" w:afterLines="1"/>
        <w:ind w:left="1440" w:hanging="360"/>
        <w:rPr>
          <w:rFonts w:cs="Times New Roman"/>
          <w:i/>
          <w:szCs w:val="20"/>
        </w:rPr>
      </w:pPr>
      <w:r w:rsidRPr="00E803CE">
        <w:rPr>
          <w:rFonts w:cs="Times New Roman"/>
          <w:i/>
          <w:color w:val="000000"/>
          <w:szCs w:val="20"/>
        </w:rPr>
        <w:t>4.</w:t>
      </w:r>
      <w:r w:rsidRPr="00E803CE">
        <w:rPr>
          <w:rFonts w:cs="Times New Roman"/>
          <w:i/>
          <w:color w:val="000000"/>
          <w:szCs w:val="14"/>
        </w:rPr>
        <w:t xml:space="preserve">       </w:t>
      </w:r>
      <w:r w:rsidRPr="00E803CE">
        <w:rPr>
          <w:rFonts w:cs="Times New Roman"/>
          <w:i/>
          <w:color w:val="000000"/>
          <w:szCs w:val="20"/>
        </w:rPr>
        <w:t>Next steps/AOB</w:t>
      </w:r>
    </w:p>
    <w:p w:rsidR="00F5021B" w:rsidRDefault="00F5021B">
      <w:pPr>
        <w:rPr>
          <w:b/>
        </w:rPr>
      </w:pPr>
    </w:p>
    <w:p w:rsidR="008E79D9" w:rsidRDefault="008E79D9" w:rsidP="008E79D9">
      <w:pPr>
        <w:pStyle w:val="ListParagraph"/>
      </w:pPr>
      <w:proofErr w:type="gramStart"/>
      <w:r>
        <w:t>1 .</w:t>
      </w:r>
      <w:proofErr w:type="gramEnd"/>
      <w:r>
        <w:t xml:space="preserve"> </w:t>
      </w:r>
      <w:r w:rsidR="00BA27BD">
        <w:t xml:space="preserve"> </w:t>
      </w:r>
      <w:r>
        <w:t xml:space="preserve"> </w:t>
      </w:r>
      <w:proofErr w:type="spellStart"/>
      <w:r w:rsidR="00FB27DB">
        <w:t>Hadia</w:t>
      </w:r>
      <w:proofErr w:type="spellEnd"/>
      <w:r w:rsidR="00FB27DB">
        <w:t xml:space="preserve"> </w:t>
      </w:r>
      <w:proofErr w:type="spellStart"/>
      <w:r w:rsidR="00FB27DB">
        <w:t>Elminiawi</w:t>
      </w:r>
      <w:proofErr w:type="spellEnd"/>
      <w:r w:rsidR="00BA27BD">
        <w:t>, one of the two ALAC representatives at the EPDP,</w:t>
      </w:r>
      <w:r w:rsidR="00FB27DB">
        <w:t xml:space="preserve"> presented an update on the work of </w:t>
      </w:r>
      <w:r w:rsidR="00BA27BD">
        <w:t>its</w:t>
      </w:r>
      <w:r w:rsidR="00FB27DB">
        <w:t xml:space="preserve"> second phase, focusing on issues </w:t>
      </w:r>
      <w:r w:rsidR="00F2187F">
        <w:t xml:space="preserve">on </w:t>
      </w:r>
      <w:proofErr w:type="gramStart"/>
      <w:r w:rsidR="00F2187F">
        <w:t>which</w:t>
      </w:r>
      <w:r w:rsidR="00FB27DB">
        <w:t xml:space="preserve"> </w:t>
      </w:r>
      <w:r w:rsidR="00BA27BD">
        <w:t xml:space="preserve"> she</w:t>
      </w:r>
      <w:proofErr w:type="gramEnd"/>
      <w:r w:rsidR="00BA27BD">
        <w:t xml:space="preserve"> thought </w:t>
      </w:r>
      <w:r w:rsidR="00FB27DB">
        <w:t>the ALAC and the GAC could find common ground and potentially issue another joint statement</w:t>
      </w:r>
      <w:r w:rsidR="00F2187F">
        <w:rPr>
          <w:rStyle w:val="FootnoteReference"/>
        </w:rPr>
        <w:footnoteReference w:id="-1"/>
      </w:r>
      <w:r w:rsidR="00F2187F">
        <w:t xml:space="preserve">. </w:t>
      </w:r>
      <w:r w:rsidR="00BA27BD">
        <w:t>Listing such issues, s</w:t>
      </w:r>
      <w:r w:rsidR="00F2187F">
        <w:t xml:space="preserve">he </w:t>
      </w:r>
      <w:proofErr w:type="gramStart"/>
      <w:r w:rsidR="00BA27BD">
        <w:t xml:space="preserve">mentioned </w:t>
      </w:r>
      <w:r w:rsidR="00F2187F">
        <w:t xml:space="preserve"> the</w:t>
      </w:r>
      <w:proofErr w:type="gramEnd"/>
      <w:r w:rsidR="00F2187F">
        <w:t xml:space="preserve"> importance of complying with the GDPR and other relevant data protection laws related to </w:t>
      </w:r>
      <w:proofErr w:type="spellStart"/>
      <w:r w:rsidR="00F2187F">
        <w:t>gTLD</w:t>
      </w:r>
      <w:proofErr w:type="spellEnd"/>
      <w:r w:rsidR="00F2187F">
        <w:t xml:space="preserve"> registration data</w:t>
      </w:r>
      <w:r w:rsidR="00BA27BD">
        <w:t>;</w:t>
      </w:r>
      <w:r w:rsidR="00F2187F">
        <w:t xml:space="preserve"> the need for a standardized system for disclosing non-public </w:t>
      </w:r>
      <w:proofErr w:type="spellStart"/>
      <w:r w:rsidR="00F2187F">
        <w:t>gTLD</w:t>
      </w:r>
      <w:proofErr w:type="spellEnd"/>
      <w:r w:rsidR="00F2187F">
        <w:t xml:space="preserve"> registration data for those with legitimate interests and lawful grounds for processing it, accreditation/authorization issues</w:t>
      </w:r>
      <w:r w:rsidR="00BA27BD">
        <w:t>;</w:t>
      </w:r>
      <w:r w:rsidR="00F2187F">
        <w:t xml:space="preserve"> data accuracy</w:t>
      </w:r>
      <w:r w:rsidR="00BA27BD">
        <w:t>;</w:t>
      </w:r>
      <w:r w:rsidR="00F2187F">
        <w:t xml:space="preserve"> implementation of the distinction between natural and legal persons</w:t>
      </w:r>
      <w:r w:rsidR="00BA27BD">
        <w:t>;</w:t>
      </w:r>
      <w:r w:rsidR="00F2187F">
        <w:t xml:space="preserve"> technical contact information</w:t>
      </w:r>
      <w:r w:rsidR="00BA27BD">
        <w:t>;</w:t>
      </w:r>
      <w:r w:rsidR="00F2187F">
        <w:t xml:space="preserve"> and requirements of research pertaining to the securit</w:t>
      </w:r>
      <w:r>
        <w:t xml:space="preserve">y and stability of the Internet. </w:t>
      </w:r>
    </w:p>
    <w:p w:rsidR="008E79D9" w:rsidRDefault="008E79D9" w:rsidP="008E79D9"/>
    <w:p w:rsidR="008E79D9" w:rsidRDefault="008E79D9" w:rsidP="008E79D9">
      <w:pPr>
        <w:pStyle w:val="ListParagraph"/>
      </w:pPr>
      <w:proofErr w:type="spellStart"/>
      <w:r>
        <w:t>Manal</w:t>
      </w:r>
      <w:proofErr w:type="spellEnd"/>
      <w:r>
        <w:t xml:space="preserve"> Ismail, the GAC Chair, agreed that the</w:t>
      </w:r>
      <w:r w:rsidR="00BA27BD">
        <w:t>se</w:t>
      </w:r>
      <w:r>
        <w:t xml:space="preserve"> topics presented great potential for cooperation. Since the GAC EPDP experts could not attend, discussion </w:t>
      </w:r>
      <w:r w:rsidR="00BA27BD">
        <w:t xml:space="preserve">will </w:t>
      </w:r>
      <w:proofErr w:type="gramStart"/>
      <w:r w:rsidR="00BA27BD">
        <w:t xml:space="preserve">continue </w:t>
      </w:r>
      <w:r>
        <w:t xml:space="preserve"> afterwards</w:t>
      </w:r>
      <w:proofErr w:type="gramEnd"/>
      <w:r>
        <w:t>.</w:t>
      </w:r>
    </w:p>
    <w:p w:rsidR="008E79D9" w:rsidRDefault="008E79D9" w:rsidP="008E79D9">
      <w:pPr>
        <w:pStyle w:val="ListParagraph"/>
      </w:pPr>
    </w:p>
    <w:p w:rsidR="00D21EC0" w:rsidRPr="005816F9" w:rsidRDefault="00D21EC0" w:rsidP="00D21EC0">
      <w:pPr>
        <w:ind w:left="720"/>
        <w:rPr>
          <w:b/>
        </w:rPr>
      </w:pPr>
      <w:r>
        <w:t xml:space="preserve">2. </w:t>
      </w:r>
      <w:r w:rsidR="00BA27BD">
        <w:t xml:space="preserve"> Joanna </w:t>
      </w:r>
      <w:proofErr w:type="spellStart"/>
      <w:r w:rsidR="00BA27BD">
        <w:t>Kulecza</w:t>
      </w:r>
      <w:proofErr w:type="spellEnd"/>
      <w:proofErr w:type="gramStart"/>
      <w:r w:rsidR="00BA27BD">
        <w:t xml:space="preserve">, </w:t>
      </w:r>
      <w:r w:rsidR="00ED55E4">
        <w:t xml:space="preserve"> Co</w:t>
      </w:r>
      <w:proofErr w:type="gramEnd"/>
      <w:r w:rsidR="00ED55E4">
        <w:t xml:space="preserve">-Chair of the At Large Capacity Building Working Group, noted that </w:t>
      </w:r>
      <w:r w:rsidR="00F13AE3">
        <w:t xml:space="preserve">a </w:t>
      </w:r>
      <w:r w:rsidR="008E79D9">
        <w:t>joint ALAC-GAC capacity building event back-to-back with ICANN6</w:t>
      </w:r>
      <w:r w:rsidR="005816F9">
        <w:t>6</w:t>
      </w:r>
      <w:r w:rsidR="008E79D9">
        <w:t xml:space="preserve">, </w:t>
      </w:r>
      <w:r w:rsidR="00F13AE3">
        <w:t xml:space="preserve"> as originally planned, would have been challenging because the ALAC will be busy with ATLAS III.  Instead, Maureen </w:t>
      </w:r>
      <w:proofErr w:type="spellStart"/>
      <w:r w:rsidR="00F13AE3">
        <w:t>Hilyard</w:t>
      </w:r>
      <w:proofErr w:type="spellEnd"/>
      <w:r w:rsidR="00F13AE3">
        <w:t xml:space="preserve">, the ALAC Chair, welcomed interested GAC members to take advantage </w:t>
      </w:r>
      <w:proofErr w:type="gramStart"/>
      <w:r w:rsidR="00F13AE3">
        <w:t xml:space="preserve">of  </w:t>
      </w:r>
      <w:r w:rsidR="005816F9">
        <w:t>ATLAS</w:t>
      </w:r>
      <w:proofErr w:type="gramEnd"/>
      <w:r w:rsidR="005816F9">
        <w:t xml:space="preserve"> III  </w:t>
      </w:r>
      <w:r w:rsidR="00F13AE3">
        <w:t xml:space="preserve">and in particular to attend the </w:t>
      </w:r>
      <w:r w:rsidR="005816F9" w:rsidRPr="005816F9">
        <w:rPr>
          <w:rStyle w:val="Strong"/>
          <w:b w:val="0"/>
        </w:rPr>
        <w:t>Joint ALAC-GAC-NPOC Communications and Capacity Building Session</w:t>
      </w:r>
      <w:r w:rsidR="005816F9">
        <w:rPr>
          <w:rStyle w:val="Strong"/>
          <w:b w:val="0"/>
        </w:rPr>
        <w:t>, Saturday 17:00 – 18:30.</w:t>
      </w:r>
    </w:p>
    <w:p w:rsidR="008E79D9" w:rsidRDefault="008E79D9" w:rsidP="00D21EC0">
      <w:pPr>
        <w:pStyle w:val="ListParagraph"/>
        <w:ind w:left="1440"/>
      </w:pPr>
    </w:p>
    <w:p w:rsidR="00D21EC0" w:rsidRDefault="00D21EC0" w:rsidP="008E79D9">
      <w:pPr>
        <w:pStyle w:val="ListParagraph"/>
      </w:pPr>
      <w:r>
        <w:t xml:space="preserve">Next GAC capacity building workshops are planned for ICANN67 and ICANN68.   </w:t>
      </w:r>
    </w:p>
    <w:p w:rsidR="00D21EC0" w:rsidRDefault="00D21EC0" w:rsidP="008E79D9">
      <w:pPr>
        <w:pStyle w:val="ListParagraph"/>
      </w:pPr>
    </w:p>
    <w:p w:rsidR="00D21EC0" w:rsidRDefault="00294A45" w:rsidP="008E79D9">
      <w:pPr>
        <w:pStyle w:val="ListParagraph"/>
      </w:pPr>
      <w:r>
        <w:t>W</w:t>
      </w:r>
      <w:r w:rsidR="00D21EC0">
        <w:t xml:space="preserve">ithin the last one and </w:t>
      </w:r>
      <w:proofErr w:type="gramStart"/>
      <w:r w:rsidR="00D21EC0">
        <w:t>a half</w:t>
      </w:r>
      <w:proofErr w:type="gramEnd"/>
      <w:r w:rsidR="00D21EC0">
        <w:t xml:space="preserve"> years, there have been a hundred newcomers at the GAC meetings.  </w:t>
      </w:r>
      <w:r>
        <w:t xml:space="preserve"> Thus, c</w:t>
      </w:r>
      <w:r w:rsidR="00D21EC0">
        <w:t xml:space="preserve">apacity </w:t>
      </w:r>
      <w:proofErr w:type="gramStart"/>
      <w:r w:rsidR="00D21EC0">
        <w:t xml:space="preserve">building </w:t>
      </w:r>
      <w:r>
        <w:t xml:space="preserve"> needs</w:t>
      </w:r>
      <w:proofErr w:type="gramEnd"/>
      <w:r>
        <w:t xml:space="preserve"> are huge and </w:t>
      </w:r>
      <w:r w:rsidR="00D21EC0">
        <w:t xml:space="preserve">efforts need to be focused on </w:t>
      </w:r>
      <w:r w:rsidR="005816F9">
        <w:t xml:space="preserve">current important </w:t>
      </w:r>
      <w:r w:rsidR="00D21EC0">
        <w:t xml:space="preserve">issues like EPDP and </w:t>
      </w:r>
      <w:proofErr w:type="spellStart"/>
      <w:r w:rsidR="00D21EC0">
        <w:t>SubPro</w:t>
      </w:r>
      <w:proofErr w:type="spellEnd"/>
      <w:r w:rsidR="00D21EC0">
        <w:t xml:space="preserve"> to bring members </w:t>
      </w:r>
      <w:r w:rsidR="00F91BAD">
        <w:t xml:space="preserve">on speed. </w:t>
      </w:r>
    </w:p>
    <w:p w:rsidR="00D21EC0" w:rsidRDefault="00D21EC0" w:rsidP="008E79D9">
      <w:pPr>
        <w:pStyle w:val="ListParagraph"/>
      </w:pPr>
    </w:p>
    <w:p w:rsidR="005816F9" w:rsidRDefault="00F91BAD" w:rsidP="008E79D9">
      <w:pPr>
        <w:pStyle w:val="ListParagraph"/>
      </w:pPr>
      <w:r>
        <w:t xml:space="preserve">3. </w:t>
      </w:r>
      <w:r w:rsidR="00294A45">
        <w:t xml:space="preserve"> At ICANN65, when ALAC-GAC </w:t>
      </w:r>
      <w:r>
        <w:t>policy cooperation was discussed</w:t>
      </w:r>
      <w:r w:rsidR="00294A45">
        <w:t>,</w:t>
      </w:r>
      <w:r>
        <w:t xml:space="preserve"> it was s</w:t>
      </w:r>
      <w:r w:rsidR="005816F9">
        <w:t xml:space="preserve">uggested that instead of </w:t>
      </w:r>
      <w:r>
        <w:t xml:space="preserve">setting up a new </w:t>
      </w:r>
      <w:r w:rsidR="00294A45">
        <w:t xml:space="preserve">joint </w:t>
      </w:r>
      <w:r>
        <w:t xml:space="preserve">group, </w:t>
      </w:r>
      <w:r w:rsidR="00294A45">
        <w:t xml:space="preserve">interested </w:t>
      </w:r>
      <w:r>
        <w:t xml:space="preserve">At Large members could be invited to participate in the work of the newly formed GAC Focus </w:t>
      </w:r>
      <w:r w:rsidR="00294A45">
        <w:t>G</w:t>
      </w:r>
      <w:r>
        <w:t xml:space="preserve">roup on </w:t>
      </w:r>
      <w:proofErr w:type="spellStart"/>
      <w:r>
        <w:t>ComPro</w:t>
      </w:r>
      <w:proofErr w:type="spellEnd"/>
      <w:r>
        <w:t xml:space="preserve">.  However, as Luisa </w:t>
      </w:r>
      <w:proofErr w:type="spellStart"/>
      <w:r>
        <w:t>Paez</w:t>
      </w:r>
      <w:proofErr w:type="spellEnd"/>
      <w:r>
        <w:t>, the Chair of the Focus Group explained, so far the group ha</w:t>
      </w:r>
      <w:r w:rsidR="00294A45">
        <w:t>s</w:t>
      </w:r>
      <w:r>
        <w:t xml:space="preserve"> </w:t>
      </w:r>
      <w:r w:rsidR="005816F9">
        <w:t>focus</w:t>
      </w:r>
      <w:r w:rsidR="00294A45">
        <w:t>ed</w:t>
      </w:r>
      <w:r w:rsidR="005816F9">
        <w:t xml:space="preserve"> </w:t>
      </w:r>
      <w:r>
        <w:t xml:space="preserve">more on capacity building </w:t>
      </w:r>
      <w:proofErr w:type="gramStart"/>
      <w:r>
        <w:t xml:space="preserve">than </w:t>
      </w:r>
      <w:r w:rsidR="005816F9">
        <w:t xml:space="preserve"> on</w:t>
      </w:r>
      <w:proofErr w:type="gramEnd"/>
      <w:r w:rsidR="005816F9">
        <w:t xml:space="preserve"> </w:t>
      </w:r>
      <w:r>
        <w:t xml:space="preserve">formulating GAC positions on the issues, let alone interacting with another constituency. </w:t>
      </w:r>
      <w:r w:rsidR="005816F9">
        <w:t>S</w:t>
      </w:r>
      <w:r>
        <w:t xml:space="preserve">he expressed interest in learning how </w:t>
      </w:r>
      <w:r w:rsidR="00E20BA8">
        <w:t xml:space="preserve">ALAC </w:t>
      </w:r>
      <w:r w:rsidR="00294A45">
        <w:t>is</w:t>
      </w:r>
      <w:r w:rsidR="00E20BA8">
        <w:t xml:space="preserve"> b</w:t>
      </w:r>
      <w:r w:rsidR="00294A45">
        <w:t xml:space="preserve">uilding </w:t>
      </w:r>
      <w:r w:rsidR="00E20BA8">
        <w:t xml:space="preserve">capacities for At Large participation in the </w:t>
      </w:r>
      <w:proofErr w:type="spellStart"/>
      <w:r w:rsidR="00E20BA8">
        <w:t>ComPro</w:t>
      </w:r>
      <w:proofErr w:type="spellEnd"/>
      <w:r w:rsidR="00E20BA8">
        <w:t xml:space="preserve"> PDP and how it has organized the work across </w:t>
      </w:r>
      <w:r w:rsidR="00294A45">
        <w:t>the</w:t>
      </w:r>
      <w:r w:rsidR="00E20BA8">
        <w:t xml:space="preserve"> many work tracks. </w:t>
      </w:r>
    </w:p>
    <w:p w:rsidR="005816F9" w:rsidRDefault="005816F9" w:rsidP="008E79D9">
      <w:pPr>
        <w:pStyle w:val="ListParagraph"/>
      </w:pPr>
    </w:p>
    <w:p w:rsidR="00A12192" w:rsidRDefault="005816F9" w:rsidP="008E79D9">
      <w:pPr>
        <w:pStyle w:val="ListParagraph"/>
      </w:pPr>
      <w:r>
        <w:t xml:space="preserve">Justine Chew, the ALAC Liaison to the </w:t>
      </w:r>
      <w:proofErr w:type="spellStart"/>
      <w:r>
        <w:t>SubPro</w:t>
      </w:r>
      <w:proofErr w:type="spellEnd"/>
      <w:r>
        <w:t xml:space="preserve"> PDP, explained the role of ALAC Consolidated </w:t>
      </w:r>
      <w:r w:rsidR="00A12192">
        <w:t xml:space="preserve">Policy Working Group (CPWG) in coordinating the policy work and following complicated processes such as </w:t>
      </w:r>
      <w:proofErr w:type="spellStart"/>
      <w:r w:rsidR="00A12192">
        <w:t>SubPro</w:t>
      </w:r>
      <w:proofErr w:type="spellEnd"/>
      <w:r w:rsidR="00A12192">
        <w:t xml:space="preserve">.  She noted that there are many similarities in GAC and ALAC thinking </w:t>
      </w:r>
      <w:r w:rsidR="00294A45">
        <w:t xml:space="preserve">on </w:t>
      </w:r>
      <w:proofErr w:type="spellStart"/>
      <w:proofErr w:type="gramStart"/>
      <w:r w:rsidR="00294A45">
        <w:t>ComPro</w:t>
      </w:r>
      <w:proofErr w:type="spellEnd"/>
      <w:r w:rsidR="00294A45">
        <w:t xml:space="preserve">  that</w:t>
      </w:r>
      <w:proofErr w:type="gramEnd"/>
      <w:r w:rsidR="00294A45">
        <w:t xml:space="preserve"> could and should lead </w:t>
      </w:r>
      <w:r w:rsidR="00A12192">
        <w:t xml:space="preserve"> </w:t>
      </w:r>
      <w:r w:rsidR="00294A45">
        <w:t xml:space="preserve"> to</w:t>
      </w:r>
      <w:r w:rsidR="00A12192">
        <w:t xml:space="preserve"> taking common positions on </w:t>
      </w:r>
      <w:r w:rsidR="00294A45">
        <w:t>appropriate issues.</w:t>
      </w:r>
    </w:p>
    <w:p w:rsidR="00A12192" w:rsidRDefault="00A12192" w:rsidP="008E79D9">
      <w:pPr>
        <w:pStyle w:val="ListParagraph"/>
      </w:pPr>
    </w:p>
    <w:p w:rsidR="00294A45" w:rsidRDefault="00A12192" w:rsidP="008E79D9">
      <w:pPr>
        <w:pStyle w:val="ListParagraph"/>
      </w:pPr>
      <w:r>
        <w:t>Christopher Wilkinson, one o</w:t>
      </w:r>
      <w:r w:rsidR="00294A45">
        <w:t xml:space="preserve">f active At Large WT5 members, </w:t>
      </w:r>
      <w:r>
        <w:t xml:space="preserve">thanked the GAC for </w:t>
      </w:r>
      <w:r w:rsidR="00294A45">
        <w:t xml:space="preserve">the </w:t>
      </w:r>
      <w:r>
        <w:t>effort</w:t>
      </w:r>
      <w:r w:rsidR="00294A45">
        <w:t>s</w:t>
      </w:r>
      <w:r>
        <w:t xml:space="preserve"> that Olga </w:t>
      </w:r>
      <w:proofErr w:type="spellStart"/>
      <w:r>
        <w:t>Cavalli</w:t>
      </w:r>
      <w:proofErr w:type="spellEnd"/>
      <w:r>
        <w:t>, GAC Co-Chair of W</w:t>
      </w:r>
      <w:r w:rsidR="002C076A">
        <w:t xml:space="preserve">T 5, has put in </w:t>
      </w:r>
    </w:p>
    <w:p w:rsidR="002C076A" w:rsidRDefault="002C076A" w:rsidP="008E79D9">
      <w:pPr>
        <w:pStyle w:val="ListParagraph"/>
      </w:pPr>
      <w:proofErr w:type="gramStart"/>
      <w:r>
        <w:t>the</w:t>
      </w:r>
      <w:proofErr w:type="gramEnd"/>
      <w:r>
        <w:t xml:space="preserve"> work track, but wished that  the GAC would speak with more voices at its meetings, explaining that numbers do make an impact in fact even if in theory they shouldn’t.</w:t>
      </w:r>
    </w:p>
    <w:p w:rsidR="002C076A" w:rsidRDefault="002C076A" w:rsidP="008E79D9">
      <w:pPr>
        <w:pStyle w:val="ListParagraph"/>
      </w:pPr>
    </w:p>
    <w:p w:rsidR="00D509E4" w:rsidRDefault="00D40226" w:rsidP="00D509E4">
      <w:pPr>
        <w:pStyle w:val="ListParagraph"/>
        <w:numPr>
          <w:ilvl w:val="0"/>
          <w:numId w:val="1"/>
        </w:numPr>
      </w:pPr>
      <w:r>
        <w:t xml:space="preserve">As to next steps, </w:t>
      </w:r>
      <w:proofErr w:type="spellStart"/>
      <w:r w:rsidR="002C076A">
        <w:t>Yrjö</w:t>
      </w:r>
      <w:proofErr w:type="spellEnd"/>
      <w:r w:rsidR="002C076A">
        <w:t xml:space="preserve"> </w:t>
      </w:r>
      <w:proofErr w:type="spellStart"/>
      <w:r w:rsidR="002C076A">
        <w:t>Länsipuro</w:t>
      </w:r>
      <w:proofErr w:type="spellEnd"/>
      <w:r w:rsidR="002C076A">
        <w:t>, the A</w:t>
      </w:r>
      <w:r w:rsidR="00294A45">
        <w:t>L</w:t>
      </w:r>
      <w:r w:rsidR="002C076A">
        <w:t xml:space="preserve">AC Liaison the </w:t>
      </w:r>
      <w:proofErr w:type="spellStart"/>
      <w:r w:rsidR="002C076A">
        <w:t>the</w:t>
      </w:r>
      <w:proofErr w:type="spellEnd"/>
      <w:r w:rsidR="002C076A">
        <w:t xml:space="preserve"> GAC, suggested that the discussion be continued under the same agenda at the joint meeting at ICANN6</w:t>
      </w:r>
      <w:r>
        <w:t>6 (Tuesday 5 November, 14:15 -15:00</w:t>
      </w:r>
      <w:proofErr w:type="gramStart"/>
      <w:r>
        <w:t>)</w:t>
      </w:r>
      <w:r w:rsidR="002C076A">
        <w:t xml:space="preserve"> </w:t>
      </w:r>
      <w:r>
        <w:t>.</w:t>
      </w:r>
      <w:proofErr w:type="gramEnd"/>
      <w:r>
        <w:t xml:space="preserve"> </w:t>
      </w:r>
      <w:proofErr w:type="spellStart"/>
      <w:r>
        <w:t>Manal</w:t>
      </w:r>
      <w:proofErr w:type="spellEnd"/>
      <w:r>
        <w:t xml:space="preserve"> agreed and </w:t>
      </w:r>
      <w:proofErr w:type="spellStart"/>
      <w:r>
        <w:t>expessed</w:t>
      </w:r>
      <w:proofErr w:type="spellEnd"/>
      <w:r>
        <w:t xml:space="preserve"> </w:t>
      </w:r>
      <w:r w:rsidR="00E803CE">
        <w:t xml:space="preserve">the </w:t>
      </w:r>
      <w:r>
        <w:t xml:space="preserve">hope </w:t>
      </w:r>
      <w:r w:rsidR="00E803CE">
        <w:t>that</w:t>
      </w:r>
      <w:r>
        <w:t xml:space="preserve"> progress on various issues would </w:t>
      </w:r>
      <w:r w:rsidR="00E803CE">
        <w:t>take place before Montreal.</w:t>
      </w:r>
    </w:p>
    <w:p w:rsidR="00D509E4" w:rsidRDefault="00D509E4" w:rsidP="00D509E4"/>
    <w:p w:rsidR="000C1CDD" w:rsidRPr="00FB27DB" w:rsidRDefault="000C1CDD" w:rsidP="00D509E4"/>
    <w:sectPr w:rsidR="000C1CDD" w:rsidRPr="00FB27DB" w:rsidSect="000C1CD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294A45" w:rsidRPr="00D40226" w:rsidRDefault="00294A45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D40226">
        <w:rPr>
          <w:sz w:val="20"/>
        </w:rPr>
        <w:t xml:space="preserve">At ICANN64, the ALAC and the GAC issued a joint statement on Phase 1 issues of the EPDP </w:t>
      </w:r>
      <w:hyperlink r:id="rId1" w:history="1">
        <w:r w:rsidRPr="00D40226">
          <w:rPr>
            <w:rStyle w:val="Hyperlink"/>
            <w:sz w:val="20"/>
          </w:rPr>
          <w:t>https://atlarge.icann.org/advice_statements/13255</w:t>
        </w:r>
      </w:hyperlink>
    </w:p>
    <w:p w:rsidR="00294A45" w:rsidRPr="00D40226" w:rsidRDefault="00294A45">
      <w:pPr>
        <w:pStyle w:val="FootnoteText"/>
        <w:rPr>
          <w:sz w:val="20"/>
        </w:rPr>
      </w:pP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46980"/>
    <w:multiLevelType w:val="multilevel"/>
    <w:tmpl w:val="B5B2E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76828"/>
    <w:multiLevelType w:val="hybridMultilevel"/>
    <w:tmpl w:val="CE8EB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C1CDD"/>
    <w:rsid w:val="000C1CDD"/>
    <w:rsid w:val="00294A45"/>
    <w:rsid w:val="002C076A"/>
    <w:rsid w:val="005816F9"/>
    <w:rsid w:val="008E79D9"/>
    <w:rsid w:val="00A12192"/>
    <w:rsid w:val="00BA27BD"/>
    <w:rsid w:val="00BA3240"/>
    <w:rsid w:val="00CE2D5D"/>
    <w:rsid w:val="00D21EC0"/>
    <w:rsid w:val="00D40226"/>
    <w:rsid w:val="00D509E4"/>
    <w:rsid w:val="00E20BA8"/>
    <w:rsid w:val="00E803CE"/>
    <w:rsid w:val="00ED55E4"/>
    <w:rsid w:val="00F13AE3"/>
    <w:rsid w:val="00F2187F"/>
    <w:rsid w:val="00F5021B"/>
    <w:rsid w:val="00F71F4C"/>
    <w:rsid w:val="00F91BAD"/>
    <w:rsid w:val="00FB27D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AA"/>
    <w:rPr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xmsonormal">
    <w:name w:val="x_msonormal"/>
    <w:basedOn w:val="Normal"/>
    <w:rsid w:val="00F5021B"/>
    <w:pPr>
      <w:spacing w:beforeLines="1" w:afterLines="1"/>
    </w:pPr>
    <w:rPr>
      <w:rFonts w:ascii="Times" w:hAnsi="Time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27D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7DB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B27D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218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9D9"/>
    <w:pPr>
      <w:ind w:left="720"/>
      <w:contextualSpacing/>
    </w:pPr>
  </w:style>
  <w:style w:type="character" w:styleId="Strong">
    <w:name w:val="Strong"/>
    <w:basedOn w:val="DefaultParagraphFont"/>
    <w:uiPriority w:val="22"/>
    <w:rsid w:val="005816F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tlarge.icann.org/advice_statements/13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2422</Characters>
  <Application>Microsoft Macintosh Word</Application>
  <DocSecurity>0</DocSecurity>
  <Lines>20</Lines>
  <Paragraphs>4</Paragraphs>
  <ScaleCrop>false</ScaleCrop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Yrjo Lansipuro</dc:creator>
  <cp:keywords/>
  <cp:lastModifiedBy>Yrjo Lansipuro</cp:lastModifiedBy>
  <cp:revision>2</cp:revision>
  <cp:lastPrinted>2019-10-04T14:14:00Z</cp:lastPrinted>
  <dcterms:created xsi:type="dcterms:W3CDTF">2019-10-04T14:59:00Z</dcterms:created>
  <dcterms:modified xsi:type="dcterms:W3CDTF">2019-10-04T14:59:00Z</dcterms:modified>
</cp:coreProperties>
</file>