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7C5" w:rsidRDefault="005D17C5" w:rsidP="005D17C5"/>
    <w:p w:rsidR="005D17C5" w:rsidRDefault="005D17C5" w:rsidP="005D17C5"/>
    <w:p w:rsidR="005D17C5" w:rsidRDefault="005D17C5" w:rsidP="005D17C5"/>
    <w:p w:rsidR="005D17C5" w:rsidRDefault="005D17C5" w:rsidP="005D17C5"/>
    <w:p w:rsidR="00026BD5" w:rsidRDefault="00026BD5" w:rsidP="005D17C5">
      <w:pPr>
        <w:pStyle w:val="NormalWeb"/>
        <w:rPr>
          <w:rFonts w:ascii="Calibri" w:hAnsi="Calibri"/>
          <w:color w:val="000000"/>
        </w:rPr>
      </w:pPr>
    </w:p>
    <w:p w:rsidR="00026BD5" w:rsidRPr="00026BD5" w:rsidRDefault="00026BD5" w:rsidP="005D17C5">
      <w:pPr>
        <w:pStyle w:val="NormalWeb"/>
        <w:rPr>
          <w:rFonts w:ascii="Calibri" w:hAnsi="Calibri"/>
          <w:b/>
          <w:bCs/>
          <w:color w:val="000000"/>
        </w:rPr>
      </w:pPr>
      <w:r w:rsidRPr="00026BD5">
        <w:rPr>
          <w:rFonts w:ascii="Calibri" w:hAnsi="Calibri"/>
          <w:b/>
          <w:bCs/>
          <w:color w:val="000000"/>
        </w:rPr>
        <w:t xml:space="preserve">The ALAC commitments, objectives and expectations for phase 2 of the EPDP on the Temporary Specification for </w:t>
      </w:r>
      <w:proofErr w:type="spellStart"/>
      <w:r w:rsidRPr="00026BD5">
        <w:rPr>
          <w:rFonts w:ascii="Calibri" w:hAnsi="Calibri"/>
          <w:b/>
          <w:bCs/>
          <w:color w:val="000000"/>
        </w:rPr>
        <w:t>gTLD</w:t>
      </w:r>
      <w:proofErr w:type="spellEnd"/>
      <w:r w:rsidRPr="00026BD5">
        <w:rPr>
          <w:rFonts w:ascii="Calibri" w:hAnsi="Calibri"/>
          <w:b/>
          <w:bCs/>
          <w:color w:val="000000"/>
        </w:rPr>
        <w:t xml:space="preserve"> Registration Data </w:t>
      </w:r>
    </w:p>
    <w:p w:rsidR="00026BD5" w:rsidRDefault="00026BD5" w:rsidP="005D17C5">
      <w:pPr>
        <w:pStyle w:val="NormalWeb"/>
        <w:rPr>
          <w:rFonts w:ascii="Calibri" w:hAnsi="Calibri"/>
          <w:color w:val="000000"/>
        </w:rPr>
      </w:pPr>
    </w:p>
    <w:p w:rsidR="005D17C5" w:rsidRDefault="005D17C5" w:rsidP="005D17C5">
      <w:pPr>
        <w:pStyle w:val="NormalWeb"/>
        <w:rPr>
          <w:rFonts w:ascii="Calibri" w:hAnsi="Calibri"/>
          <w:color w:val="000000"/>
          <w:shd w:val="clear" w:color="auto" w:fill="FFFFFF"/>
        </w:rPr>
      </w:pPr>
      <w:r>
        <w:rPr>
          <w:rFonts w:ascii="Calibri" w:hAnsi="Calibri"/>
          <w:color w:val="000000"/>
        </w:rPr>
        <w:t>Commitments</w:t>
      </w:r>
      <w:r>
        <w:rPr>
          <w:rFonts w:ascii="Calibri" w:hAnsi="Calibri"/>
          <w:color w:val="000000"/>
          <w:shd w:val="clear" w:color="auto" w:fill="FFFFFF"/>
        </w:rPr>
        <w:t xml:space="preserve">: </w:t>
      </w:r>
    </w:p>
    <w:p w:rsidR="005D17C5" w:rsidRDefault="005D17C5" w:rsidP="005D17C5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hd w:val="clear" w:color="auto" w:fill="FFFFFF"/>
        </w:rPr>
        <w:t>The ALAC commitments are both to the EPDP work and to the Internet end users</w:t>
      </w:r>
      <w:r w:rsidR="00351C81">
        <w:rPr>
          <w:rFonts w:ascii="Calibri" w:hAnsi="Calibri"/>
          <w:color w:val="000000"/>
          <w:shd w:val="clear" w:color="auto" w:fill="FFFFFF"/>
        </w:rPr>
        <w:t>,</w:t>
      </w:r>
      <w:r>
        <w:rPr>
          <w:rFonts w:ascii="Calibri" w:hAnsi="Calibri"/>
          <w:color w:val="000000"/>
          <w:shd w:val="clear" w:color="auto" w:fill="FFFFFF"/>
        </w:rPr>
        <w:t xml:space="preserve"> whom we represent their interests</w:t>
      </w:r>
      <w:r w:rsidR="00351C81">
        <w:rPr>
          <w:rFonts w:ascii="Calibri" w:hAnsi="Calibri"/>
          <w:color w:val="000000"/>
        </w:rPr>
        <w:t xml:space="preserve">. The ALAC is committed </w:t>
      </w:r>
      <w:r>
        <w:rPr>
          <w:rFonts w:ascii="Calibri" w:hAnsi="Calibri"/>
          <w:color w:val="000000"/>
        </w:rPr>
        <w:t>to working</w:t>
      </w:r>
      <w:r w:rsidR="000F2721">
        <w:rPr>
          <w:rFonts w:ascii="Calibri" w:hAnsi="Calibri"/>
          <w:color w:val="000000"/>
        </w:rPr>
        <w:t xml:space="preserve"> together with the EPDP group</w:t>
      </w:r>
      <w:r w:rsidR="00140A74">
        <w:rPr>
          <w:rFonts w:ascii="Calibri" w:hAnsi="Calibri"/>
          <w:color w:val="000000"/>
        </w:rPr>
        <w:t>,</w:t>
      </w:r>
      <w:r w:rsidR="000F2721">
        <w:rPr>
          <w:rFonts w:ascii="Calibri" w:hAnsi="Calibri"/>
          <w:color w:val="000000"/>
        </w:rPr>
        <w:t xml:space="preserve"> as a team</w:t>
      </w:r>
      <w:r w:rsidR="00140A74">
        <w:rPr>
          <w:rFonts w:ascii="Calibri" w:hAnsi="Calibri"/>
          <w:color w:val="000000"/>
        </w:rPr>
        <w:t>,</w:t>
      </w:r>
      <w:r w:rsidR="000F2721">
        <w:rPr>
          <w:rFonts w:ascii="Calibri" w:hAnsi="Calibri"/>
          <w:color w:val="000000"/>
        </w:rPr>
        <w:t xml:space="preserve"> and</w:t>
      </w:r>
      <w:r>
        <w:rPr>
          <w:rFonts w:ascii="Calibri" w:hAnsi="Calibri"/>
          <w:color w:val="000000"/>
        </w:rPr>
        <w:t xml:space="preserve"> in good faith to make the work</w:t>
      </w:r>
      <w:r w:rsidR="000F2721">
        <w:rPr>
          <w:rFonts w:ascii="Calibri" w:hAnsi="Calibri"/>
          <w:color w:val="000000"/>
        </w:rPr>
        <w:t xml:space="preserve"> of the EPDP </w:t>
      </w:r>
      <w:r w:rsidR="00351C81">
        <w:rPr>
          <w:rFonts w:ascii="Calibri" w:hAnsi="Calibri"/>
          <w:color w:val="000000"/>
        </w:rPr>
        <w:t>succeed</w:t>
      </w:r>
      <w:r w:rsidR="000F2721">
        <w:rPr>
          <w:rFonts w:ascii="Calibri" w:hAnsi="Calibri"/>
          <w:color w:val="000000"/>
        </w:rPr>
        <w:t>. A</w:t>
      </w:r>
      <w:r w:rsidR="00351C81">
        <w:rPr>
          <w:rFonts w:ascii="Calibri" w:hAnsi="Calibri"/>
          <w:color w:val="000000"/>
        </w:rPr>
        <w:t>nd is</w:t>
      </w:r>
      <w:r>
        <w:rPr>
          <w:rFonts w:ascii="Calibri" w:hAnsi="Calibri"/>
          <w:color w:val="000000"/>
        </w:rPr>
        <w:t xml:space="preserve"> commit</w:t>
      </w:r>
      <w:r w:rsidR="00351C81">
        <w:rPr>
          <w:rFonts w:ascii="Calibri" w:hAnsi="Calibri"/>
          <w:color w:val="000000"/>
        </w:rPr>
        <w:t>ted to</w:t>
      </w:r>
      <w:r w:rsidR="004C2357">
        <w:rPr>
          <w:rFonts w:ascii="Calibri" w:hAnsi="Calibri"/>
          <w:color w:val="000000"/>
        </w:rPr>
        <w:t xml:space="preserve"> </w:t>
      </w:r>
      <w:r w:rsidR="000F2721">
        <w:rPr>
          <w:rFonts w:ascii="Calibri" w:hAnsi="Calibri"/>
          <w:color w:val="000000"/>
        </w:rPr>
        <w:t xml:space="preserve">protecting the interests of the Internet end users through </w:t>
      </w:r>
      <w:r>
        <w:rPr>
          <w:rFonts w:ascii="Calibri" w:hAnsi="Calibri"/>
          <w:color w:val="000000"/>
        </w:rPr>
        <w:t>work</w:t>
      </w:r>
      <w:r w:rsidR="00351C81">
        <w:rPr>
          <w:rFonts w:ascii="Calibri" w:hAnsi="Calibri"/>
          <w:color w:val="000000"/>
        </w:rPr>
        <w:t>ing</w:t>
      </w:r>
      <w:r>
        <w:rPr>
          <w:rFonts w:ascii="Calibri" w:hAnsi="Calibri"/>
          <w:color w:val="000000"/>
        </w:rPr>
        <w:t xml:space="preserve"> </w:t>
      </w:r>
      <w:r w:rsidR="00026BD5">
        <w:rPr>
          <w:rFonts w:ascii="Calibri" w:hAnsi="Calibri"/>
          <w:color w:val="000000"/>
        </w:rPr>
        <w:t>to ensu</w:t>
      </w:r>
      <w:r w:rsidR="00351C81">
        <w:rPr>
          <w:rFonts w:ascii="Calibri" w:hAnsi="Calibri"/>
          <w:color w:val="000000"/>
        </w:rPr>
        <w:t>r</w:t>
      </w:r>
      <w:r w:rsidR="000F2721">
        <w:rPr>
          <w:rFonts w:ascii="Calibri" w:hAnsi="Calibri"/>
          <w:color w:val="000000"/>
        </w:rPr>
        <w:t>e they</w:t>
      </w:r>
      <w:r w:rsidR="00026BD5">
        <w:rPr>
          <w:rFonts w:ascii="Calibri" w:hAnsi="Calibri"/>
          <w:color w:val="000000"/>
        </w:rPr>
        <w:t xml:space="preserve"> have </w:t>
      </w:r>
      <w:r>
        <w:rPr>
          <w:rFonts w:ascii="Calibri" w:hAnsi="Calibri"/>
          <w:color w:val="000000"/>
        </w:rPr>
        <w:t>safe and secure access to the Internet</w:t>
      </w:r>
      <w:r w:rsidR="00026BD5">
        <w:rPr>
          <w:rFonts w:ascii="Calibri" w:hAnsi="Calibri"/>
          <w:color w:val="000000"/>
        </w:rPr>
        <w:t>; whilst</w:t>
      </w:r>
      <w:r>
        <w:rPr>
          <w:rFonts w:ascii="Calibri" w:hAnsi="Calibri"/>
          <w:color w:val="000000"/>
        </w:rPr>
        <w:t xml:space="preserve"> protecting the consumers and individuals' rights</w:t>
      </w:r>
      <w:r w:rsidR="00351C81">
        <w:rPr>
          <w:rFonts w:ascii="Calibri" w:hAnsi="Calibri"/>
          <w:color w:val="000000"/>
        </w:rPr>
        <w:t>.</w:t>
      </w:r>
    </w:p>
    <w:p w:rsidR="005D17C5" w:rsidRDefault="005D17C5" w:rsidP="005D17C5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</w:t>
      </w:r>
    </w:p>
    <w:p w:rsidR="005D17C5" w:rsidRDefault="005D17C5" w:rsidP="005D17C5">
      <w:pPr>
        <w:pStyle w:val="NormalWeb"/>
        <w:rPr>
          <w:rFonts w:ascii="Calibri" w:hAnsi="Calibri"/>
          <w:color w:val="000000"/>
        </w:rPr>
      </w:pPr>
    </w:p>
    <w:p w:rsidR="005D17C5" w:rsidRDefault="005D17C5" w:rsidP="005D17C5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hd w:val="clear" w:color="auto" w:fill="FFFFFF"/>
        </w:rPr>
        <w:t>Objectives:</w:t>
      </w:r>
    </w:p>
    <w:p w:rsidR="005D17C5" w:rsidRDefault="005D17C5" w:rsidP="005D17C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Developing a policy for an implementable</w:t>
      </w:r>
      <w:r w:rsidR="00140A74">
        <w:rPr>
          <w:rFonts w:eastAsia="Times New Roman"/>
          <w:color w:val="000000"/>
        </w:rPr>
        <w:t>,</w:t>
      </w:r>
      <w:r>
        <w:rPr>
          <w:rFonts w:eastAsia="Times New Roman"/>
          <w:color w:val="000000"/>
        </w:rPr>
        <w:t xml:space="preserve"> standardized access model that fulfills the legitim</w:t>
      </w:r>
      <w:r w:rsidR="00140A74">
        <w:rPr>
          <w:rFonts w:eastAsia="Times New Roman"/>
          <w:color w:val="000000"/>
        </w:rPr>
        <w:t>ate purposes of third parties in</w:t>
      </w:r>
      <w:r>
        <w:rPr>
          <w:rFonts w:eastAsia="Times New Roman"/>
          <w:color w:val="000000"/>
        </w:rPr>
        <w:t xml:space="preserve"> access</w:t>
      </w:r>
      <w:r w:rsidR="00140A74">
        <w:rPr>
          <w:rFonts w:eastAsia="Times New Roman"/>
          <w:color w:val="000000"/>
        </w:rPr>
        <w:t>ing</w:t>
      </w:r>
      <w:r>
        <w:rPr>
          <w:rFonts w:eastAsia="Times New Roman"/>
          <w:color w:val="000000"/>
        </w:rPr>
        <w:t xml:space="preserve"> nonpublic </w:t>
      </w:r>
      <w:proofErr w:type="spellStart"/>
      <w:r w:rsidR="00140A74">
        <w:rPr>
          <w:rFonts w:eastAsia="Times New Roman"/>
          <w:color w:val="000000"/>
        </w:rPr>
        <w:t>gTLD</w:t>
      </w:r>
      <w:proofErr w:type="spellEnd"/>
      <w:r w:rsidR="00140A74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registration data</w:t>
      </w:r>
    </w:p>
    <w:p w:rsidR="005D17C5" w:rsidRPr="00140A74" w:rsidRDefault="005D17C5" w:rsidP="00140A7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Followin</w:t>
      </w:r>
      <w:r w:rsidR="00140A74">
        <w:rPr>
          <w:rFonts w:eastAsia="Times New Roman"/>
          <w:color w:val="000000"/>
        </w:rPr>
        <w:t>g the GDPR scope, developing</w:t>
      </w:r>
      <w:r w:rsidRPr="00140A74">
        <w:rPr>
          <w:rFonts w:eastAsia="Times New Roman"/>
          <w:color w:val="000000"/>
        </w:rPr>
        <w:t xml:space="preserve"> a recommendation that differentiates between registrations of legal and n</w:t>
      </w:r>
      <w:r w:rsidR="00026BD5" w:rsidRPr="00140A74">
        <w:rPr>
          <w:rFonts w:eastAsia="Times New Roman"/>
          <w:color w:val="000000"/>
        </w:rPr>
        <w:t xml:space="preserve">atural persons and allowing </w:t>
      </w:r>
      <w:r w:rsidRPr="00140A74">
        <w:rPr>
          <w:rFonts w:eastAsia="Times New Roman"/>
          <w:color w:val="000000"/>
        </w:rPr>
        <w:t xml:space="preserve">public access to the </w:t>
      </w:r>
      <w:proofErr w:type="spellStart"/>
      <w:r w:rsidR="00140A74">
        <w:rPr>
          <w:rFonts w:eastAsia="Times New Roman"/>
          <w:color w:val="000000"/>
        </w:rPr>
        <w:t>gTLD</w:t>
      </w:r>
      <w:proofErr w:type="spellEnd"/>
      <w:r w:rsidR="00140A74">
        <w:rPr>
          <w:rFonts w:eastAsia="Times New Roman"/>
          <w:color w:val="000000"/>
        </w:rPr>
        <w:t xml:space="preserve"> </w:t>
      </w:r>
      <w:r w:rsidRPr="00140A74">
        <w:rPr>
          <w:rFonts w:eastAsia="Times New Roman"/>
          <w:color w:val="000000"/>
        </w:rPr>
        <w:t>registration data of legal persons</w:t>
      </w:r>
    </w:p>
    <w:p w:rsidR="005D17C5" w:rsidRDefault="00026BD5" w:rsidP="005D17C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Exploring the need for data processing </w:t>
      </w:r>
      <w:r w:rsidR="005D17C5">
        <w:rPr>
          <w:rFonts w:eastAsia="Times New Roman"/>
          <w:color w:val="000000"/>
        </w:rPr>
        <w:t xml:space="preserve"> for the purpose of research</w:t>
      </w:r>
    </w:p>
    <w:p w:rsidR="005D17C5" w:rsidRDefault="005D17C5" w:rsidP="005D17C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Exploring the possibility of differentiating between registrations based on the geographic location of the processor, controller and registrant and the targeting criterion  </w:t>
      </w:r>
    </w:p>
    <w:p w:rsidR="005D17C5" w:rsidRDefault="005D17C5" w:rsidP="005D17C5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Expectations:</w:t>
      </w:r>
    </w:p>
    <w:p w:rsidR="005D17C5" w:rsidRDefault="005D17C5" w:rsidP="005D17C5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To commit as a group to working together to maximize our joint gains.</w:t>
      </w:r>
    </w:p>
    <w:p w:rsidR="005D17C5" w:rsidRDefault="00140A74" w:rsidP="005D17C5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To m</w:t>
      </w:r>
      <w:r w:rsidR="005D17C5">
        <w:rPr>
          <w:rFonts w:ascii="Calibri" w:hAnsi="Calibri"/>
          <w:color w:val="000000"/>
        </w:rPr>
        <w:t>eet our</w:t>
      </w:r>
      <w:bookmarkStart w:id="0" w:name="_GoBack"/>
      <w:bookmarkEnd w:id="0"/>
      <w:r w:rsidR="005D17C5">
        <w:rPr>
          <w:rFonts w:ascii="Calibri" w:hAnsi="Calibri"/>
          <w:color w:val="000000"/>
        </w:rPr>
        <w:t xml:space="preserve"> timelines so that an access mechanism is available and usable within a reasonable period of time. </w:t>
      </w:r>
    </w:p>
    <w:p w:rsidR="00C819BF" w:rsidRDefault="00C819BF" w:rsidP="005D17C5">
      <w:pPr>
        <w:rPr>
          <w:lang w:bidi="ar-EG"/>
        </w:rPr>
      </w:pPr>
    </w:p>
    <w:sectPr w:rsidR="00C819BF" w:rsidSect="005F1DA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43E84"/>
    <w:multiLevelType w:val="multilevel"/>
    <w:tmpl w:val="3F48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7C5"/>
    <w:rsid w:val="00026BD5"/>
    <w:rsid w:val="000F2721"/>
    <w:rsid w:val="00140A74"/>
    <w:rsid w:val="00225EB0"/>
    <w:rsid w:val="00351C81"/>
    <w:rsid w:val="004C2357"/>
    <w:rsid w:val="005D17C5"/>
    <w:rsid w:val="005F1DAB"/>
    <w:rsid w:val="00C8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7C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17C5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7C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17C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Hadia  Abdelsalam ELMiniawi</dc:creator>
  <cp:lastModifiedBy>Hadia  Abdelsalam ELMiniawi</cp:lastModifiedBy>
  <cp:revision>5</cp:revision>
  <dcterms:created xsi:type="dcterms:W3CDTF">2019-04-04T11:49:00Z</dcterms:created>
  <dcterms:modified xsi:type="dcterms:W3CDTF">2019-04-04T13:07:00Z</dcterms:modified>
</cp:coreProperties>
</file>