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D59D8" w14:textId="0F24E4D3" w:rsidR="009B5198" w:rsidRDefault="002E1239" w:rsidP="009B5198">
      <w:pPr>
        <w:rPr>
          <w:rFonts w:cstheme="minorHAnsi"/>
          <w:b/>
          <w:bCs/>
          <w:sz w:val="28"/>
          <w:szCs w:val="28"/>
        </w:rPr>
      </w:pPr>
      <w:r>
        <w:rPr>
          <w:rFonts w:cstheme="minorHAnsi"/>
          <w:b/>
          <w:bCs/>
          <w:sz w:val="28"/>
          <w:szCs w:val="28"/>
        </w:rPr>
        <w:t>Combined (1</w:t>
      </w:r>
      <w:r w:rsidRPr="002E1239">
        <w:rPr>
          <w:rFonts w:cstheme="minorHAnsi"/>
          <w:b/>
          <w:bCs/>
          <w:sz w:val="28"/>
          <w:szCs w:val="28"/>
          <w:vertAlign w:val="superscript"/>
        </w:rPr>
        <w:t>st</w:t>
      </w:r>
      <w:r>
        <w:rPr>
          <w:rFonts w:cstheme="minorHAnsi"/>
          <w:b/>
          <w:bCs/>
          <w:sz w:val="28"/>
          <w:szCs w:val="28"/>
        </w:rPr>
        <w:t xml:space="preserve"> and 2</w:t>
      </w:r>
      <w:r w:rsidRPr="002E1239">
        <w:rPr>
          <w:rFonts w:cstheme="minorHAnsi"/>
          <w:b/>
          <w:bCs/>
          <w:sz w:val="28"/>
          <w:szCs w:val="28"/>
          <w:vertAlign w:val="superscript"/>
        </w:rPr>
        <w:t>nd</w:t>
      </w:r>
      <w:r>
        <w:rPr>
          <w:rFonts w:cstheme="minorHAnsi"/>
          <w:b/>
          <w:bCs/>
          <w:sz w:val="28"/>
          <w:szCs w:val="28"/>
        </w:rPr>
        <w:t xml:space="preserve"> Review) </w:t>
      </w:r>
      <w:r w:rsidR="009B5198" w:rsidRPr="009B5198">
        <w:rPr>
          <w:rFonts w:cstheme="minorHAnsi"/>
          <w:b/>
          <w:bCs/>
          <w:sz w:val="28"/>
          <w:szCs w:val="28"/>
        </w:rPr>
        <w:t>Overview Metrics, Assessment and Outcome</w:t>
      </w:r>
    </w:p>
    <w:p w14:paraId="30B6D7FF" w14:textId="77777777" w:rsidR="002E1239" w:rsidRDefault="002E1239" w:rsidP="009B5198">
      <w:pPr>
        <w:rPr>
          <w:rFonts w:cstheme="minorHAnsi"/>
        </w:rPr>
      </w:pPr>
      <w:r w:rsidRPr="002E1239">
        <w:rPr>
          <w:rFonts w:cstheme="minorHAnsi"/>
        </w:rPr>
        <w:t>To compare whether any changes have occurred in the area the metrics are supposed to cover, the results of first and second review are included.</w:t>
      </w:r>
    </w:p>
    <w:p w14:paraId="3738CEC7" w14:textId="77777777" w:rsidR="002E1239" w:rsidRDefault="002E1239" w:rsidP="009B5198">
      <w:pPr>
        <w:rPr>
          <w:rFonts w:cstheme="minorHAnsi"/>
        </w:rPr>
      </w:pPr>
    </w:p>
    <w:p w14:paraId="156B19C5" w14:textId="38C94AA0" w:rsidR="002E1239" w:rsidRPr="002E1239" w:rsidRDefault="002E1239" w:rsidP="009B5198">
      <w:pPr>
        <w:rPr>
          <w:rFonts w:cstheme="minorHAnsi"/>
          <w:lang w:val="en-GB"/>
        </w:rPr>
      </w:pPr>
      <w:r>
        <w:rPr>
          <w:rFonts w:cstheme="minorHAnsi"/>
        </w:rPr>
        <w:t>Overview</w:t>
      </w:r>
      <w:r w:rsidRPr="002E1239">
        <w:rPr>
          <w:rFonts w:cstheme="minorHAnsi"/>
        </w:rPr>
        <w:t xml:space="preserve"> </w:t>
      </w:r>
    </w:p>
    <w:p w14:paraId="4A0AAE82"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Metric – Brief description of objective</w:t>
      </w:r>
    </w:p>
    <w:p w14:paraId="16D58287"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Assessment - Summary of the Findings of the Review team with respect to specific Metric</w:t>
      </w:r>
    </w:p>
    <w:p w14:paraId="17FD2B98"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Outcome -The metric is:</w:t>
      </w:r>
    </w:p>
    <w:p w14:paraId="667E22AF"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Achieved</w:t>
      </w:r>
    </w:p>
    <w:p w14:paraId="100583D2"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Achieved</w:t>
      </w:r>
    </w:p>
    <w:p w14:paraId="3E9EC683" w14:textId="77777777" w:rsidR="009B5198" w:rsidRPr="009B5198" w:rsidRDefault="009B5198" w:rsidP="009B5198">
      <w:pPr>
        <w:pStyle w:val="ListParagraph"/>
        <w:numPr>
          <w:ilvl w:val="1"/>
          <w:numId w:val="1"/>
        </w:numPr>
        <w:rPr>
          <w:rFonts w:asciiTheme="minorHAnsi" w:hAnsiTheme="minorHAnsi" w:cstheme="minorHAnsi"/>
          <w:lang w:val="en-GB"/>
        </w:rPr>
      </w:pPr>
      <w:r w:rsidRPr="009B5198">
        <w:rPr>
          <w:rFonts w:asciiTheme="minorHAnsi" w:hAnsiTheme="minorHAnsi" w:cstheme="minorHAnsi"/>
          <w:lang w:val="en-GB"/>
        </w:rPr>
        <w:t>Not Applicable (N/A)</w:t>
      </w:r>
    </w:p>
    <w:p w14:paraId="6C326468" w14:textId="77777777" w:rsidR="009B5198" w:rsidRPr="009B5198" w:rsidRDefault="009B5198" w:rsidP="009B5198">
      <w:pPr>
        <w:pStyle w:val="ListParagraph"/>
        <w:numPr>
          <w:ilvl w:val="0"/>
          <w:numId w:val="1"/>
        </w:numPr>
        <w:rPr>
          <w:rFonts w:asciiTheme="minorHAnsi" w:hAnsiTheme="minorHAnsi" w:cstheme="minorHAnsi"/>
          <w:lang w:val="en-GB"/>
        </w:rPr>
      </w:pPr>
      <w:r w:rsidRPr="009B5198">
        <w:rPr>
          <w:rFonts w:asciiTheme="minorHAnsi" w:hAnsiTheme="minorHAnsi" w:cstheme="minorHAnsi"/>
          <w:lang w:val="en-GB"/>
        </w:rPr>
        <w:t>New Metric: Additional Metric to assess implementation of recommendations 1</w:t>
      </w:r>
      <w:r w:rsidRPr="009B5198">
        <w:rPr>
          <w:rFonts w:asciiTheme="minorHAnsi" w:hAnsiTheme="minorHAnsi" w:cstheme="minorHAnsi"/>
          <w:vertAlign w:val="superscript"/>
          <w:lang w:val="en-GB"/>
        </w:rPr>
        <w:t>st</w:t>
      </w:r>
      <w:r w:rsidRPr="009B5198">
        <w:rPr>
          <w:rFonts w:asciiTheme="minorHAnsi" w:hAnsiTheme="minorHAnsi" w:cstheme="minorHAnsi"/>
          <w:lang w:val="en-GB"/>
        </w:rPr>
        <w:t xml:space="preserve"> Effectiveness Review.</w:t>
      </w:r>
    </w:p>
    <w:tbl>
      <w:tblPr>
        <w:tblStyle w:val="TableGrid"/>
        <w:tblW w:w="14029" w:type="dxa"/>
        <w:tblLayout w:type="fixed"/>
        <w:tblLook w:val="04A0" w:firstRow="1" w:lastRow="0" w:firstColumn="1" w:lastColumn="0" w:noHBand="0" w:noVBand="1"/>
      </w:tblPr>
      <w:tblGrid>
        <w:gridCol w:w="397"/>
        <w:gridCol w:w="2665"/>
        <w:gridCol w:w="4304"/>
        <w:gridCol w:w="1134"/>
        <w:gridCol w:w="4253"/>
        <w:gridCol w:w="1276"/>
      </w:tblGrid>
      <w:tr w:rsidR="002E1239" w:rsidRPr="00C54B2F" w14:paraId="4D4E14CA" w14:textId="73B82E51" w:rsidTr="002E1239">
        <w:trPr>
          <w:tblHeader/>
        </w:trPr>
        <w:tc>
          <w:tcPr>
            <w:tcW w:w="397" w:type="dxa"/>
            <w:shd w:val="clear" w:color="auto" w:fill="A5A5A5" w:themeFill="accent3"/>
          </w:tcPr>
          <w:p w14:paraId="6442DB4C" w14:textId="77777777" w:rsidR="002E1239" w:rsidRPr="00C54B2F" w:rsidRDefault="002E1239" w:rsidP="00F9335F">
            <w:pPr>
              <w:rPr>
                <w:rFonts w:asciiTheme="majorHAnsi" w:hAnsiTheme="majorHAnsi"/>
                <w:b/>
                <w:sz w:val="22"/>
                <w:szCs w:val="22"/>
                <w:lang w:val="en-AU"/>
              </w:rPr>
            </w:pPr>
          </w:p>
        </w:tc>
        <w:tc>
          <w:tcPr>
            <w:tcW w:w="2665" w:type="dxa"/>
            <w:shd w:val="clear" w:color="auto" w:fill="A5A5A5" w:themeFill="accent3"/>
          </w:tcPr>
          <w:p w14:paraId="73E3D3A3" w14:textId="77777777" w:rsidR="002E1239" w:rsidRPr="00C54B2F" w:rsidRDefault="002E1239" w:rsidP="00F9335F">
            <w:pPr>
              <w:rPr>
                <w:rFonts w:asciiTheme="majorHAnsi" w:hAnsiTheme="majorHAnsi"/>
                <w:b/>
                <w:sz w:val="22"/>
                <w:szCs w:val="22"/>
                <w:lang w:val="en-AU"/>
              </w:rPr>
            </w:pPr>
            <w:r w:rsidRPr="00C54B2F">
              <w:rPr>
                <w:rFonts w:asciiTheme="majorHAnsi" w:hAnsiTheme="majorHAnsi"/>
                <w:b/>
                <w:sz w:val="22"/>
                <w:szCs w:val="22"/>
                <w:lang w:val="en-AU"/>
              </w:rPr>
              <w:t>Metric</w:t>
            </w:r>
          </w:p>
        </w:tc>
        <w:tc>
          <w:tcPr>
            <w:tcW w:w="4304" w:type="dxa"/>
            <w:shd w:val="clear" w:color="auto" w:fill="A5A5A5" w:themeFill="accent3"/>
          </w:tcPr>
          <w:p w14:paraId="063B1D0A" w14:textId="299DFC1F" w:rsidR="002E1239" w:rsidRPr="00C54B2F" w:rsidRDefault="002E1239" w:rsidP="00F9335F">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1134" w:type="dxa"/>
            <w:shd w:val="clear" w:color="auto" w:fill="A5A5A5" w:themeFill="accent3"/>
          </w:tcPr>
          <w:p w14:paraId="32EB7CF0" w14:textId="77777777" w:rsidR="002E1239" w:rsidRDefault="002E1239" w:rsidP="00F9335F">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4D5AFD3" w14:textId="40BD22C3" w:rsidR="002E1239" w:rsidRPr="00AE33CE" w:rsidRDefault="002E1239" w:rsidP="00F9335F">
            <w:pPr>
              <w:rPr>
                <w:rFonts w:asciiTheme="majorHAnsi" w:hAnsiTheme="majorHAnsi"/>
                <w:b/>
                <w:sz w:val="20"/>
                <w:szCs w:val="20"/>
                <w:lang w:val="en-AU"/>
              </w:rPr>
            </w:pPr>
            <w:r w:rsidRPr="00AE33CE">
              <w:rPr>
                <w:rFonts w:asciiTheme="majorHAnsi" w:hAnsiTheme="majorHAnsi"/>
                <w:b/>
                <w:sz w:val="20"/>
                <w:szCs w:val="20"/>
                <w:lang w:val="en-AU"/>
              </w:rPr>
              <w:t>Outcome</w:t>
            </w:r>
          </w:p>
          <w:p w14:paraId="34C6E50E" w14:textId="77777777" w:rsidR="002E1239" w:rsidRPr="00AE33CE" w:rsidRDefault="002E1239" w:rsidP="00F9335F">
            <w:pPr>
              <w:rPr>
                <w:rFonts w:asciiTheme="majorHAnsi" w:hAnsiTheme="majorHAnsi"/>
                <w:b/>
                <w:sz w:val="20"/>
                <w:szCs w:val="20"/>
                <w:lang w:val="en-AU"/>
              </w:rPr>
            </w:pPr>
            <w:r w:rsidRPr="00AE33CE">
              <w:rPr>
                <w:rFonts w:asciiTheme="majorHAnsi" w:hAnsiTheme="majorHAnsi"/>
                <w:b/>
                <w:sz w:val="20"/>
                <w:szCs w:val="20"/>
                <w:lang w:val="en-AU"/>
              </w:rPr>
              <w:t xml:space="preserve"> </w:t>
            </w:r>
          </w:p>
        </w:tc>
        <w:tc>
          <w:tcPr>
            <w:tcW w:w="4253" w:type="dxa"/>
            <w:shd w:val="clear" w:color="auto" w:fill="A5A5A5" w:themeFill="accent3"/>
          </w:tcPr>
          <w:p w14:paraId="41109EF9" w14:textId="03107E90" w:rsidR="002E1239" w:rsidRDefault="002E1239" w:rsidP="00F9335F">
            <w:pPr>
              <w:rPr>
                <w:rFonts w:asciiTheme="majorHAnsi" w:hAnsiTheme="majorHAnsi"/>
                <w:b/>
                <w:sz w:val="20"/>
                <w:szCs w:val="20"/>
                <w:lang w:val="en-AU"/>
              </w:rPr>
            </w:pPr>
            <w:r>
              <w:rPr>
                <w:rFonts w:asciiTheme="majorHAnsi" w:hAnsiTheme="majorHAnsi"/>
                <w:b/>
                <w:sz w:val="22"/>
                <w:szCs w:val="22"/>
                <w:lang w:val="en-AU"/>
              </w:rPr>
              <w:t>1</w:t>
            </w:r>
            <w:r w:rsidRPr="002E1239">
              <w:rPr>
                <w:rFonts w:asciiTheme="majorHAnsi" w:hAnsiTheme="majorHAnsi"/>
                <w:b/>
                <w:sz w:val="22"/>
                <w:szCs w:val="22"/>
                <w:vertAlign w:val="superscript"/>
                <w:lang w:val="en-AU"/>
              </w:rPr>
              <w:t>st</w:t>
            </w:r>
            <w:r>
              <w:rPr>
                <w:rFonts w:asciiTheme="majorHAnsi" w:hAnsiTheme="majorHAnsi"/>
                <w:b/>
                <w:sz w:val="22"/>
                <w:szCs w:val="22"/>
                <w:lang w:val="en-AU"/>
              </w:rPr>
              <w:t xml:space="preserve"> </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1276" w:type="dxa"/>
            <w:shd w:val="clear" w:color="auto" w:fill="A5A5A5" w:themeFill="accent3"/>
          </w:tcPr>
          <w:p w14:paraId="6703E523" w14:textId="3EA0A598" w:rsidR="002E1239" w:rsidRDefault="002E1239" w:rsidP="002E1239">
            <w:pPr>
              <w:rPr>
                <w:rFonts w:asciiTheme="majorHAnsi" w:hAnsiTheme="majorHAnsi"/>
                <w:b/>
                <w:sz w:val="20"/>
                <w:szCs w:val="20"/>
                <w:lang w:val="en-AU"/>
              </w:rPr>
            </w:pPr>
            <w:r>
              <w:rPr>
                <w:rFonts w:asciiTheme="majorHAnsi" w:hAnsiTheme="majorHAnsi"/>
                <w:b/>
                <w:sz w:val="20"/>
                <w:szCs w:val="20"/>
                <w:lang w:val="en-AU"/>
              </w:rPr>
              <w:t>1</w:t>
            </w:r>
            <w:r w:rsidRPr="002E1239">
              <w:rPr>
                <w:rFonts w:asciiTheme="majorHAnsi" w:hAnsiTheme="majorHAnsi"/>
                <w:b/>
                <w:sz w:val="20"/>
                <w:szCs w:val="20"/>
                <w:vertAlign w:val="superscript"/>
                <w:lang w:val="en-AU"/>
              </w:rPr>
              <w:t>st</w:t>
            </w:r>
            <w:r>
              <w:rPr>
                <w:rFonts w:asciiTheme="majorHAnsi" w:hAnsiTheme="majorHAnsi"/>
                <w:b/>
                <w:sz w:val="20"/>
                <w:szCs w:val="20"/>
                <w:lang w:val="en-AU"/>
              </w:rPr>
              <w:t xml:space="preserve"> </w:t>
            </w:r>
            <w:r>
              <w:rPr>
                <w:rFonts w:asciiTheme="majorHAnsi" w:hAnsiTheme="majorHAnsi"/>
                <w:b/>
                <w:sz w:val="20"/>
                <w:szCs w:val="20"/>
                <w:lang w:val="en-AU"/>
              </w:rPr>
              <w:t xml:space="preserve"> Review</w:t>
            </w:r>
          </w:p>
          <w:p w14:paraId="1B7A4BF4" w14:textId="77777777" w:rsidR="002E1239" w:rsidRPr="00AE33CE" w:rsidRDefault="002E1239" w:rsidP="002E1239">
            <w:pPr>
              <w:rPr>
                <w:rFonts w:asciiTheme="majorHAnsi" w:hAnsiTheme="majorHAnsi"/>
                <w:b/>
                <w:sz w:val="20"/>
                <w:szCs w:val="20"/>
                <w:lang w:val="en-AU"/>
              </w:rPr>
            </w:pPr>
            <w:r w:rsidRPr="00AE33CE">
              <w:rPr>
                <w:rFonts w:asciiTheme="majorHAnsi" w:hAnsiTheme="majorHAnsi"/>
                <w:b/>
                <w:sz w:val="20"/>
                <w:szCs w:val="20"/>
                <w:lang w:val="en-AU"/>
              </w:rPr>
              <w:t>Outcome</w:t>
            </w:r>
          </w:p>
          <w:p w14:paraId="7BD5C193" w14:textId="77777777" w:rsidR="002E1239" w:rsidRDefault="002E1239" w:rsidP="00F9335F">
            <w:pPr>
              <w:rPr>
                <w:rFonts w:asciiTheme="majorHAnsi" w:hAnsiTheme="majorHAnsi"/>
                <w:b/>
                <w:sz w:val="20"/>
                <w:szCs w:val="20"/>
                <w:lang w:val="en-AU"/>
              </w:rPr>
            </w:pPr>
          </w:p>
        </w:tc>
      </w:tr>
      <w:tr w:rsidR="002E1239" w:rsidRPr="00C54B2F" w14:paraId="487A7851" w14:textId="527010D3" w:rsidTr="002E1239">
        <w:tc>
          <w:tcPr>
            <w:tcW w:w="397" w:type="dxa"/>
          </w:tcPr>
          <w:p w14:paraId="478066E5"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3F82D0B"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4304" w:type="dxa"/>
            <w:vMerge w:val="restart"/>
            <w:vAlign w:val="center"/>
          </w:tcPr>
          <w:p w14:paraId="5655638E" w14:textId="2921FBF6"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7"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section Reports &amp; Findings. The PTI </w:t>
            </w:r>
            <w:r w:rsidRPr="00274E3D">
              <w:rPr>
                <w:rFonts w:asciiTheme="majorHAnsi" w:hAnsiTheme="majorHAnsi" w:cstheme="majorHAnsi"/>
                <w:sz w:val="22"/>
                <w:szCs w:val="22"/>
                <w:lang w:val="en-AU"/>
              </w:rPr>
              <w:lastRenderedPageBreak/>
              <w:t>report includes references to all SLAs as listed under the IANA Naming Function Contract.</w:t>
            </w:r>
          </w:p>
          <w:p w14:paraId="02E4CE46" w14:textId="310F3556" w:rsidR="002E1239" w:rsidRPr="00274E3D" w:rsidRDefault="002E1239" w:rsidP="002E1239">
            <w:pPr>
              <w:rPr>
                <w:rFonts w:asciiTheme="majorHAnsi" w:hAnsiTheme="majorHAnsi" w:cstheme="majorHAnsi"/>
                <w:sz w:val="22"/>
                <w:szCs w:val="22"/>
                <w:lang w:val="en-AU"/>
              </w:rPr>
            </w:pPr>
          </w:p>
        </w:tc>
        <w:tc>
          <w:tcPr>
            <w:tcW w:w="1134" w:type="dxa"/>
            <w:vMerge w:val="restart"/>
            <w:vAlign w:val="center"/>
          </w:tcPr>
          <w:p w14:paraId="1ECA0DA7" w14:textId="77777777" w:rsidR="002E1239" w:rsidRPr="00C54B2F" w:rsidRDefault="002E1239" w:rsidP="002E1239">
            <w:pPr>
              <w:rPr>
                <w:rFonts w:asciiTheme="majorHAnsi" w:hAnsiTheme="majorHAnsi"/>
                <w:sz w:val="22"/>
                <w:szCs w:val="22"/>
                <w:lang w:val="en-AU"/>
              </w:rPr>
            </w:pPr>
          </w:p>
        </w:tc>
        <w:tc>
          <w:tcPr>
            <w:tcW w:w="4253" w:type="dxa"/>
            <w:vMerge w:val="restart"/>
            <w:vAlign w:val="center"/>
          </w:tcPr>
          <w:p w14:paraId="5730475B" w14:textId="77777777"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w:t>
            </w:r>
            <w:r>
              <w:rPr>
                <w:rFonts w:asciiTheme="majorHAnsi" w:hAnsiTheme="majorHAnsi"/>
                <w:sz w:val="22"/>
                <w:szCs w:val="22"/>
                <w:lang w:val="en-AU"/>
              </w:rPr>
              <w:t>S</w:t>
            </w:r>
            <w:r w:rsidRPr="00C54B2F">
              <w:rPr>
                <w:rFonts w:asciiTheme="majorHAnsi" w:hAnsiTheme="majorHAnsi"/>
                <w:sz w:val="22"/>
                <w:szCs w:val="22"/>
                <w:lang w:val="en-AU"/>
              </w:rPr>
              <w:t xml:space="preserve">ervice </w:t>
            </w:r>
            <w:r>
              <w:rPr>
                <w:rFonts w:asciiTheme="majorHAnsi" w:hAnsiTheme="majorHAnsi"/>
                <w:sz w:val="22"/>
                <w:szCs w:val="22"/>
                <w:lang w:val="en-AU"/>
              </w:rPr>
              <w:t>L</w:t>
            </w:r>
            <w:r w:rsidRPr="00C54B2F">
              <w:rPr>
                <w:rFonts w:asciiTheme="majorHAnsi" w:hAnsiTheme="majorHAnsi"/>
                <w:sz w:val="22"/>
                <w:szCs w:val="22"/>
                <w:lang w:val="en-AU"/>
              </w:rPr>
              <w:t>evels</w:t>
            </w:r>
            <w:r>
              <w:rPr>
                <w:rFonts w:asciiTheme="majorHAnsi" w:hAnsiTheme="majorHAnsi"/>
                <w:sz w:val="22"/>
                <w:szCs w:val="22"/>
                <w:lang w:val="en-AU"/>
              </w:rPr>
              <w:t xml:space="preserve"> (SLAs)</w:t>
            </w:r>
            <w:r>
              <w:rPr>
                <w:rStyle w:val="FootnoteReference"/>
                <w:rFonts w:asciiTheme="majorHAnsi" w:hAnsiTheme="majorHAnsi"/>
                <w:sz w:val="22"/>
                <w:szCs w:val="22"/>
                <w:lang w:val="en-AU"/>
              </w:rPr>
              <w:footnoteReference w:id="1"/>
            </w:r>
            <w:r w:rsidRPr="00C54B2F">
              <w:rPr>
                <w:rFonts w:asciiTheme="majorHAnsi" w:hAnsiTheme="majorHAnsi"/>
                <w:sz w:val="22"/>
                <w:szCs w:val="22"/>
                <w:lang w:val="en-AU"/>
              </w:rPr>
              <w:t xml:space="preserve">. These meetings provide an opportunity for the CSC to discuss the </w:t>
            </w:r>
            <w:r w:rsidRPr="00C54B2F">
              <w:rPr>
                <w:rFonts w:asciiTheme="majorHAnsi" w:hAnsiTheme="majorHAnsi"/>
                <w:sz w:val="22"/>
                <w:szCs w:val="22"/>
                <w:lang w:val="en-AU"/>
              </w:rPr>
              <w:lastRenderedPageBreak/>
              <w:t xml:space="preserve">monthly reports provided to them by </w:t>
            </w:r>
            <w:r>
              <w:rPr>
                <w:rFonts w:asciiTheme="majorHAnsi" w:hAnsiTheme="majorHAnsi"/>
                <w:sz w:val="22"/>
                <w:szCs w:val="22"/>
                <w:lang w:val="en-AU"/>
              </w:rPr>
              <w:t xml:space="preserve">the </w:t>
            </w:r>
            <w:r w:rsidRPr="00C54B2F">
              <w:rPr>
                <w:rFonts w:asciiTheme="majorHAnsi" w:hAnsiTheme="majorHAnsi"/>
                <w:sz w:val="22"/>
                <w:szCs w:val="22"/>
                <w:lang w:val="en-AU"/>
              </w:rPr>
              <w:t xml:space="preserve">IANA </w:t>
            </w:r>
            <w:r>
              <w:rPr>
                <w:rFonts w:asciiTheme="majorHAnsi" w:hAnsiTheme="majorHAnsi"/>
                <w:sz w:val="22"/>
                <w:szCs w:val="22"/>
                <w:lang w:val="en-AU"/>
              </w:rPr>
              <w:t xml:space="preserve">Team </w:t>
            </w:r>
            <w:r w:rsidRPr="00C54B2F">
              <w:rPr>
                <w:rFonts w:asciiTheme="majorHAnsi" w:hAnsiTheme="majorHAnsi"/>
                <w:sz w:val="22"/>
                <w:szCs w:val="22"/>
                <w:lang w:val="en-AU"/>
              </w:rPr>
              <w:t xml:space="preserve">and gain an understanding of reasons why agreed service level targets may not have been met and whether any action is required to address any identified problems. </w:t>
            </w:r>
          </w:p>
          <w:p w14:paraId="722E43C6" w14:textId="77777777" w:rsidR="002E1239" w:rsidRPr="00C54B2F" w:rsidRDefault="002E1239" w:rsidP="002E1239">
            <w:pPr>
              <w:rPr>
                <w:rFonts w:asciiTheme="majorHAnsi" w:hAnsiTheme="majorHAnsi"/>
                <w:sz w:val="22"/>
                <w:szCs w:val="22"/>
                <w:lang w:val="en-AU"/>
              </w:rPr>
            </w:pPr>
          </w:p>
          <w:p w14:paraId="73EAFB56" w14:textId="77777777"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and are also made available on the CSC wiki </w:t>
            </w:r>
            <w:hyperlink r:id="rId8" w:history="1">
              <w:r w:rsidRPr="00C54B2F">
                <w:rPr>
                  <w:rStyle w:val="Hyperlink"/>
                  <w:rFonts w:asciiTheme="majorHAnsi" w:hAnsiTheme="majorHAnsi"/>
                  <w:sz w:val="22"/>
                  <w:szCs w:val="22"/>
                  <w:lang w:val="en-AU"/>
                </w:rPr>
                <w:t>https://www.icann.org/en/csc/reports</w:t>
              </w:r>
            </w:hyperlink>
            <w:r w:rsidRPr="00C54B2F">
              <w:rPr>
                <w:rFonts w:asciiTheme="majorHAnsi" w:hAnsiTheme="majorHAnsi"/>
                <w:sz w:val="22"/>
                <w:szCs w:val="22"/>
                <w:lang w:val="en-AU"/>
              </w:rPr>
              <w:t xml:space="preserve"> </w:t>
            </w:r>
          </w:p>
          <w:p w14:paraId="18B90E8D" w14:textId="77777777" w:rsidR="002E1239" w:rsidRPr="00C54B2F" w:rsidRDefault="002E1239" w:rsidP="002E1239">
            <w:pPr>
              <w:rPr>
                <w:rFonts w:asciiTheme="majorHAnsi" w:hAnsiTheme="majorHAnsi"/>
                <w:sz w:val="22"/>
                <w:szCs w:val="22"/>
                <w:lang w:val="en-AU"/>
              </w:rPr>
            </w:pPr>
          </w:p>
          <w:p w14:paraId="287C6519" w14:textId="0E6FF7E4"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w:t>
            </w:r>
            <w:r>
              <w:rPr>
                <w:rFonts w:asciiTheme="majorHAnsi" w:hAnsiTheme="majorHAnsi"/>
                <w:sz w:val="22"/>
                <w:szCs w:val="22"/>
                <w:lang w:val="en-AU"/>
              </w:rPr>
              <w:t xml:space="preserve">, how they </w:t>
            </w:r>
            <w:r w:rsidRPr="00C54B2F">
              <w:rPr>
                <w:rFonts w:asciiTheme="majorHAnsi" w:hAnsiTheme="majorHAnsi"/>
                <w:sz w:val="22"/>
                <w:szCs w:val="22"/>
                <w:lang w:val="en-AU"/>
              </w:rPr>
              <w:t xml:space="preserve">conduct meetings </w:t>
            </w:r>
            <w:r>
              <w:rPr>
                <w:rFonts w:asciiTheme="majorHAnsi" w:hAnsiTheme="majorHAnsi"/>
                <w:sz w:val="22"/>
                <w:szCs w:val="22"/>
                <w:lang w:val="en-AU"/>
              </w:rPr>
              <w:t>and report to the community</w:t>
            </w:r>
            <w:r w:rsidRPr="00C54B2F">
              <w:rPr>
                <w:rFonts w:asciiTheme="majorHAnsi" w:hAnsiTheme="majorHAnsi"/>
                <w:sz w:val="22"/>
                <w:szCs w:val="22"/>
                <w:lang w:val="en-AU"/>
              </w:rPr>
              <w:t xml:space="preserve">. </w:t>
            </w:r>
            <w:hyperlink r:id="rId9" w:history="1">
              <w:r w:rsidRPr="00D36F15">
                <w:rPr>
                  <w:rStyle w:val="Hyperlink"/>
                  <w:rFonts w:asciiTheme="majorHAnsi" w:hAnsiTheme="majorHAnsi"/>
                  <w:sz w:val="22"/>
                  <w:szCs w:val="22"/>
                  <w:lang w:val="en-AU"/>
                </w:rPr>
                <w:t>https://www.icann.org/en/system/files/files/guideline-csc-practices-24mar17-en.pdf</w:t>
              </w:r>
            </w:hyperlink>
            <w:r>
              <w:rPr>
                <w:rFonts w:asciiTheme="majorHAnsi" w:hAnsiTheme="majorHAnsi"/>
                <w:sz w:val="22"/>
                <w:szCs w:val="22"/>
                <w:lang w:val="en-AU"/>
              </w:rPr>
              <w:t xml:space="preserve"> </w:t>
            </w:r>
          </w:p>
        </w:tc>
        <w:tc>
          <w:tcPr>
            <w:tcW w:w="1276" w:type="dxa"/>
            <w:vMerge w:val="restart"/>
            <w:vAlign w:val="center"/>
          </w:tcPr>
          <w:p w14:paraId="30424233" w14:textId="18921A25"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lastRenderedPageBreak/>
              <w:t>Achieved</w:t>
            </w:r>
          </w:p>
        </w:tc>
      </w:tr>
      <w:tr w:rsidR="002E1239" w:rsidRPr="00C54B2F" w14:paraId="01E02017" w14:textId="78F2664E" w:rsidTr="002E1239">
        <w:tc>
          <w:tcPr>
            <w:tcW w:w="397" w:type="dxa"/>
          </w:tcPr>
          <w:p w14:paraId="1D669232"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030348AE"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4304" w:type="dxa"/>
            <w:vMerge/>
          </w:tcPr>
          <w:p w14:paraId="3007FDC0" w14:textId="77777777" w:rsidR="002E1239" w:rsidRPr="00274E3D" w:rsidRDefault="002E1239" w:rsidP="002E1239">
            <w:pPr>
              <w:rPr>
                <w:rFonts w:asciiTheme="majorHAnsi" w:hAnsiTheme="majorHAnsi" w:cstheme="majorHAnsi"/>
                <w:sz w:val="22"/>
                <w:szCs w:val="22"/>
                <w:lang w:val="en-AU"/>
              </w:rPr>
            </w:pPr>
          </w:p>
        </w:tc>
        <w:tc>
          <w:tcPr>
            <w:tcW w:w="1134" w:type="dxa"/>
            <w:vMerge/>
          </w:tcPr>
          <w:p w14:paraId="3D9E6D9E" w14:textId="77777777" w:rsidR="002E1239" w:rsidRPr="00C54B2F" w:rsidRDefault="002E1239" w:rsidP="002E1239">
            <w:pPr>
              <w:rPr>
                <w:rFonts w:asciiTheme="majorHAnsi" w:hAnsiTheme="majorHAnsi"/>
                <w:sz w:val="22"/>
                <w:szCs w:val="22"/>
                <w:lang w:val="en-AU"/>
              </w:rPr>
            </w:pPr>
          </w:p>
        </w:tc>
        <w:tc>
          <w:tcPr>
            <w:tcW w:w="4253" w:type="dxa"/>
            <w:vMerge/>
          </w:tcPr>
          <w:p w14:paraId="5EA55B34" w14:textId="77777777" w:rsidR="002E1239" w:rsidRPr="00C54B2F" w:rsidRDefault="002E1239" w:rsidP="002E1239">
            <w:pPr>
              <w:rPr>
                <w:rFonts w:asciiTheme="majorHAnsi" w:hAnsiTheme="majorHAnsi"/>
                <w:sz w:val="22"/>
                <w:szCs w:val="22"/>
                <w:lang w:val="en-AU"/>
              </w:rPr>
            </w:pPr>
          </w:p>
        </w:tc>
        <w:tc>
          <w:tcPr>
            <w:tcW w:w="1276" w:type="dxa"/>
            <w:vMerge/>
          </w:tcPr>
          <w:p w14:paraId="064BBEFE" w14:textId="77777777" w:rsidR="002E1239" w:rsidRPr="00C54B2F" w:rsidRDefault="002E1239" w:rsidP="002E1239">
            <w:pPr>
              <w:rPr>
                <w:rFonts w:asciiTheme="majorHAnsi" w:hAnsiTheme="majorHAnsi"/>
                <w:sz w:val="22"/>
                <w:szCs w:val="22"/>
                <w:lang w:val="en-AU"/>
              </w:rPr>
            </w:pPr>
          </w:p>
        </w:tc>
      </w:tr>
      <w:tr w:rsidR="002E1239" w:rsidRPr="00C54B2F" w14:paraId="45A11019" w14:textId="22EAC51B" w:rsidTr="002E1239">
        <w:tc>
          <w:tcPr>
            <w:tcW w:w="397" w:type="dxa"/>
          </w:tcPr>
          <w:p w14:paraId="0E3BD618"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89111FE"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4304" w:type="dxa"/>
          </w:tcPr>
          <w:p w14:paraId="606BFB63" w14:textId="57E1CAF1"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discusses and follows-up if an SLA is not met and reports the result in the Findings report, see for example:  PTI performance Report December 2020 (</w:t>
            </w:r>
            <w:hyperlink r:id="rId10"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1" w:history="1">
              <w:r w:rsidRPr="00274E3D">
                <w:rPr>
                  <w:rStyle w:val="Hyperlink"/>
                  <w:rFonts w:asciiTheme="majorHAnsi" w:hAnsiTheme="majorHAnsi" w:cstheme="majorHAnsi"/>
                  <w:sz w:val="22"/>
                  <w:szCs w:val="22"/>
                  <w:lang w:val="en-AU"/>
                </w:rPr>
                <w:t>https://www.icann.org/uploads/iana_work_session_asset/attachment/1029/16313028966</w:t>
              </w:r>
              <w:r w:rsidRPr="00274E3D">
                <w:rPr>
                  <w:rStyle w:val="Hyperlink"/>
                  <w:rFonts w:asciiTheme="majorHAnsi" w:hAnsiTheme="majorHAnsi" w:cstheme="majorHAnsi"/>
                  <w:sz w:val="22"/>
                  <w:szCs w:val="22"/>
                  <w:lang w:val="en-AU"/>
                </w:rPr>
                <w:lastRenderedPageBreak/>
                <w:t>22Agenda_and_Notes_CSC_Meeting_47-_17_February_2021.pdf</w:t>
              </w:r>
            </w:hyperlink>
            <w:r w:rsidRPr="00274E3D">
              <w:rPr>
                <w:rFonts w:asciiTheme="majorHAnsi" w:hAnsiTheme="majorHAnsi" w:cstheme="majorHAnsi"/>
                <w:sz w:val="22"/>
                <w:szCs w:val="22"/>
                <w:lang w:val="en-AU"/>
              </w:rPr>
              <w:t xml:space="preserve">) </w:t>
            </w:r>
          </w:p>
        </w:tc>
        <w:tc>
          <w:tcPr>
            <w:tcW w:w="1134" w:type="dxa"/>
          </w:tcPr>
          <w:p w14:paraId="2997F50F" w14:textId="77777777" w:rsidR="002E1239" w:rsidRPr="00C54B2F" w:rsidRDefault="002E1239" w:rsidP="002E1239">
            <w:pPr>
              <w:rPr>
                <w:rFonts w:asciiTheme="majorHAnsi" w:hAnsiTheme="majorHAnsi"/>
                <w:sz w:val="22"/>
                <w:szCs w:val="22"/>
                <w:lang w:val="en-AU"/>
              </w:rPr>
            </w:pPr>
          </w:p>
        </w:tc>
        <w:tc>
          <w:tcPr>
            <w:tcW w:w="4253" w:type="dxa"/>
          </w:tcPr>
          <w:p w14:paraId="3801CF30" w14:textId="77777777" w:rsidR="002E1239" w:rsidRPr="00243020" w:rsidRDefault="002E1239" w:rsidP="002E1239">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Pr="00140E46">
              <w:rPr>
                <w:rFonts w:asciiTheme="majorHAnsi" w:hAnsiTheme="majorHAnsi" w:cstheme="majorHAnsi"/>
                <w:sz w:val="22"/>
                <w:szCs w:val="22"/>
              </w:rPr>
              <w:t xml:space="preserve"> with PTI any incidents where the PTI monthly repor</w:t>
            </w:r>
            <w:r>
              <w:rPr>
                <w:rFonts w:asciiTheme="majorHAnsi" w:hAnsiTheme="majorHAnsi" w:cstheme="majorHAnsi"/>
                <w:sz w:val="22"/>
                <w:szCs w:val="22"/>
              </w:rPr>
              <w:t>t</w:t>
            </w:r>
            <w:r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387644CC" w14:textId="77777777" w:rsidR="002E1239" w:rsidRPr="00307DAE" w:rsidRDefault="002E1239" w:rsidP="002E1239">
            <w:pPr>
              <w:rPr>
                <w:rFonts w:asciiTheme="majorHAnsi" w:hAnsiTheme="majorHAnsi" w:cstheme="majorHAnsi"/>
                <w:sz w:val="22"/>
                <w:szCs w:val="22"/>
                <w:lang w:val="en-AU"/>
              </w:rPr>
            </w:pPr>
          </w:p>
          <w:p w14:paraId="4C401061" w14:textId="2C3A1037" w:rsidR="002E1239" w:rsidRPr="00C54B2F" w:rsidRDefault="002E1239" w:rsidP="002E1239">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 webpage under </w:t>
            </w:r>
            <w:r>
              <w:rPr>
                <w:rFonts w:asciiTheme="majorHAnsi" w:hAnsiTheme="majorHAnsi" w:cstheme="majorHAnsi"/>
                <w:sz w:val="22"/>
                <w:szCs w:val="22"/>
                <w:lang w:val="en-AU"/>
              </w:rPr>
              <w:t>“Past</w:t>
            </w:r>
            <w:r w:rsidRPr="00140E46">
              <w:rPr>
                <w:rFonts w:asciiTheme="majorHAnsi" w:hAnsiTheme="majorHAnsi" w:cstheme="majorHAnsi"/>
                <w:sz w:val="22"/>
                <w:szCs w:val="22"/>
                <w:lang w:val="en-AU"/>
              </w:rPr>
              <w:t xml:space="preserve"> meetings</w:t>
            </w:r>
            <w:r>
              <w:rPr>
                <w:rFonts w:asciiTheme="majorHAnsi" w:hAnsiTheme="majorHAnsi" w:cstheme="majorHAnsi"/>
                <w:sz w:val="22"/>
                <w:szCs w:val="22"/>
                <w:lang w:val="en-AU"/>
              </w:rPr>
              <w:t>” (</w:t>
            </w:r>
            <w:hyperlink r:id="rId12" w:history="1">
              <w:r w:rsidRPr="00D36F15">
                <w:rPr>
                  <w:rStyle w:val="Hyperlink"/>
                  <w:rFonts w:asciiTheme="majorHAnsi" w:hAnsiTheme="majorHAnsi" w:cstheme="majorHAnsi"/>
                  <w:sz w:val="22"/>
                  <w:szCs w:val="22"/>
                  <w:lang w:val="en-AU"/>
                </w:rPr>
                <w:t>https://www.icann.org/csc</w:t>
              </w:r>
            </w:hyperlink>
            <w:r>
              <w:rPr>
                <w:rFonts w:asciiTheme="majorHAnsi" w:hAnsiTheme="majorHAnsi" w:cstheme="majorHAnsi"/>
                <w:sz w:val="22"/>
                <w:szCs w:val="22"/>
                <w:lang w:val="en-AU"/>
              </w:rPr>
              <w:t xml:space="preserve">) </w:t>
            </w:r>
          </w:p>
        </w:tc>
        <w:tc>
          <w:tcPr>
            <w:tcW w:w="1276" w:type="dxa"/>
          </w:tcPr>
          <w:p w14:paraId="23986471" w14:textId="4A8CDA1B"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Achieved</w:t>
            </w:r>
          </w:p>
        </w:tc>
      </w:tr>
      <w:tr w:rsidR="002E1239" w:rsidRPr="00C54B2F" w14:paraId="54C8184F" w14:textId="28520F68" w:rsidTr="002E1239">
        <w:tc>
          <w:tcPr>
            <w:tcW w:w="397" w:type="dxa"/>
          </w:tcPr>
          <w:p w14:paraId="4EF36C24"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B8891D8"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4304" w:type="dxa"/>
          </w:tcPr>
          <w:p w14:paraId="463636F1" w14:textId="2F5E4DFE" w:rsidR="002E1239" w:rsidRPr="00274E3D" w:rsidRDefault="002E1239"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3"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28E69B03"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31D5854D"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6767B230"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102BC5C4" w14:textId="024858B9"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714FF377" w14:textId="0D1C2644" w:rsidR="002E1239" w:rsidRPr="00274E3D" w:rsidRDefault="002E1239" w:rsidP="002E1239">
            <w:pPr>
              <w:rPr>
                <w:rFonts w:asciiTheme="majorHAnsi" w:hAnsiTheme="majorHAnsi" w:cstheme="majorHAnsi"/>
                <w:sz w:val="22"/>
                <w:szCs w:val="22"/>
                <w:lang w:val="en-AU"/>
              </w:rPr>
            </w:pPr>
          </w:p>
        </w:tc>
        <w:tc>
          <w:tcPr>
            <w:tcW w:w="1134" w:type="dxa"/>
          </w:tcPr>
          <w:p w14:paraId="233C20EE" w14:textId="77777777" w:rsidR="002E1239" w:rsidRPr="00C54B2F" w:rsidRDefault="002E1239" w:rsidP="002E1239">
            <w:pPr>
              <w:rPr>
                <w:rFonts w:asciiTheme="majorHAnsi" w:hAnsiTheme="majorHAnsi"/>
                <w:sz w:val="22"/>
                <w:szCs w:val="22"/>
                <w:lang w:val="en-AU"/>
              </w:rPr>
            </w:pPr>
          </w:p>
        </w:tc>
        <w:tc>
          <w:tcPr>
            <w:tcW w:w="4253" w:type="dxa"/>
          </w:tcPr>
          <w:p w14:paraId="1FCE4C8F" w14:textId="18982CA1"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The CSC </w:t>
            </w:r>
            <w:r>
              <w:rPr>
                <w:rFonts w:asciiTheme="majorHAnsi" w:hAnsiTheme="majorHAnsi"/>
                <w:sz w:val="22"/>
                <w:szCs w:val="22"/>
                <w:lang w:val="en-AU"/>
              </w:rPr>
              <w:t>is establishing</w:t>
            </w:r>
            <w:r w:rsidRPr="00C54B2F">
              <w:rPr>
                <w:rFonts w:asciiTheme="majorHAnsi" w:hAnsiTheme="majorHAnsi"/>
                <w:sz w:val="22"/>
                <w:szCs w:val="22"/>
                <w:lang w:val="en-AU"/>
              </w:rPr>
              <w:t xml:space="preserve"> a </w:t>
            </w:r>
            <w:r>
              <w:rPr>
                <w:rFonts w:asciiTheme="majorHAnsi" w:hAnsiTheme="majorHAnsi"/>
                <w:sz w:val="22"/>
                <w:szCs w:val="22"/>
                <w:lang w:val="en-AU"/>
              </w:rPr>
              <w:t xml:space="preserve">process to </w:t>
            </w:r>
            <w:r w:rsidRPr="00C54B2F">
              <w:rPr>
                <w:rFonts w:asciiTheme="majorHAnsi" w:hAnsiTheme="majorHAnsi"/>
                <w:sz w:val="22"/>
                <w:szCs w:val="22"/>
                <w:lang w:val="en-AU"/>
              </w:rPr>
              <w:t>review</w:t>
            </w:r>
            <w:r>
              <w:rPr>
                <w:rFonts w:asciiTheme="majorHAnsi" w:hAnsiTheme="majorHAnsi"/>
                <w:sz w:val="22"/>
                <w:szCs w:val="22"/>
                <w:lang w:val="en-AU"/>
              </w:rPr>
              <w:t xml:space="preserve"> and propose</w:t>
            </w:r>
            <w:r w:rsidRPr="00C54B2F">
              <w:rPr>
                <w:rFonts w:asciiTheme="majorHAnsi" w:hAnsiTheme="majorHAnsi"/>
                <w:sz w:val="22"/>
                <w:szCs w:val="22"/>
                <w:lang w:val="en-AU"/>
              </w:rPr>
              <w:t xml:space="preserve"> amendments to</w:t>
            </w:r>
            <w:r>
              <w:rPr>
                <w:rFonts w:asciiTheme="majorHAnsi" w:hAnsiTheme="majorHAnsi"/>
                <w:sz w:val="22"/>
                <w:szCs w:val="22"/>
                <w:lang w:val="en-AU"/>
              </w:rPr>
              <w:t xml:space="preserve"> </w:t>
            </w:r>
            <w:r w:rsidRPr="00C54B2F">
              <w:rPr>
                <w:rFonts w:asciiTheme="majorHAnsi" w:hAnsiTheme="majorHAnsi"/>
                <w:sz w:val="22"/>
                <w:szCs w:val="22"/>
                <w:lang w:val="en-AU"/>
              </w:rPr>
              <w:t>S</w:t>
            </w:r>
            <w:r>
              <w:rPr>
                <w:rFonts w:asciiTheme="majorHAnsi" w:hAnsiTheme="majorHAnsi"/>
                <w:sz w:val="22"/>
                <w:szCs w:val="22"/>
                <w:lang w:val="en-AU"/>
              </w:rPr>
              <w:t>LAs</w:t>
            </w:r>
            <w:r w:rsidRPr="00C54B2F">
              <w:rPr>
                <w:rFonts w:asciiTheme="majorHAnsi" w:hAnsiTheme="majorHAnsi"/>
                <w:sz w:val="22"/>
                <w:szCs w:val="22"/>
                <w:lang w:val="en-AU"/>
              </w:rPr>
              <w:t xml:space="preserve"> based on</w:t>
            </w:r>
            <w:r>
              <w:rPr>
                <w:rFonts w:asciiTheme="majorHAnsi" w:hAnsiTheme="majorHAnsi"/>
                <w:sz w:val="22"/>
                <w:szCs w:val="22"/>
                <w:lang w:val="en-AU"/>
              </w:rPr>
              <w:t xml:space="preserve"> its</w:t>
            </w:r>
            <w:r w:rsidRPr="00C54B2F">
              <w:rPr>
                <w:rFonts w:asciiTheme="majorHAnsi" w:hAnsiTheme="majorHAnsi"/>
                <w:sz w:val="22"/>
                <w:szCs w:val="22"/>
                <w:lang w:val="en-AU"/>
              </w:rPr>
              <w:t xml:space="preserve"> assessment of</w:t>
            </w:r>
            <w:r>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recommend t</w:t>
            </w:r>
            <w:r>
              <w:rPr>
                <w:rFonts w:asciiTheme="majorHAnsi" w:hAnsiTheme="majorHAnsi"/>
                <w:sz w:val="22"/>
                <w:szCs w:val="22"/>
                <w:lang w:val="en-AU"/>
              </w:rPr>
              <w:t>he</w:t>
            </w:r>
            <w:r w:rsidRPr="00C54B2F">
              <w:rPr>
                <w:rFonts w:asciiTheme="majorHAnsi" w:hAnsiTheme="majorHAnsi"/>
                <w:sz w:val="22"/>
                <w:szCs w:val="22"/>
                <w:lang w:val="en-AU"/>
              </w:rPr>
              <w:t xml:space="preserve"> creat</w:t>
            </w:r>
            <w:r>
              <w:rPr>
                <w:rFonts w:asciiTheme="majorHAnsi" w:hAnsiTheme="majorHAnsi"/>
                <w:sz w:val="22"/>
                <w:szCs w:val="22"/>
                <w:lang w:val="en-AU"/>
              </w:rPr>
              <w:t>ion of new</w:t>
            </w:r>
            <w:r w:rsidRPr="00C54B2F">
              <w:rPr>
                <w:rFonts w:asciiTheme="majorHAnsi" w:hAnsiTheme="majorHAnsi"/>
                <w:sz w:val="22"/>
                <w:szCs w:val="22"/>
                <w:lang w:val="en-AU"/>
              </w:rPr>
              <w:t xml:space="preserve"> SL</w:t>
            </w:r>
            <w:r>
              <w:rPr>
                <w:rFonts w:asciiTheme="majorHAnsi" w:hAnsiTheme="majorHAnsi"/>
                <w:sz w:val="22"/>
                <w:szCs w:val="22"/>
                <w:lang w:val="en-AU"/>
              </w:rPr>
              <w:t>A</w:t>
            </w:r>
            <w:r w:rsidRPr="00C54B2F">
              <w:rPr>
                <w:rFonts w:asciiTheme="majorHAnsi" w:hAnsiTheme="majorHAnsi"/>
                <w:sz w:val="22"/>
                <w:szCs w:val="22"/>
                <w:lang w:val="en-AU"/>
              </w:rPr>
              <w:t xml:space="preserve">s where applicable. </w:t>
            </w:r>
            <w:r>
              <w:rPr>
                <w:rFonts w:asciiTheme="majorHAnsi" w:hAnsiTheme="majorHAnsi"/>
                <w:sz w:val="22"/>
                <w:szCs w:val="22"/>
                <w:lang w:val="en-AU"/>
              </w:rPr>
              <w:t xml:space="preserve">Once established, operational minor changes to SLAs can be made according to the new procedures. </w:t>
            </w:r>
          </w:p>
        </w:tc>
        <w:tc>
          <w:tcPr>
            <w:tcW w:w="1276" w:type="dxa"/>
          </w:tcPr>
          <w:p w14:paraId="6F25BFC7" w14:textId="20F4E8C4"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2E1239" w:rsidRPr="00C54B2F" w14:paraId="4EBA4B42" w14:textId="163B1B93" w:rsidTr="002E1239">
        <w:trPr>
          <w:cantSplit/>
        </w:trPr>
        <w:tc>
          <w:tcPr>
            <w:tcW w:w="397" w:type="dxa"/>
          </w:tcPr>
          <w:p w14:paraId="1B598457"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436B7D3"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4304" w:type="dxa"/>
          </w:tcPr>
          <w:p w14:paraId="0EE0847C" w14:textId="77777777" w:rsidR="002E1239" w:rsidRPr="00274E3D" w:rsidRDefault="002E1239"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The CSC are aware they are required to do this but so far in my time in the CSC this has never been required.</w:t>
            </w:r>
          </w:p>
          <w:p w14:paraId="1D1A9721" w14:textId="77777777" w:rsidR="002E1239" w:rsidRPr="00274E3D" w:rsidRDefault="002E1239" w:rsidP="002E1239">
            <w:pPr>
              <w:rPr>
                <w:rFonts w:asciiTheme="majorHAnsi" w:hAnsiTheme="majorHAnsi" w:cstheme="majorHAnsi"/>
                <w:bCs/>
                <w:sz w:val="22"/>
                <w:szCs w:val="22"/>
                <w:lang w:val="en-AU"/>
              </w:rPr>
            </w:pPr>
          </w:p>
          <w:p w14:paraId="0A1BAFC6" w14:textId="743D0139" w:rsidR="002E1239" w:rsidRPr="00274E3D" w:rsidRDefault="002E1239"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5236F8A9" w14:textId="6071BB33" w:rsidR="002E1239" w:rsidRPr="00274E3D" w:rsidRDefault="002E1239" w:rsidP="002E1239">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4"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1134" w:type="dxa"/>
          </w:tcPr>
          <w:p w14:paraId="21EE5186" w14:textId="77777777" w:rsidR="002E1239" w:rsidRPr="00C54B2F" w:rsidRDefault="002E1239" w:rsidP="002E1239">
            <w:pPr>
              <w:rPr>
                <w:rFonts w:asciiTheme="majorHAnsi" w:hAnsiTheme="majorHAnsi"/>
                <w:sz w:val="22"/>
                <w:szCs w:val="22"/>
                <w:lang w:val="en-AU"/>
              </w:rPr>
            </w:pPr>
          </w:p>
        </w:tc>
        <w:tc>
          <w:tcPr>
            <w:tcW w:w="4253" w:type="dxa"/>
          </w:tcPr>
          <w:p w14:paraId="6E927D98" w14:textId="77777777" w:rsidR="002E1239" w:rsidRPr="00C54B2F" w:rsidRDefault="002E1239" w:rsidP="002E1239">
            <w:pPr>
              <w:rPr>
                <w:rFonts w:asciiTheme="majorHAnsi" w:hAnsiTheme="majorHAnsi"/>
                <w:sz w:val="22"/>
                <w:szCs w:val="22"/>
                <w:lang w:val="en-AU"/>
              </w:rPr>
            </w:pPr>
            <w:r>
              <w:rPr>
                <w:rFonts w:asciiTheme="majorHAnsi" w:hAnsiTheme="majorHAnsi"/>
                <w:sz w:val="22"/>
                <w:szCs w:val="22"/>
                <w:lang w:val="en-AU"/>
              </w:rPr>
              <w:t>The CSC has not encountered any</w:t>
            </w:r>
            <w:r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 have</w:t>
            </w:r>
            <w:r w:rsidRPr="00C54B2F">
              <w:rPr>
                <w:rFonts w:asciiTheme="majorHAnsi" w:hAnsiTheme="majorHAnsi"/>
                <w:sz w:val="22"/>
                <w:szCs w:val="22"/>
                <w:lang w:val="en-AU"/>
              </w:rPr>
              <w:t xml:space="preserve"> required </w:t>
            </w:r>
            <w:r>
              <w:rPr>
                <w:rFonts w:asciiTheme="majorHAnsi" w:hAnsiTheme="majorHAnsi"/>
                <w:sz w:val="22"/>
                <w:szCs w:val="22"/>
                <w:lang w:val="en-AU"/>
              </w:rPr>
              <w:t>it to initiate any form of remedial action</w:t>
            </w:r>
            <w:r w:rsidRPr="00C54B2F">
              <w:rPr>
                <w:rFonts w:asciiTheme="majorHAnsi" w:hAnsiTheme="majorHAnsi"/>
                <w:sz w:val="22"/>
                <w:szCs w:val="22"/>
                <w:lang w:val="en-AU"/>
              </w:rPr>
              <w:t>. The CSC reviewed and revised the Remedial Action Procedures</w:t>
            </w:r>
            <w:r>
              <w:rPr>
                <w:rFonts w:asciiTheme="majorHAnsi" w:hAnsiTheme="majorHAnsi"/>
                <w:sz w:val="22"/>
                <w:szCs w:val="22"/>
                <w:lang w:val="en-AU"/>
              </w:rPr>
              <w:t xml:space="preserve"> (RAP)</w:t>
            </w:r>
            <w:r w:rsidRPr="00C54B2F">
              <w:rPr>
                <w:rFonts w:asciiTheme="majorHAnsi" w:hAnsiTheme="majorHAnsi"/>
                <w:sz w:val="22"/>
                <w:szCs w:val="22"/>
                <w:lang w:val="en-AU"/>
              </w:rPr>
              <w:t xml:space="preserve"> as required in the initial CSC Charter, and the RAP now forms part of the amended Charter that was approved by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Councils on 27 June 2018. </w:t>
            </w:r>
            <w:hyperlink r:id="rId15" w:history="1">
              <w:r w:rsidRPr="00C54B2F">
                <w:rPr>
                  <w:rStyle w:val="Hyperlink"/>
                  <w:rFonts w:asciiTheme="majorHAnsi" w:hAnsiTheme="majorHAnsi"/>
                  <w:sz w:val="22"/>
                  <w:szCs w:val="22"/>
                  <w:lang w:val="en-AU"/>
                </w:rPr>
                <w:t>https://www.icann.org/en/system/files/files/csc-charter-amended-27jun18-en.pdf</w:t>
              </w:r>
            </w:hyperlink>
          </w:p>
          <w:p w14:paraId="04E91A9F" w14:textId="77777777" w:rsidR="002E1239" w:rsidRPr="00C54B2F" w:rsidRDefault="002E1239" w:rsidP="002E1239">
            <w:pPr>
              <w:rPr>
                <w:rFonts w:asciiTheme="majorHAnsi" w:hAnsiTheme="majorHAnsi"/>
                <w:sz w:val="22"/>
                <w:szCs w:val="22"/>
                <w:lang w:val="en-AU"/>
              </w:rPr>
            </w:pPr>
          </w:p>
          <w:p w14:paraId="7DAEF689" w14:textId="77777777" w:rsidR="002E1239" w:rsidRPr="00C54B2F" w:rsidRDefault="002E1239" w:rsidP="002E1239">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05926CD7" w14:textId="3C34EF7D" w:rsidR="002E1239" w:rsidRPr="00C54B2F" w:rsidRDefault="002E1239" w:rsidP="002E1239">
            <w:pPr>
              <w:rPr>
                <w:rFonts w:asciiTheme="majorHAnsi" w:hAnsiTheme="majorHAnsi"/>
                <w:sz w:val="22"/>
                <w:szCs w:val="22"/>
                <w:lang w:val="en-AU"/>
              </w:rPr>
            </w:pPr>
            <w:hyperlink r:id="rId16" w:history="1">
              <w:r w:rsidRPr="00E039B7">
                <w:rPr>
                  <w:rStyle w:val="Hyperlink"/>
                  <w:rFonts w:asciiTheme="majorHAnsi" w:hAnsiTheme="majorHAnsi"/>
                  <w:sz w:val="22"/>
                  <w:szCs w:val="22"/>
                  <w:lang w:val="en-AU"/>
                </w:rPr>
                <w:t>https://www.icann.org/en/system/files/files/csc-remedial-action-procedures-03mar18-en.pdf</w:t>
              </w:r>
            </w:hyperlink>
          </w:p>
        </w:tc>
        <w:tc>
          <w:tcPr>
            <w:tcW w:w="1276" w:type="dxa"/>
          </w:tcPr>
          <w:p w14:paraId="749D87A1" w14:textId="55D462DA"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2E1239" w:rsidRPr="00C54B2F" w14:paraId="35CFA470" w14:textId="5A69124A" w:rsidTr="002E1239">
        <w:tc>
          <w:tcPr>
            <w:tcW w:w="397" w:type="dxa"/>
          </w:tcPr>
          <w:p w14:paraId="5BE60B0D"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342D707"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4304" w:type="dxa"/>
          </w:tcPr>
          <w:p w14:paraId="3369C684" w14:textId="13EEEB4B"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bCs/>
                <w:sz w:val="22"/>
                <w:szCs w:val="22"/>
                <w:lang w:val="en-AU"/>
              </w:rPr>
              <w:t xml:space="preserve">To date the Remedial Action Procedure has not been invoked.  </w:t>
            </w:r>
          </w:p>
          <w:p w14:paraId="563FF132" w14:textId="43953D75" w:rsidR="002E1239" w:rsidRPr="00274E3D" w:rsidRDefault="002E1239" w:rsidP="002E1239">
            <w:pPr>
              <w:rPr>
                <w:rFonts w:asciiTheme="majorHAnsi" w:hAnsiTheme="majorHAnsi" w:cstheme="majorHAnsi"/>
                <w:sz w:val="22"/>
                <w:szCs w:val="22"/>
                <w:lang w:val="en-AU"/>
              </w:rPr>
            </w:pPr>
          </w:p>
        </w:tc>
        <w:tc>
          <w:tcPr>
            <w:tcW w:w="1134" w:type="dxa"/>
          </w:tcPr>
          <w:p w14:paraId="6E14FA35" w14:textId="77777777" w:rsidR="002E1239" w:rsidRPr="00C54B2F" w:rsidRDefault="002E1239" w:rsidP="002E1239">
            <w:pPr>
              <w:rPr>
                <w:rFonts w:asciiTheme="majorHAnsi" w:hAnsiTheme="majorHAnsi"/>
                <w:sz w:val="22"/>
                <w:szCs w:val="22"/>
                <w:lang w:val="en-AU"/>
              </w:rPr>
            </w:pPr>
          </w:p>
        </w:tc>
        <w:tc>
          <w:tcPr>
            <w:tcW w:w="4253" w:type="dxa"/>
          </w:tcPr>
          <w:p w14:paraId="3079EE4A" w14:textId="4FE13A3C"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To date the CSC has not needed to escalate performance issues to the </w:t>
            </w:r>
            <w:proofErr w:type="spellStart"/>
            <w:r w:rsidRPr="00C54B2F">
              <w:rPr>
                <w:rFonts w:asciiTheme="majorHAnsi" w:hAnsiTheme="majorHAnsi"/>
                <w:sz w:val="22"/>
                <w:szCs w:val="22"/>
                <w:lang w:val="en-AU"/>
              </w:rPr>
              <w:t>ccNSO</w:t>
            </w:r>
            <w:proofErr w:type="spellEnd"/>
            <w:r w:rsidRPr="00C54B2F">
              <w:rPr>
                <w:rFonts w:asciiTheme="majorHAnsi" w:hAnsiTheme="majorHAnsi"/>
                <w:sz w:val="22"/>
                <w:szCs w:val="22"/>
                <w:lang w:val="en-AU"/>
              </w:rPr>
              <w:t xml:space="preserve"> and GNSO. However, the Review Team does note that the CSC has developed a good working relationship with PTI and believes that this relationship will be important in the event remedial action of this nature is considered necessary in the future.</w:t>
            </w:r>
          </w:p>
        </w:tc>
        <w:tc>
          <w:tcPr>
            <w:tcW w:w="1276" w:type="dxa"/>
          </w:tcPr>
          <w:p w14:paraId="0BEF82D1" w14:textId="0E83DF00"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2E1239" w:rsidRPr="00C54B2F" w14:paraId="4204786C" w14:textId="7E7A4EE8" w:rsidTr="002E1239">
        <w:tc>
          <w:tcPr>
            <w:tcW w:w="397" w:type="dxa"/>
          </w:tcPr>
          <w:p w14:paraId="79E426CA"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40B105E0"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CSC has an effective process for tracking complaints that have been escalated to PTI Management (Escalations), and CSC Members can be directly informed of </w:t>
            </w:r>
            <w:r w:rsidRPr="00274E3D">
              <w:rPr>
                <w:rFonts w:asciiTheme="majorHAnsi" w:hAnsiTheme="majorHAnsi" w:cstheme="majorHAnsi"/>
                <w:sz w:val="22"/>
                <w:szCs w:val="22"/>
                <w:lang w:val="en-AU"/>
              </w:rPr>
              <w:lastRenderedPageBreak/>
              <w:t>individual complaints by email.</w:t>
            </w:r>
          </w:p>
        </w:tc>
        <w:tc>
          <w:tcPr>
            <w:tcW w:w="4304" w:type="dxa"/>
          </w:tcPr>
          <w:p w14:paraId="623B2AD4" w14:textId="0F0C584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17"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1134" w:type="dxa"/>
          </w:tcPr>
          <w:p w14:paraId="12E6F9A9" w14:textId="77777777" w:rsidR="002E1239" w:rsidRPr="00C54B2F" w:rsidRDefault="002E1239" w:rsidP="002E1239">
            <w:pPr>
              <w:rPr>
                <w:rFonts w:asciiTheme="majorHAnsi" w:hAnsiTheme="majorHAnsi"/>
                <w:sz w:val="22"/>
                <w:szCs w:val="22"/>
                <w:lang w:val="en-AU"/>
              </w:rPr>
            </w:pPr>
          </w:p>
        </w:tc>
        <w:tc>
          <w:tcPr>
            <w:tcW w:w="4253" w:type="dxa"/>
          </w:tcPr>
          <w:p w14:paraId="740EB640" w14:textId="77777777" w:rsidR="002E1239" w:rsidRPr="00761954" w:rsidRDefault="002E1239" w:rsidP="002E1239">
            <w:pPr>
              <w:rPr>
                <w:rFonts w:asciiTheme="majorHAnsi" w:hAnsiTheme="majorHAnsi" w:cstheme="majorHAnsi"/>
                <w:sz w:val="22"/>
                <w:szCs w:val="22"/>
                <w:lang w:val="en-AU"/>
              </w:rPr>
            </w:pPr>
            <w:r w:rsidRPr="00F442EF">
              <w:rPr>
                <w:rFonts w:asciiTheme="majorHAnsi" w:hAnsiTheme="majorHAnsi" w:cstheme="majorHAnsi"/>
                <w:sz w:val="22"/>
                <w:szCs w:val="22"/>
                <w:lang w:val="en-AU"/>
              </w:rPr>
              <w:t>According to</w:t>
            </w:r>
            <w:r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 Charter, the “… CSC may receive complaints from individual registry operators regarding the performance of the IANA Naming Function; however, the CSC will not become involved in a direct dispute between any registry operator and the IANA Functions Operato</w:t>
            </w:r>
            <w:r w:rsidRPr="00140E46">
              <w:rPr>
                <w:rFonts w:asciiTheme="majorHAnsi" w:hAnsiTheme="majorHAnsi" w:cstheme="majorHAnsi"/>
                <w:sz w:val="22"/>
                <w:szCs w:val="22"/>
                <w:lang w:val="en-AU"/>
              </w:rPr>
              <w:t>r.</w:t>
            </w:r>
          </w:p>
          <w:p w14:paraId="73729861" w14:textId="77777777" w:rsidR="002E1239" w:rsidRPr="00307DAE" w:rsidRDefault="002E1239" w:rsidP="002E1239">
            <w:pPr>
              <w:rPr>
                <w:rFonts w:asciiTheme="majorHAnsi" w:hAnsiTheme="majorHAnsi" w:cstheme="majorHAnsi"/>
                <w:sz w:val="22"/>
                <w:szCs w:val="22"/>
                <w:lang w:val="en-AU"/>
              </w:rPr>
            </w:pPr>
            <w:r w:rsidRPr="00307DAE">
              <w:rPr>
                <w:rFonts w:asciiTheme="majorHAnsi" w:hAnsiTheme="majorHAnsi" w:cstheme="majorHAnsi"/>
                <w:sz w:val="22"/>
                <w:szCs w:val="22"/>
                <w:lang w:val="en-AU"/>
              </w:rPr>
              <w:lastRenderedPageBreak/>
              <w:t>The CSC will review individual complaints with a view to identifying whether there are any patterns of poor performance by the IANA Functions Operator in responding to complaints of a similar nature…”</w:t>
            </w:r>
          </w:p>
          <w:p w14:paraId="0E4CA712" w14:textId="77777777" w:rsidR="002E1239" w:rsidRPr="00307DAE" w:rsidRDefault="002E1239" w:rsidP="002E1239">
            <w:pPr>
              <w:rPr>
                <w:rFonts w:asciiTheme="majorHAnsi" w:hAnsiTheme="majorHAnsi" w:cstheme="majorHAnsi"/>
                <w:sz w:val="22"/>
                <w:szCs w:val="22"/>
                <w:lang w:val="en-AU"/>
              </w:rPr>
            </w:pPr>
          </w:p>
          <w:p w14:paraId="2DB20B52" w14:textId="77777777" w:rsidR="002E1239" w:rsidRPr="00307DAE" w:rsidRDefault="002E1239" w:rsidP="002E1239">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they could receive complaints, it may not become involved in their resolution.  The CSC is only to be informed so that they might determine whether there are any patterns or persistent behaviors.  </w:t>
            </w:r>
          </w:p>
          <w:p w14:paraId="226921F5" w14:textId="77777777" w:rsidR="002E1239" w:rsidRPr="00307DAE" w:rsidRDefault="002E1239" w:rsidP="002E1239">
            <w:pPr>
              <w:rPr>
                <w:rFonts w:asciiTheme="majorHAnsi" w:hAnsiTheme="majorHAnsi" w:cstheme="majorHAnsi"/>
                <w:sz w:val="22"/>
                <w:szCs w:val="22"/>
              </w:rPr>
            </w:pPr>
            <w:r w:rsidRPr="00307DAE">
              <w:rPr>
                <w:rFonts w:asciiTheme="majorHAnsi" w:hAnsiTheme="majorHAnsi" w:cstheme="majorHAnsi"/>
                <w:color w:val="000000"/>
                <w:sz w:val="22"/>
                <w:szCs w:val="22"/>
              </w:rPr>
              <w:t>The CSC deals with complaints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36486D53" w14:textId="77777777" w:rsidR="002E1239" w:rsidRPr="00C54B2F" w:rsidRDefault="002E1239" w:rsidP="002E1239">
            <w:pPr>
              <w:rPr>
                <w:rFonts w:asciiTheme="majorHAnsi" w:hAnsiTheme="majorHAnsi"/>
                <w:sz w:val="22"/>
                <w:szCs w:val="22"/>
                <w:lang w:val="en-AU"/>
              </w:rPr>
            </w:pPr>
          </w:p>
          <w:p w14:paraId="1396E145" w14:textId="77777777" w:rsidR="002E1239" w:rsidRDefault="002E1239" w:rsidP="002E123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 xml:space="preserve">How the CSC deals with a complaint it directly receives is currently not documented. It is recommended that this be remedied by publishing a procedure on the CSC webpage, explaining the role of the CSC, along with an email address. In the event that individual members or liaisons of the CSC receive individual complaints, they should encourage those making the complaint to do so by using the email address. </w:t>
            </w:r>
          </w:p>
          <w:p w14:paraId="1E4CDEEC" w14:textId="77777777" w:rsidR="002E1239" w:rsidRDefault="002E1239" w:rsidP="002E1239">
            <w:pPr>
              <w:rPr>
                <w:rFonts w:ascii="Calibri" w:eastAsia="Times New Roman" w:hAnsi="Calibri" w:cs="Times New Roman"/>
                <w:color w:val="000000"/>
                <w:sz w:val="22"/>
                <w:szCs w:val="22"/>
              </w:rPr>
            </w:pPr>
          </w:p>
          <w:p w14:paraId="0610C8D2" w14:textId="77777777" w:rsidR="002E1239" w:rsidRPr="00C54B2F" w:rsidRDefault="002E1239" w:rsidP="002E1239">
            <w:pPr>
              <w:rPr>
                <w:rFonts w:asciiTheme="majorHAnsi" w:hAnsiTheme="majorHAnsi"/>
                <w:sz w:val="22"/>
                <w:szCs w:val="22"/>
                <w:lang w:val="en-AU"/>
              </w:rPr>
            </w:pPr>
            <w:r w:rsidRPr="00307DAE">
              <w:rPr>
                <w:rFonts w:asciiTheme="majorHAnsi" w:hAnsiTheme="majorHAnsi"/>
                <w:sz w:val="22"/>
                <w:szCs w:val="22"/>
                <w:lang w:val="en-AU"/>
              </w:rPr>
              <w:lastRenderedPageBreak/>
              <w:t xml:space="preserve">The CSC Webpage includes a link to </w:t>
            </w:r>
            <w:r>
              <w:rPr>
                <w:rFonts w:asciiTheme="majorHAnsi" w:hAnsiTheme="majorHAnsi"/>
                <w:sz w:val="22"/>
                <w:szCs w:val="22"/>
                <w:lang w:val="en-AU"/>
              </w:rPr>
              <w:t xml:space="preserve">the </w:t>
            </w:r>
            <w:r w:rsidRPr="00307DAE">
              <w:rPr>
                <w:rFonts w:asciiTheme="majorHAnsi" w:hAnsiTheme="majorHAnsi"/>
                <w:sz w:val="22"/>
                <w:szCs w:val="22"/>
                <w:lang w:val="en-AU"/>
              </w:rPr>
              <w:t>general Customer IANA Service Complaint Resolution Process</w:t>
            </w:r>
            <w:r>
              <w:rPr>
                <w:rFonts w:asciiTheme="majorHAnsi" w:hAnsiTheme="majorHAnsi"/>
                <w:sz w:val="22"/>
                <w:szCs w:val="22"/>
                <w:lang w:val="en-AU"/>
              </w:rPr>
              <w:t xml:space="preserve">.  </w:t>
            </w:r>
          </w:p>
          <w:p w14:paraId="23EFFB48" w14:textId="77777777" w:rsidR="002E1239" w:rsidRPr="00C54B2F" w:rsidRDefault="002E1239" w:rsidP="002E1239">
            <w:pPr>
              <w:rPr>
                <w:rFonts w:asciiTheme="majorHAnsi" w:hAnsiTheme="majorHAnsi"/>
                <w:sz w:val="22"/>
                <w:szCs w:val="22"/>
                <w:lang w:val="en-AU"/>
              </w:rPr>
            </w:pPr>
          </w:p>
        </w:tc>
        <w:tc>
          <w:tcPr>
            <w:tcW w:w="1276" w:type="dxa"/>
          </w:tcPr>
          <w:p w14:paraId="35322952" w14:textId="4CF4E5E6" w:rsidR="002E1239" w:rsidRPr="00C54B2F" w:rsidRDefault="002E1239" w:rsidP="002E1239">
            <w:pPr>
              <w:rPr>
                <w:rFonts w:asciiTheme="majorHAnsi" w:hAnsiTheme="majorHAnsi"/>
                <w:sz w:val="22"/>
                <w:szCs w:val="22"/>
                <w:lang w:val="en-AU"/>
              </w:rPr>
            </w:pPr>
            <w:r>
              <w:rPr>
                <w:rFonts w:asciiTheme="majorHAnsi" w:hAnsiTheme="majorHAnsi"/>
                <w:sz w:val="22"/>
                <w:szCs w:val="22"/>
                <w:lang w:val="en-AU"/>
              </w:rPr>
              <w:lastRenderedPageBreak/>
              <w:t>Partially  achieved</w:t>
            </w:r>
          </w:p>
        </w:tc>
      </w:tr>
      <w:tr w:rsidR="002E1239" w:rsidRPr="00C54B2F" w14:paraId="10959DDA" w14:textId="6067FF2F" w:rsidTr="002E1239">
        <w:tc>
          <w:tcPr>
            <w:tcW w:w="397" w:type="dxa"/>
          </w:tcPr>
          <w:p w14:paraId="408CB1A2"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0876AFE"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 at least annually conduct a consultation with PTI and ICANN, the primary customers of the naming services and the ICANN community about the performance of PTI</w:t>
            </w:r>
          </w:p>
        </w:tc>
        <w:tc>
          <w:tcPr>
            <w:tcW w:w="4304" w:type="dxa"/>
          </w:tcPr>
          <w:p w14:paraId="559B2777"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meets with the PTI Board and representatives of the ICANN board at least once each year to discuss PTI Performance and related matters. </w:t>
            </w:r>
          </w:p>
          <w:p w14:paraId="49532378" w14:textId="43B4CE8B"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With respect to meetings with the BTC see for example agenda April 2021 (</w:t>
            </w:r>
            <w:hyperlink r:id="rId18"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9"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764D75EE" w14:textId="4A2F9F5A" w:rsidR="002E1239" w:rsidRPr="00274E3D" w:rsidRDefault="002E1239" w:rsidP="002E1239">
            <w:pPr>
              <w:rPr>
                <w:rFonts w:asciiTheme="majorHAnsi" w:hAnsiTheme="majorHAnsi" w:cstheme="majorHAnsi"/>
                <w:sz w:val="22"/>
                <w:szCs w:val="22"/>
                <w:lang w:val="en-AU"/>
              </w:rPr>
            </w:pPr>
          </w:p>
        </w:tc>
        <w:tc>
          <w:tcPr>
            <w:tcW w:w="1134" w:type="dxa"/>
          </w:tcPr>
          <w:p w14:paraId="14B22080" w14:textId="77777777" w:rsidR="002E1239" w:rsidRPr="00C54B2F" w:rsidRDefault="002E1239" w:rsidP="002E1239">
            <w:pPr>
              <w:rPr>
                <w:rFonts w:asciiTheme="majorHAnsi" w:hAnsiTheme="majorHAnsi"/>
                <w:sz w:val="22"/>
                <w:szCs w:val="22"/>
                <w:lang w:val="en-AU"/>
              </w:rPr>
            </w:pPr>
          </w:p>
        </w:tc>
        <w:tc>
          <w:tcPr>
            <w:tcW w:w="4253" w:type="dxa"/>
          </w:tcPr>
          <w:p w14:paraId="6A247893" w14:textId="77777777" w:rsidR="002E1239" w:rsidRDefault="002E1239" w:rsidP="002E1239">
            <w:pPr>
              <w:rPr>
                <w:rFonts w:ascii="Calibri" w:hAnsi="Calibri" w:cs="Times New Roman"/>
                <w:sz w:val="22"/>
                <w:szCs w:val="22"/>
              </w:rPr>
            </w:pPr>
            <w:r>
              <w:rPr>
                <w:rFonts w:ascii="Calibri" w:hAnsi="Calibri" w:cs="Times New Roman"/>
                <w:sz w:val="22"/>
                <w:szCs w:val="22"/>
              </w:rPr>
              <w:t xml:space="preserve">PTI asks customers to rate their satisfaction with transactions and reports the results annually. The CSC provides input and feed-back and evaluates the results of the survey with PTI. To avoid survey fatigue the CSC does not conduct its own survey. </w:t>
            </w:r>
          </w:p>
          <w:p w14:paraId="14329F4F" w14:textId="77777777" w:rsidR="002E1239" w:rsidRDefault="002E1239" w:rsidP="002E1239">
            <w:pPr>
              <w:rPr>
                <w:rFonts w:ascii="Calibri" w:hAnsi="Calibri" w:cs="Times New Roman"/>
                <w:sz w:val="22"/>
                <w:szCs w:val="22"/>
              </w:rPr>
            </w:pPr>
          </w:p>
          <w:p w14:paraId="1B326F48" w14:textId="75164F7F" w:rsidR="002E1239" w:rsidRPr="00C54B2F" w:rsidRDefault="002E1239" w:rsidP="002E1239">
            <w:pPr>
              <w:rPr>
                <w:rFonts w:asciiTheme="majorHAnsi" w:hAnsiTheme="majorHAnsi"/>
                <w:sz w:val="22"/>
                <w:szCs w:val="22"/>
                <w:lang w:val="en-AU"/>
              </w:rPr>
            </w:pPr>
            <w:r>
              <w:rPr>
                <w:rFonts w:ascii="Calibri" w:hAnsi="Calibri" w:cs="Times New Roman"/>
                <w:sz w:val="22"/>
                <w:szCs w:val="22"/>
              </w:rPr>
              <w:t xml:space="preserve">The </w:t>
            </w:r>
            <w:r w:rsidRPr="000279E4">
              <w:rPr>
                <w:rFonts w:ascii="Calibri" w:hAnsi="Calibri" w:cs="Times New Roman"/>
                <w:sz w:val="22"/>
                <w:szCs w:val="22"/>
              </w:rPr>
              <w:t xml:space="preserve">CSC members regularly provide updates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sidRPr="000279E4">
              <w:rPr>
                <w:rFonts w:ascii="Calibri" w:hAnsi="Calibri" w:cs="Times New Roman"/>
                <w:sz w:val="22"/>
                <w:szCs w:val="22"/>
              </w:rPr>
              <w:t xml:space="preserve"> and </w:t>
            </w:r>
            <w:proofErr w:type="spellStart"/>
            <w:r>
              <w:rPr>
                <w:rFonts w:ascii="Calibri" w:hAnsi="Calibri" w:cs="Times New Roman"/>
                <w:sz w:val="22"/>
                <w:szCs w:val="22"/>
              </w:rPr>
              <w:t>RySG</w:t>
            </w:r>
            <w:proofErr w:type="spellEnd"/>
            <w:r>
              <w:rPr>
                <w:rFonts w:ascii="Calibri" w:hAnsi="Calibri" w:cs="Times New Roman"/>
                <w:sz w:val="22"/>
                <w:szCs w:val="22"/>
              </w:rPr>
              <w:t xml:space="preserve"> </w:t>
            </w:r>
            <w:r w:rsidRPr="000279E4">
              <w:rPr>
                <w:rFonts w:ascii="Calibri" w:hAnsi="Calibri" w:cs="Times New Roman"/>
                <w:sz w:val="22"/>
                <w:szCs w:val="22"/>
              </w:rPr>
              <w:t xml:space="preserve">at ICANN meetings, and invite comments.  In addition, the CSC prepares and presents an annual review of its activities and of its assessment of PTI’s overall performance, and presents it to the </w:t>
            </w:r>
            <w:proofErr w:type="spellStart"/>
            <w:r>
              <w:rPr>
                <w:rFonts w:ascii="Calibri" w:hAnsi="Calibri" w:cs="Times New Roman"/>
                <w:sz w:val="22"/>
                <w:szCs w:val="22"/>
              </w:rPr>
              <w:t>cc</w:t>
            </w:r>
            <w:r w:rsidRPr="000279E4">
              <w:rPr>
                <w:rFonts w:ascii="Calibri" w:hAnsi="Calibri" w:cs="Times New Roman"/>
                <w:sz w:val="22"/>
                <w:szCs w:val="22"/>
              </w:rPr>
              <w:t>NSO</w:t>
            </w:r>
            <w:proofErr w:type="spellEnd"/>
            <w:r>
              <w:rPr>
                <w:rFonts w:ascii="Calibri" w:hAnsi="Calibri" w:cs="Times New Roman"/>
                <w:sz w:val="22"/>
                <w:szCs w:val="22"/>
              </w:rPr>
              <w:t xml:space="preserve">, </w:t>
            </w:r>
            <w:proofErr w:type="spellStart"/>
            <w:r>
              <w:rPr>
                <w:rFonts w:ascii="Calibri" w:hAnsi="Calibri" w:cs="Times New Roman"/>
                <w:sz w:val="22"/>
                <w:szCs w:val="22"/>
              </w:rPr>
              <w:t>RySG</w:t>
            </w:r>
            <w:proofErr w:type="spellEnd"/>
            <w:r w:rsidRPr="000279E4">
              <w:rPr>
                <w:rFonts w:ascii="Calibri" w:hAnsi="Calibri" w:cs="Times New Roman"/>
                <w:sz w:val="22"/>
                <w:szCs w:val="22"/>
              </w:rPr>
              <w:t xml:space="preserve"> and</w:t>
            </w:r>
            <w:r>
              <w:rPr>
                <w:rFonts w:ascii="Calibri" w:hAnsi="Calibri" w:cs="Times New Roman"/>
                <w:sz w:val="22"/>
                <w:szCs w:val="22"/>
              </w:rPr>
              <w:t xml:space="preserve"> others</w:t>
            </w:r>
            <w:r w:rsidRPr="000279E4">
              <w:rPr>
                <w:rFonts w:ascii="Calibri" w:hAnsi="Calibri" w:cs="Times New Roman"/>
                <w:sz w:val="22"/>
                <w:szCs w:val="22"/>
              </w:rPr>
              <w:t xml:space="preserve"> at public ICANN meetings, and invites comments from these communities.</w:t>
            </w:r>
          </w:p>
        </w:tc>
        <w:tc>
          <w:tcPr>
            <w:tcW w:w="1276" w:type="dxa"/>
          </w:tcPr>
          <w:p w14:paraId="10B5AA75" w14:textId="73F4A502" w:rsidR="002E1239" w:rsidRPr="00C54B2F" w:rsidRDefault="002E1239" w:rsidP="002E1239">
            <w:pPr>
              <w:rPr>
                <w:rFonts w:asciiTheme="majorHAnsi" w:hAnsiTheme="majorHAnsi"/>
                <w:sz w:val="22"/>
                <w:szCs w:val="22"/>
                <w:lang w:val="en-AU"/>
              </w:rPr>
            </w:pPr>
            <w:r w:rsidRPr="00C54B2F">
              <w:rPr>
                <w:rFonts w:asciiTheme="majorHAnsi" w:hAnsiTheme="majorHAnsi"/>
                <w:sz w:val="22"/>
                <w:szCs w:val="22"/>
                <w:lang w:val="en-AU"/>
              </w:rPr>
              <w:t>Achieved</w:t>
            </w:r>
          </w:p>
        </w:tc>
      </w:tr>
      <w:tr w:rsidR="002E1239" w:rsidRPr="00C54B2F" w14:paraId="09BE1AA6" w14:textId="24591210" w:rsidTr="002E1239">
        <w:tc>
          <w:tcPr>
            <w:tcW w:w="397" w:type="dxa"/>
          </w:tcPr>
          <w:p w14:paraId="56D57562"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6050B7D"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4304" w:type="dxa"/>
          </w:tcPr>
          <w:p w14:paraId="40FB0039" w14:textId="016561B0" w:rsidR="002E1239" w:rsidRPr="00274E3D" w:rsidRDefault="002E1239" w:rsidP="002E1239">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20"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1FB51372" w14:textId="00B7D2A9"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2719537F" w14:textId="3A7115F9"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Technical checks</w:t>
            </w:r>
          </w:p>
          <w:p w14:paraId="1F64BE09" w14:textId="2B2744D8"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D5DC06D"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CC47241" w14:textId="5C8315A6"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21" w:history="1">
              <w:r w:rsidRPr="00274E3D">
                <w:rPr>
                  <w:rStyle w:val="Hyperlink"/>
                  <w:rFonts w:asciiTheme="majorHAnsi" w:hAnsiTheme="majorHAnsi" w:cstheme="majorHAnsi"/>
                  <w:sz w:val="22"/>
                  <w:szCs w:val="22"/>
                  <w:lang w:val="en-AU"/>
                </w:rPr>
                <w:t>https://www.icann.org/uploads/iana_work_session_asset/attachment/1027/1631302836785Agenda_and_Notes_CSC_Meeting_45_-_18_November_2020.pdf</w:t>
              </w:r>
            </w:hyperlink>
            <w:r w:rsidRPr="00274E3D">
              <w:rPr>
                <w:rFonts w:asciiTheme="majorHAnsi" w:hAnsiTheme="majorHAnsi" w:cstheme="majorHAnsi"/>
                <w:sz w:val="22"/>
                <w:szCs w:val="22"/>
                <w:lang w:val="en-AU"/>
              </w:rPr>
              <w:t xml:space="preserve">) </w:t>
            </w:r>
          </w:p>
          <w:p w14:paraId="1A96A0EA" w14:textId="46A76AB2" w:rsidR="002E1239" w:rsidRPr="00274E3D" w:rsidRDefault="002E1239" w:rsidP="002E1239">
            <w:pPr>
              <w:rPr>
                <w:rFonts w:asciiTheme="majorHAnsi" w:hAnsiTheme="majorHAnsi" w:cstheme="majorHAnsi"/>
                <w:sz w:val="22"/>
                <w:szCs w:val="22"/>
                <w:lang w:val="en-AU"/>
              </w:rPr>
            </w:pPr>
          </w:p>
        </w:tc>
        <w:tc>
          <w:tcPr>
            <w:tcW w:w="1134" w:type="dxa"/>
          </w:tcPr>
          <w:p w14:paraId="1FA7F711" w14:textId="77777777" w:rsidR="002E1239" w:rsidRPr="00C54B2F" w:rsidRDefault="002E1239" w:rsidP="002E1239">
            <w:pPr>
              <w:rPr>
                <w:rFonts w:asciiTheme="majorHAnsi" w:hAnsiTheme="majorHAnsi"/>
                <w:sz w:val="22"/>
                <w:szCs w:val="22"/>
                <w:lang w:val="en-AU"/>
              </w:rPr>
            </w:pPr>
          </w:p>
        </w:tc>
        <w:tc>
          <w:tcPr>
            <w:tcW w:w="4253" w:type="dxa"/>
          </w:tcPr>
          <w:p w14:paraId="57126529" w14:textId="0B6B30E5" w:rsidR="002E1239" w:rsidRPr="00C54B2F" w:rsidRDefault="002E1239" w:rsidP="002E1239">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276" w:type="dxa"/>
          </w:tcPr>
          <w:p w14:paraId="0816B533" w14:textId="2A3F7BB6" w:rsidR="002E1239" w:rsidRPr="00C54B2F" w:rsidRDefault="002E1239" w:rsidP="002E1239">
            <w:pPr>
              <w:rPr>
                <w:rFonts w:asciiTheme="majorHAnsi" w:hAnsiTheme="majorHAnsi"/>
                <w:sz w:val="22"/>
                <w:szCs w:val="22"/>
                <w:lang w:val="en-AU"/>
              </w:rPr>
            </w:pPr>
            <w:r w:rsidRPr="003834A9">
              <w:rPr>
                <w:rFonts w:asciiTheme="majorHAnsi" w:hAnsiTheme="majorHAnsi"/>
                <w:sz w:val="22"/>
                <w:szCs w:val="22"/>
                <w:lang w:val="en-AU"/>
              </w:rPr>
              <w:t>Achieved</w:t>
            </w:r>
          </w:p>
        </w:tc>
      </w:tr>
      <w:tr w:rsidR="002E1239" w:rsidRPr="00C54B2F" w14:paraId="6D661E87" w14:textId="6A3220A5" w:rsidTr="002E1239">
        <w:tc>
          <w:tcPr>
            <w:tcW w:w="397" w:type="dxa"/>
          </w:tcPr>
          <w:p w14:paraId="5D11131E"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7317444E"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4304" w:type="dxa"/>
          </w:tcPr>
          <w:p w14:paraId="26CA1064" w14:textId="77777777" w:rsidR="002E1239" w:rsidRPr="00274E3D" w:rsidRDefault="002E1239"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30E390E4"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253A3606"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45374AB0" w14:textId="77777777" w:rsidR="002E1239" w:rsidRPr="00274E3D" w:rsidRDefault="002E1239" w:rsidP="002E1239">
            <w:pPr>
              <w:pStyle w:val="ListParagraph"/>
              <w:numPr>
                <w:ilvl w:val="0"/>
                <w:numId w:val="3"/>
              </w:numPr>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75FA7CD2" w14:textId="673AB6F0" w:rsidR="002E1239" w:rsidRPr="00274E3D" w:rsidRDefault="002E1239" w:rsidP="002E1239">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5EA45F71" w14:textId="25937E89" w:rsidR="002E1239" w:rsidRPr="00274E3D" w:rsidRDefault="002E1239" w:rsidP="002E1239">
            <w:pPr>
              <w:pStyle w:val="NormalWeb"/>
              <w:spacing w:before="0" w:beforeAutospacing="0" w:after="0" w:afterAutospacing="0"/>
              <w:rPr>
                <w:rFonts w:asciiTheme="majorHAnsi" w:hAnsiTheme="majorHAnsi" w:cstheme="majorHAnsi"/>
                <w:sz w:val="22"/>
                <w:szCs w:val="22"/>
                <w:lang w:val="en-AU"/>
              </w:rPr>
            </w:pPr>
          </w:p>
        </w:tc>
        <w:tc>
          <w:tcPr>
            <w:tcW w:w="1134" w:type="dxa"/>
          </w:tcPr>
          <w:p w14:paraId="62EE5CAC" w14:textId="77777777" w:rsidR="002E1239" w:rsidRPr="000279E4" w:rsidRDefault="002E1239" w:rsidP="002E1239">
            <w:pPr>
              <w:rPr>
                <w:rFonts w:asciiTheme="majorHAnsi" w:hAnsiTheme="majorHAnsi"/>
                <w:sz w:val="22"/>
                <w:szCs w:val="22"/>
                <w:highlight w:val="yellow"/>
                <w:lang w:val="en-AU"/>
              </w:rPr>
            </w:pPr>
          </w:p>
        </w:tc>
        <w:tc>
          <w:tcPr>
            <w:tcW w:w="4253" w:type="dxa"/>
          </w:tcPr>
          <w:p w14:paraId="10E5040A" w14:textId="6079C9A2" w:rsidR="002E1239" w:rsidRPr="000279E4" w:rsidRDefault="002E1239" w:rsidP="002E1239">
            <w:pPr>
              <w:rPr>
                <w:rFonts w:asciiTheme="majorHAnsi" w:hAnsiTheme="majorHAnsi"/>
                <w:sz w:val="22"/>
                <w:szCs w:val="22"/>
                <w:highlight w:val="yellow"/>
                <w:lang w:val="en-AU"/>
              </w:rPr>
            </w:pPr>
            <w:r>
              <w:rPr>
                <w:rFonts w:ascii="Calibri" w:hAnsi="Calibri"/>
                <w:color w:val="000000"/>
                <w:sz w:val="22"/>
                <w:szCs w:val="22"/>
              </w:rPr>
              <w:t>Changes to the SLAs have not been</w:t>
            </w:r>
            <w:r w:rsidRPr="00EB3D49">
              <w:rPr>
                <w:rFonts w:ascii="Calibri" w:hAnsi="Calibri"/>
                <w:color w:val="000000"/>
                <w:sz w:val="22"/>
                <w:szCs w:val="22"/>
              </w:rPr>
              <w:t xml:space="preserve"> completed, </w:t>
            </w:r>
            <w:r>
              <w:rPr>
                <w:rFonts w:ascii="Calibri" w:hAnsi="Calibri"/>
                <w:color w:val="000000"/>
                <w:sz w:val="22"/>
                <w:szCs w:val="22"/>
              </w:rPr>
              <w:t>but the data collection to inform the recommended changes has commenced. The changes to monitoring IDN Table publication have become part of the regular publications of PTI.</w:t>
            </w:r>
          </w:p>
        </w:tc>
        <w:tc>
          <w:tcPr>
            <w:tcW w:w="1276" w:type="dxa"/>
          </w:tcPr>
          <w:p w14:paraId="201B3FD9" w14:textId="3B3947DC" w:rsidR="002E1239" w:rsidRPr="000279E4" w:rsidRDefault="002E1239" w:rsidP="002E1239">
            <w:pPr>
              <w:rPr>
                <w:rFonts w:asciiTheme="majorHAnsi" w:hAnsiTheme="majorHAnsi"/>
                <w:sz w:val="22"/>
                <w:szCs w:val="22"/>
                <w:highlight w:val="yellow"/>
                <w:lang w:val="en-AU"/>
              </w:rPr>
            </w:pPr>
            <w:r w:rsidRPr="003834A9">
              <w:rPr>
                <w:rFonts w:asciiTheme="majorHAnsi" w:hAnsiTheme="majorHAnsi"/>
                <w:sz w:val="22"/>
                <w:szCs w:val="22"/>
                <w:lang w:val="en-AU"/>
              </w:rPr>
              <w:t>Achieved</w:t>
            </w:r>
          </w:p>
        </w:tc>
      </w:tr>
      <w:tr w:rsidR="002E1239" w:rsidRPr="00C54B2F" w14:paraId="69B0E5AF" w14:textId="506D1C82" w:rsidTr="002E1239">
        <w:tc>
          <w:tcPr>
            <w:tcW w:w="397" w:type="dxa"/>
          </w:tcPr>
          <w:p w14:paraId="01AE1E67"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0A8525D" w14:textId="0E15A645"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4304" w:type="dxa"/>
          </w:tcPr>
          <w:p w14:paraId="346CB305" w14:textId="7FB0E70B"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22"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1134" w:type="dxa"/>
          </w:tcPr>
          <w:p w14:paraId="491C9C9C" w14:textId="77777777" w:rsidR="002E1239" w:rsidRPr="00C54B2F" w:rsidRDefault="002E1239" w:rsidP="002E1239">
            <w:pPr>
              <w:rPr>
                <w:rFonts w:asciiTheme="majorHAnsi" w:hAnsiTheme="majorHAnsi"/>
                <w:sz w:val="22"/>
                <w:szCs w:val="22"/>
                <w:lang w:val="en-AU"/>
              </w:rPr>
            </w:pPr>
          </w:p>
        </w:tc>
        <w:tc>
          <w:tcPr>
            <w:tcW w:w="4253" w:type="dxa"/>
          </w:tcPr>
          <w:p w14:paraId="5FFF9E4A" w14:textId="1F868E01" w:rsidR="002E1239" w:rsidRPr="00C54B2F" w:rsidRDefault="002E1239" w:rsidP="002E1239">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276" w:type="dxa"/>
          </w:tcPr>
          <w:p w14:paraId="04EB754E" w14:textId="08026FFE" w:rsidR="002E1239" w:rsidRPr="00C54B2F" w:rsidRDefault="002E1239" w:rsidP="002E1239">
            <w:pPr>
              <w:rPr>
                <w:rFonts w:asciiTheme="majorHAnsi" w:hAnsiTheme="majorHAnsi"/>
                <w:sz w:val="22"/>
                <w:szCs w:val="22"/>
                <w:lang w:val="en-AU"/>
              </w:rPr>
            </w:pPr>
            <w:r>
              <w:rPr>
                <w:rFonts w:asciiTheme="majorHAnsi" w:hAnsiTheme="majorHAnsi"/>
                <w:sz w:val="22"/>
                <w:szCs w:val="22"/>
                <w:lang w:val="en-AU"/>
              </w:rPr>
              <w:t>Achieved</w:t>
            </w:r>
          </w:p>
        </w:tc>
      </w:tr>
      <w:tr w:rsidR="002E1239" w:rsidRPr="00C54B2F" w14:paraId="730EB04F" w14:textId="57FFEF27" w:rsidTr="002E1239">
        <w:tc>
          <w:tcPr>
            <w:tcW w:w="397" w:type="dxa"/>
          </w:tcPr>
          <w:p w14:paraId="426862AF"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399EB3EF" w14:textId="77777777" w:rsidR="002E1239" w:rsidRPr="00274E3D" w:rsidRDefault="002E1239"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4304" w:type="dxa"/>
          </w:tcPr>
          <w:p w14:paraId="1869A1EE" w14:textId="7AE3E673" w:rsidR="002E1239" w:rsidRPr="00274E3D" w:rsidRDefault="002E1239"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 there is has not been separation cross community working group.</w:t>
            </w:r>
          </w:p>
        </w:tc>
        <w:tc>
          <w:tcPr>
            <w:tcW w:w="1134" w:type="dxa"/>
          </w:tcPr>
          <w:p w14:paraId="2775F397" w14:textId="77777777" w:rsidR="002E1239" w:rsidRPr="000279E4" w:rsidDel="00EB6E9E" w:rsidRDefault="002E1239" w:rsidP="002E1239">
            <w:pPr>
              <w:rPr>
                <w:rFonts w:asciiTheme="majorHAnsi" w:hAnsiTheme="majorHAnsi"/>
                <w:sz w:val="22"/>
                <w:szCs w:val="22"/>
                <w:lang w:val="en-AU"/>
              </w:rPr>
            </w:pPr>
          </w:p>
        </w:tc>
        <w:tc>
          <w:tcPr>
            <w:tcW w:w="4253" w:type="dxa"/>
          </w:tcPr>
          <w:p w14:paraId="7B327919" w14:textId="608F1C84" w:rsidR="002E1239" w:rsidRPr="000279E4" w:rsidDel="00EB6E9E" w:rsidRDefault="002E1239" w:rsidP="002E1239">
            <w:pPr>
              <w:rPr>
                <w:rFonts w:asciiTheme="majorHAnsi" w:hAnsiTheme="majorHAnsi"/>
                <w:sz w:val="22"/>
                <w:szCs w:val="22"/>
                <w:lang w:val="en-AU"/>
              </w:rPr>
            </w:pPr>
            <w:r w:rsidRPr="003834A9">
              <w:rPr>
                <w:rFonts w:asciiTheme="majorHAnsi" w:hAnsiTheme="majorHAnsi"/>
                <w:sz w:val="22"/>
                <w:szCs w:val="22"/>
                <w:lang w:val="en-AU"/>
              </w:rPr>
              <w:t>N/A</w:t>
            </w:r>
          </w:p>
        </w:tc>
        <w:tc>
          <w:tcPr>
            <w:tcW w:w="1276" w:type="dxa"/>
          </w:tcPr>
          <w:p w14:paraId="10867F64" w14:textId="6D45EB76" w:rsidR="002E1239" w:rsidRPr="000279E4" w:rsidDel="00EB6E9E" w:rsidRDefault="002E1239" w:rsidP="002E1239">
            <w:pPr>
              <w:rPr>
                <w:rFonts w:asciiTheme="majorHAnsi" w:hAnsiTheme="majorHAnsi"/>
                <w:sz w:val="22"/>
                <w:szCs w:val="22"/>
                <w:lang w:val="en-AU"/>
              </w:rPr>
            </w:pPr>
            <w:r w:rsidRPr="003834A9">
              <w:rPr>
                <w:rFonts w:asciiTheme="majorHAnsi" w:hAnsiTheme="majorHAnsi"/>
                <w:sz w:val="22"/>
                <w:szCs w:val="22"/>
                <w:lang w:val="en-AU"/>
              </w:rPr>
              <w:t>N/A</w:t>
            </w:r>
          </w:p>
        </w:tc>
      </w:tr>
      <w:tr w:rsidR="002E1239" w:rsidRPr="00C54B2F" w14:paraId="7B2BFCE7" w14:textId="12D1D91A" w:rsidTr="002E1239">
        <w:tc>
          <w:tcPr>
            <w:tcW w:w="397" w:type="dxa"/>
          </w:tcPr>
          <w:p w14:paraId="158EB958"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1F691526" w14:textId="77777777" w:rsidR="002E1239" w:rsidRPr="00274E3D" w:rsidRDefault="002E1239"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4304" w:type="dxa"/>
          </w:tcPr>
          <w:p w14:paraId="1D5D24C7" w14:textId="33E6E723"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3"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1134" w:type="dxa"/>
          </w:tcPr>
          <w:p w14:paraId="1958B532" w14:textId="77777777" w:rsidR="002E1239" w:rsidRDefault="002E1239" w:rsidP="002E1239">
            <w:pPr>
              <w:rPr>
                <w:rFonts w:asciiTheme="majorHAnsi" w:hAnsiTheme="majorHAnsi"/>
                <w:sz w:val="22"/>
                <w:szCs w:val="22"/>
                <w:lang w:val="en-AU"/>
              </w:rPr>
            </w:pPr>
          </w:p>
        </w:tc>
        <w:tc>
          <w:tcPr>
            <w:tcW w:w="4253" w:type="dxa"/>
          </w:tcPr>
          <w:p w14:paraId="2E670335" w14:textId="77777777" w:rsidR="002E1239" w:rsidRPr="00BD46C8" w:rsidRDefault="002E1239" w:rsidP="002E1239">
            <w:pPr>
              <w:rPr>
                <w:rFonts w:asciiTheme="majorHAnsi" w:hAnsiTheme="majorHAnsi"/>
                <w:sz w:val="22"/>
                <w:szCs w:val="22"/>
                <w:lang w:val="en-AU"/>
              </w:rPr>
            </w:pPr>
            <w:r w:rsidRPr="00AA584A">
              <w:rPr>
                <w:rFonts w:asciiTheme="majorHAnsi" w:hAnsiTheme="majorHAnsi"/>
                <w:sz w:val="22"/>
                <w:szCs w:val="22"/>
                <w:lang w:val="en-AU"/>
              </w:rPr>
              <w:t xml:space="preserve">All appointees must attend a </w:t>
            </w:r>
            <w:r>
              <w:rPr>
                <w:rFonts w:asciiTheme="majorHAnsi" w:hAnsiTheme="majorHAnsi"/>
                <w:sz w:val="22"/>
                <w:szCs w:val="22"/>
                <w:lang w:val="en-AU"/>
              </w:rPr>
              <w:t>m</w:t>
            </w:r>
            <w:r w:rsidRPr="00AA584A">
              <w:rPr>
                <w:rFonts w:asciiTheme="majorHAnsi" w:hAnsiTheme="majorHAnsi"/>
                <w:sz w:val="22"/>
                <w:szCs w:val="22"/>
                <w:lang w:val="en-AU"/>
              </w:rPr>
              <w:t>inimum of nine meetings in a one year period, and must not be absent for more than two consecutive meetings (</w:t>
            </w:r>
            <w:r w:rsidRPr="00BD46C8">
              <w:rPr>
                <w:rFonts w:asciiTheme="majorHAnsi" w:hAnsiTheme="majorHAnsi"/>
                <w:sz w:val="22"/>
                <w:szCs w:val="22"/>
                <w:lang w:val="en-AU"/>
              </w:rPr>
              <w:t>see Annex C</w:t>
            </w:r>
            <w:r>
              <w:rPr>
                <w:rFonts w:asciiTheme="majorHAnsi" w:hAnsiTheme="majorHAnsi"/>
                <w:sz w:val="22"/>
                <w:szCs w:val="22"/>
                <w:lang w:val="en-AU"/>
              </w:rPr>
              <w:t>:</w:t>
            </w:r>
            <w:r w:rsidRPr="00BD46C8">
              <w:rPr>
                <w:rFonts w:asciiTheme="majorHAnsi" w:hAnsiTheme="majorHAnsi"/>
                <w:sz w:val="22"/>
                <w:szCs w:val="22"/>
                <w:lang w:val="en-AU"/>
              </w:rPr>
              <w:t xml:space="preserve"> Charter CSC, section Terms)</w:t>
            </w:r>
            <w:r w:rsidRPr="00AA584A">
              <w:rPr>
                <w:rFonts w:asciiTheme="majorHAnsi" w:hAnsiTheme="majorHAnsi"/>
                <w:sz w:val="22"/>
                <w:szCs w:val="22"/>
                <w:lang w:val="en-AU"/>
              </w:rPr>
              <w:t>. According to attendance sheets, (</w:t>
            </w:r>
            <w:hyperlink r:id="rId24" w:history="1">
              <w:r w:rsidRPr="00AA584A">
                <w:rPr>
                  <w:rStyle w:val="Hyperlink"/>
                  <w:rFonts w:asciiTheme="majorHAnsi" w:hAnsiTheme="majorHAnsi" w:cstheme="majorHAnsi"/>
                  <w:sz w:val="22"/>
                  <w:szCs w:val="22"/>
                </w:rPr>
                <w:t>https://community.icann.org/display/CSC/Attendance</w:t>
              </w:r>
            </w:hyperlink>
            <w:r w:rsidRPr="00AA584A">
              <w:rPr>
                <w:rFonts w:asciiTheme="majorHAnsi" w:hAnsiTheme="majorHAnsi" w:cstheme="majorHAnsi"/>
                <w:sz w:val="22"/>
                <w:szCs w:val="22"/>
              </w:rPr>
              <w:t>)</w:t>
            </w:r>
            <w:r w:rsidRPr="00AA584A">
              <w:t xml:space="preserve"> </w:t>
            </w:r>
            <w:r w:rsidRPr="00AA584A">
              <w:rPr>
                <w:rFonts w:asciiTheme="majorHAnsi" w:hAnsiTheme="majorHAnsi"/>
                <w:sz w:val="22"/>
                <w:szCs w:val="22"/>
                <w:lang w:val="en-AU"/>
              </w:rPr>
              <w:t xml:space="preserve">all 4 members of the CSC </w:t>
            </w:r>
            <w:r w:rsidRPr="00B10B11">
              <w:rPr>
                <w:rFonts w:asciiTheme="majorHAnsi" w:hAnsiTheme="majorHAnsi"/>
                <w:sz w:val="22"/>
                <w:szCs w:val="22"/>
                <w:lang w:val="en-AU"/>
              </w:rPr>
              <w:t>have met the attendance requirement</w:t>
            </w:r>
            <w:r w:rsidRPr="00DD4416">
              <w:rPr>
                <w:rFonts w:asciiTheme="majorHAnsi" w:hAnsiTheme="majorHAnsi"/>
                <w:sz w:val="22"/>
                <w:szCs w:val="22"/>
                <w:lang w:val="en-AU"/>
              </w:rPr>
              <w:t xml:space="preserve">. The CSC Practices developed by the CSC states that a “… CSC meeting </w:t>
            </w:r>
            <w:r w:rsidRPr="00BD46C8">
              <w:rPr>
                <w:rFonts w:asciiTheme="majorHAnsi" w:hAnsiTheme="majorHAnsi"/>
                <w:sz w:val="22"/>
                <w:szCs w:val="22"/>
                <w:lang w:val="en-AU"/>
              </w:rPr>
              <w:t>shall be quorate if the 4 (four) Members are present at the meeting.</w:t>
            </w:r>
          </w:p>
          <w:p w14:paraId="30D0AE07" w14:textId="77777777" w:rsidR="002E1239" w:rsidRDefault="002E1239" w:rsidP="002E1239">
            <w:pPr>
              <w:rPr>
                <w:rFonts w:asciiTheme="majorHAnsi" w:hAnsiTheme="majorHAnsi"/>
                <w:sz w:val="22"/>
                <w:szCs w:val="22"/>
                <w:lang w:val="en-AU"/>
              </w:rPr>
            </w:pPr>
          </w:p>
        </w:tc>
        <w:tc>
          <w:tcPr>
            <w:tcW w:w="1276" w:type="dxa"/>
          </w:tcPr>
          <w:p w14:paraId="17826FA6" w14:textId="40F2CD1D" w:rsidR="002E1239" w:rsidRDefault="002E1239" w:rsidP="002E1239">
            <w:pPr>
              <w:rPr>
                <w:rFonts w:asciiTheme="majorHAnsi" w:hAnsiTheme="majorHAnsi"/>
                <w:sz w:val="22"/>
                <w:szCs w:val="22"/>
                <w:lang w:val="en-AU"/>
              </w:rPr>
            </w:pPr>
            <w:r w:rsidRPr="003834A9">
              <w:rPr>
                <w:rFonts w:asciiTheme="majorHAnsi" w:hAnsiTheme="majorHAnsi"/>
                <w:sz w:val="22"/>
                <w:szCs w:val="22"/>
                <w:lang w:val="en-AU"/>
              </w:rPr>
              <w:t>Achieved</w:t>
            </w:r>
          </w:p>
        </w:tc>
      </w:tr>
      <w:tr w:rsidR="002E1239" w:rsidRPr="00C54B2F" w14:paraId="7CBA2537" w14:textId="0201E570" w:rsidTr="002E1239">
        <w:tc>
          <w:tcPr>
            <w:tcW w:w="397" w:type="dxa"/>
          </w:tcPr>
          <w:p w14:paraId="61921D88"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3D83CEBC" w14:textId="77777777" w:rsidR="002E1239" w:rsidRPr="00274E3D" w:rsidRDefault="002E1239"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4304" w:type="dxa"/>
          </w:tcPr>
          <w:p w14:paraId="049EE475" w14:textId="5061CC35" w:rsidR="002E1239" w:rsidRPr="00274E3D" w:rsidRDefault="002E1239" w:rsidP="002E1239">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5"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1134" w:type="dxa"/>
          </w:tcPr>
          <w:p w14:paraId="5EAF0E08" w14:textId="77777777" w:rsidR="002E1239" w:rsidRDefault="002E1239" w:rsidP="002E1239">
            <w:pPr>
              <w:rPr>
                <w:rFonts w:asciiTheme="majorHAnsi" w:hAnsiTheme="majorHAnsi"/>
                <w:sz w:val="22"/>
                <w:szCs w:val="22"/>
                <w:lang w:val="en-AU"/>
              </w:rPr>
            </w:pPr>
          </w:p>
        </w:tc>
        <w:tc>
          <w:tcPr>
            <w:tcW w:w="4253" w:type="dxa"/>
          </w:tcPr>
          <w:p w14:paraId="336466C0" w14:textId="3DB3A89A" w:rsidR="002E1239" w:rsidRDefault="002E1239" w:rsidP="002E1239">
            <w:pPr>
              <w:rPr>
                <w:rFonts w:asciiTheme="majorHAnsi" w:hAnsiTheme="majorHAnsi"/>
                <w:sz w:val="22"/>
                <w:szCs w:val="22"/>
                <w:lang w:val="en-AU"/>
              </w:rPr>
            </w:pPr>
            <w:r w:rsidRPr="0028030D">
              <w:rPr>
                <w:rFonts w:asciiTheme="majorHAnsi" w:hAnsiTheme="majorHAnsi"/>
                <w:sz w:val="22"/>
                <w:szCs w:val="22"/>
                <w:lang w:val="en-AU"/>
              </w:rPr>
              <w:t>All appointees must attend a mi</w:t>
            </w:r>
            <w:r>
              <w:rPr>
                <w:rFonts w:asciiTheme="majorHAnsi" w:hAnsiTheme="majorHAnsi"/>
                <w:sz w:val="22"/>
                <w:szCs w:val="22"/>
                <w:lang w:val="en-AU"/>
              </w:rPr>
              <w:t>n</w:t>
            </w:r>
            <w:r w:rsidRPr="0028030D">
              <w:rPr>
                <w:rFonts w:asciiTheme="majorHAnsi" w:hAnsiTheme="majorHAnsi"/>
                <w:sz w:val="22"/>
                <w:szCs w:val="22"/>
                <w:lang w:val="en-AU"/>
              </w:rPr>
              <w:t xml:space="preserve">imum of nine meetings in a one year period, and must not be absent for </w:t>
            </w:r>
            <w:r>
              <w:rPr>
                <w:rFonts w:asciiTheme="majorHAnsi" w:hAnsiTheme="majorHAnsi"/>
                <w:sz w:val="22"/>
                <w:szCs w:val="22"/>
                <w:lang w:val="en-AU"/>
              </w:rPr>
              <w:t>m</w:t>
            </w:r>
            <w:r w:rsidRPr="0028030D">
              <w:rPr>
                <w:rFonts w:asciiTheme="majorHAnsi" w:hAnsiTheme="majorHAnsi"/>
                <w:sz w:val="22"/>
                <w:szCs w:val="22"/>
                <w:lang w:val="en-AU"/>
              </w:rPr>
              <w:t>ore than two consecutive meetings</w:t>
            </w:r>
            <w:r>
              <w:rPr>
                <w:rFonts w:asciiTheme="majorHAnsi" w:hAnsiTheme="majorHAnsi"/>
                <w:sz w:val="22"/>
                <w:szCs w:val="22"/>
                <w:lang w:val="en-AU"/>
              </w:rPr>
              <w:t xml:space="preserve"> </w:t>
            </w:r>
            <w:r w:rsidRPr="00A71C67">
              <w:rPr>
                <w:rFonts w:asciiTheme="majorHAnsi" w:hAnsiTheme="majorHAnsi"/>
                <w:sz w:val="22"/>
                <w:szCs w:val="22"/>
                <w:lang w:val="en-AU"/>
              </w:rPr>
              <w:t>(see Annex C</w:t>
            </w:r>
            <w:r>
              <w:rPr>
                <w:rFonts w:asciiTheme="majorHAnsi" w:hAnsiTheme="majorHAnsi"/>
                <w:sz w:val="22"/>
                <w:szCs w:val="22"/>
                <w:lang w:val="en-AU"/>
              </w:rPr>
              <w:t>:</w:t>
            </w:r>
            <w:r w:rsidRPr="00A71C67">
              <w:rPr>
                <w:rFonts w:asciiTheme="majorHAnsi" w:hAnsiTheme="majorHAnsi"/>
                <w:sz w:val="22"/>
                <w:szCs w:val="22"/>
                <w:lang w:val="en-AU"/>
              </w:rPr>
              <w:t xml:space="preserve"> Charter CSC, section Terms). </w:t>
            </w:r>
            <w:r>
              <w:rPr>
                <w:rFonts w:asciiTheme="majorHAnsi" w:hAnsiTheme="majorHAnsi"/>
                <w:sz w:val="22"/>
                <w:szCs w:val="22"/>
                <w:lang w:val="en-AU"/>
              </w:rPr>
              <w:t xml:space="preserve"> </w:t>
            </w:r>
            <w:r w:rsidRPr="0028030D">
              <w:rPr>
                <w:rFonts w:asciiTheme="majorHAnsi" w:hAnsiTheme="majorHAnsi"/>
                <w:sz w:val="22"/>
                <w:szCs w:val="22"/>
                <w:lang w:val="en-AU"/>
              </w:rPr>
              <w:t>According to the attendance sheets (</w:t>
            </w:r>
            <w:hyperlink r:id="rId26" w:history="1">
              <w:r w:rsidRPr="00FE7B55">
                <w:rPr>
                  <w:rStyle w:val="Hyperlink"/>
                  <w:rFonts w:asciiTheme="majorHAnsi" w:hAnsiTheme="majorHAnsi" w:cstheme="majorHAnsi"/>
                  <w:sz w:val="22"/>
                  <w:szCs w:val="22"/>
                </w:rPr>
                <w:t>https://community.icann.org/display/CSC/Attendance</w:t>
              </w:r>
            </w:hyperlink>
            <w:r w:rsidRPr="00FE7B55">
              <w:rPr>
                <w:rFonts w:asciiTheme="majorHAnsi" w:hAnsiTheme="majorHAnsi" w:cstheme="majorHAnsi"/>
                <w:sz w:val="22"/>
                <w:szCs w:val="22"/>
              </w:rPr>
              <w:t>)</w:t>
            </w:r>
            <w:r w:rsidRPr="0028030D">
              <w:rPr>
                <w:rFonts w:asciiTheme="majorHAnsi" w:hAnsiTheme="majorHAnsi"/>
                <w:sz w:val="22"/>
                <w:szCs w:val="22"/>
                <w:lang w:val="en-AU"/>
              </w:rPr>
              <w:t xml:space="preserve">, not all liaisons attend regularly </w:t>
            </w:r>
            <w:r w:rsidRPr="0028030D">
              <w:rPr>
                <w:rFonts w:asciiTheme="majorHAnsi" w:hAnsiTheme="majorHAnsi" w:cstheme="majorHAnsi"/>
                <w:sz w:val="22"/>
                <w:szCs w:val="22"/>
                <w:lang w:val="en-AU"/>
              </w:rPr>
              <w:t xml:space="preserve">and do not meet the required minimum number of meetings. In accordance with the Charter, the Chair of the CSC is advised to inform the appointing organisation and / or </w:t>
            </w:r>
            <w:r w:rsidRPr="0028030D">
              <w:rPr>
                <w:rFonts w:asciiTheme="majorHAnsi" w:hAnsiTheme="majorHAnsi" w:cstheme="majorHAnsi"/>
                <w:sz w:val="22"/>
                <w:szCs w:val="22"/>
                <w:lang w:val="en-AU"/>
              </w:rPr>
              <w:lastRenderedPageBreak/>
              <w:t xml:space="preserve">request a replacement. It is unclear if the appointing organisations are aware of the low attendance rates. They are advised to check the attendance sheet regularly and to consider </w:t>
            </w:r>
            <w:r w:rsidRPr="00FE7B55">
              <w:rPr>
                <w:rFonts w:asciiTheme="majorHAnsi" w:hAnsiTheme="majorHAnsi" w:cstheme="majorHAnsi"/>
                <w:sz w:val="22"/>
                <w:szCs w:val="22"/>
              </w:rPr>
              <w:t>what they expect from their liaisons</w:t>
            </w:r>
            <w:r w:rsidRPr="0028030D">
              <w:rPr>
                <w:rFonts w:asciiTheme="majorHAnsi" w:hAnsiTheme="majorHAnsi" w:cstheme="majorHAnsi"/>
                <w:sz w:val="22"/>
                <w:szCs w:val="22"/>
                <w:lang w:val="en-AU"/>
              </w:rPr>
              <w:t>.</w:t>
            </w:r>
          </w:p>
        </w:tc>
        <w:tc>
          <w:tcPr>
            <w:tcW w:w="1276" w:type="dxa"/>
          </w:tcPr>
          <w:p w14:paraId="1DCB9AA9" w14:textId="3057F855" w:rsidR="002E1239" w:rsidRDefault="002E1239" w:rsidP="002E1239">
            <w:pPr>
              <w:rPr>
                <w:rFonts w:asciiTheme="majorHAnsi" w:hAnsiTheme="majorHAnsi"/>
                <w:sz w:val="22"/>
                <w:szCs w:val="22"/>
                <w:lang w:val="en-AU"/>
              </w:rPr>
            </w:pPr>
            <w:r>
              <w:rPr>
                <w:rFonts w:asciiTheme="majorHAnsi" w:hAnsiTheme="majorHAnsi"/>
                <w:sz w:val="22"/>
                <w:szCs w:val="22"/>
                <w:lang w:val="en-AU"/>
              </w:rPr>
              <w:lastRenderedPageBreak/>
              <w:t>Not achieved</w:t>
            </w:r>
          </w:p>
        </w:tc>
      </w:tr>
      <w:tr w:rsidR="002E1239" w:rsidRPr="00C54B2F" w14:paraId="7C7F53F1" w14:textId="26F8F5E1" w:rsidTr="002E1239">
        <w:tc>
          <w:tcPr>
            <w:tcW w:w="397" w:type="dxa"/>
          </w:tcPr>
          <w:p w14:paraId="0C32A6CB"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0E357E4F"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4304" w:type="dxa"/>
          </w:tcPr>
          <w:p w14:paraId="3BD2CEC2"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2152C28B" w14:textId="77777777" w:rsidR="002E1239" w:rsidRPr="00274E3D" w:rsidRDefault="002E1239"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7EFE0EB5"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27"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73872924" w14:textId="12C9432F" w:rsidR="002E1239" w:rsidRPr="00274E3D" w:rsidRDefault="002E1239" w:rsidP="002E1239">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23423FCB" w14:textId="77777777" w:rsidR="002E1239" w:rsidRPr="00274E3D" w:rsidRDefault="002E1239" w:rsidP="002E1239">
            <w:pPr>
              <w:spacing w:after="160" w:line="259" w:lineRule="auto"/>
              <w:rPr>
                <w:rFonts w:asciiTheme="majorHAnsi" w:eastAsia="Arial" w:hAnsiTheme="majorHAnsi" w:cstheme="majorHAnsi"/>
                <w:sz w:val="22"/>
                <w:szCs w:val="22"/>
              </w:rPr>
            </w:pPr>
          </w:p>
          <w:p w14:paraId="3F961002"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May, and where minimum attendance requirements are not being met, the Chair of the CSC formally notifies the appointing organization.</w:t>
            </w:r>
          </w:p>
          <w:p w14:paraId="7AF0FE94" w14:textId="77777777" w:rsidR="002E1239" w:rsidRPr="00274E3D" w:rsidRDefault="002E1239"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0A637C83"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lastRenderedPageBreak/>
              <w:t xml:space="preserve">In order to meet the attendance record it is documented: Also noted that CSC now meets at rotational schedule ( 10.00 UTC, 18.00 UTC and 02.00 UTC). Members understand need to attend. </w:t>
            </w:r>
          </w:p>
          <w:p w14:paraId="25AC7419"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8"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63EEB9FF" w14:textId="77777777" w:rsidR="002E1239" w:rsidRPr="00274E3D" w:rsidRDefault="002E1239" w:rsidP="002E1239">
            <w:pPr>
              <w:spacing w:after="160" w:line="259" w:lineRule="auto"/>
              <w:rPr>
                <w:rFonts w:asciiTheme="majorHAnsi" w:eastAsia="Arial" w:hAnsiTheme="majorHAnsi" w:cstheme="majorHAnsi"/>
                <w:sz w:val="22"/>
                <w:szCs w:val="22"/>
              </w:rPr>
            </w:pPr>
          </w:p>
          <w:p w14:paraId="58626073"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The CSC develop an overview of the skills and expertise required on the CSC, and map the skills of current members and liaisons against the required skill set to inform the selection process of the appointing organizations.</w:t>
            </w:r>
          </w:p>
          <w:p w14:paraId="511AFC6F" w14:textId="77777777" w:rsidR="002E1239" w:rsidRPr="00274E3D" w:rsidRDefault="002E1239"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1353144E"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53EAFFA"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9"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00F1FA24" w14:textId="77777777" w:rsidR="002E1239" w:rsidRPr="00274E3D" w:rsidRDefault="002E1239" w:rsidP="002E1239">
            <w:pPr>
              <w:spacing w:after="160" w:line="259" w:lineRule="auto"/>
              <w:rPr>
                <w:rFonts w:asciiTheme="majorHAnsi" w:eastAsia="Arial" w:hAnsiTheme="majorHAnsi" w:cstheme="majorHAnsi"/>
                <w:sz w:val="22"/>
                <w:szCs w:val="22"/>
              </w:rPr>
            </w:pPr>
          </w:p>
          <w:p w14:paraId="5E15F558"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lastRenderedPageBreak/>
              <w:t>Recommendation 4:</w:t>
            </w:r>
            <w:r w:rsidRPr="00274E3D">
              <w:rPr>
                <w:rFonts w:asciiTheme="majorHAnsi" w:eastAsia="Arial" w:hAnsiTheme="majorHAnsi" w:cstheme="majorHAnsi"/>
                <w:sz w:val="22"/>
                <w:szCs w:val="22"/>
              </w:rPr>
              <w:t xml:space="preserve"> The CSC develops an induction program that new members and liaisons are required to undertake.</w:t>
            </w:r>
          </w:p>
          <w:p w14:paraId="0B7208A4" w14:textId="77777777" w:rsidR="002E1239" w:rsidRPr="00274E3D" w:rsidRDefault="002E1239" w:rsidP="002E1239">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30C22816" w14:textId="77777777" w:rsidR="002E1239" w:rsidRPr="00274E3D" w:rsidRDefault="002E1239" w:rsidP="002E1239">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353B57E5" w14:textId="580D7EAA" w:rsidR="002E1239" w:rsidRPr="00274E3D" w:rsidRDefault="002E1239" w:rsidP="002E1239">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t xml:space="preserve">See: </w:t>
            </w:r>
            <w:hyperlink r:id="rId30"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1134" w:type="dxa"/>
          </w:tcPr>
          <w:p w14:paraId="40A7B2B3" w14:textId="77777777" w:rsidR="002E1239" w:rsidRDefault="002E1239" w:rsidP="002E1239">
            <w:pPr>
              <w:rPr>
                <w:rFonts w:asciiTheme="majorHAnsi" w:hAnsiTheme="majorHAnsi"/>
                <w:sz w:val="22"/>
                <w:szCs w:val="22"/>
                <w:lang w:val="en-AU"/>
              </w:rPr>
            </w:pPr>
          </w:p>
        </w:tc>
        <w:tc>
          <w:tcPr>
            <w:tcW w:w="4253" w:type="dxa"/>
          </w:tcPr>
          <w:p w14:paraId="3ADBA192" w14:textId="77777777" w:rsidR="002E1239" w:rsidRDefault="002E1239" w:rsidP="002E1239">
            <w:pPr>
              <w:rPr>
                <w:rFonts w:asciiTheme="majorHAnsi" w:hAnsiTheme="majorHAnsi"/>
                <w:sz w:val="22"/>
                <w:szCs w:val="22"/>
                <w:lang w:val="en-AU"/>
              </w:rPr>
            </w:pPr>
          </w:p>
        </w:tc>
        <w:tc>
          <w:tcPr>
            <w:tcW w:w="1276" w:type="dxa"/>
          </w:tcPr>
          <w:p w14:paraId="37FD70DC" w14:textId="77777777" w:rsidR="002E1239" w:rsidRDefault="002E1239" w:rsidP="002E1239">
            <w:pPr>
              <w:rPr>
                <w:rFonts w:asciiTheme="majorHAnsi" w:hAnsiTheme="majorHAnsi"/>
                <w:sz w:val="22"/>
                <w:szCs w:val="22"/>
                <w:lang w:val="en-AU"/>
              </w:rPr>
            </w:pPr>
          </w:p>
        </w:tc>
      </w:tr>
      <w:tr w:rsidR="002E1239" w:rsidRPr="00C54B2F" w14:paraId="0E890FC5" w14:textId="10DF83A3" w:rsidTr="002E1239">
        <w:tc>
          <w:tcPr>
            <w:tcW w:w="397" w:type="dxa"/>
          </w:tcPr>
          <w:p w14:paraId="0B5A255E"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FB58449" w14:textId="77777777"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NEW METRIC </w:t>
            </w:r>
          </w:p>
          <w:p w14:paraId="1C583455" w14:textId="61A0C3D4" w:rsidR="002E1239" w:rsidRPr="00274E3D" w:rsidRDefault="002E1239" w:rsidP="002E1239">
            <w:pPr>
              <w:rPr>
                <w:rFonts w:asciiTheme="majorHAnsi" w:hAnsiTheme="majorHAnsi" w:cstheme="majorHAnsi"/>
                <w:sz w:val="22"/>
                <w:szCs w:val="22"/>
                <w:lang w:val="en-AU"/>
              </w:rPr>
            </w:pPr>
            <w:r w:rsidRPr="00274E3D">
              <w:rPr>
                <w:rFonts w:asciiTheme="majorHAnsi" w:hAnsiTheme="majorHAnsi" w:cstheme="majorHAnsi"/>
                <w:sz w:val="22"/>
                <w:szCs w:val="22"/>
                <w:lang w:val="en-AU"/>
              </w:rPr>
              <w:t>Has Issue identified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Review been addressed?</w:t>
            </w:r>
          </w:p>
        </w:tc>
        <w:tc>
          <w:tcPr>
            <w:tcW w:w="4304" w:type="dxa"/>
          </w:tcPr>
          <w:p w14:paraId="30246AEC" w14:textId="77777777" w:rsidR="002E1239" w:rsidRDefault="002E1239" w:rsidP="002E1239">
            <w:pPr>
              <w:pStyle w:val="NormalWeb"/>
              <w:rPr>
                <w:rFonts w:ascii="Calibri" w:hAnsi="Calibri" w:cs="Calibri"/>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31" w:history="1">
              <w:r w:rsidRPr="008241F4">
                <w:rPr>
                  <w:rStyle w:val="Hyperlink"/>
                  <w:rFonts w:asciiTheme="majorHAnsi" w:eastAsia="Arial" w:hAnsiTheme="majorHAnsi" w:cstheme="majorHAnsi"/>
                  <w:sz w:val="22"/>
                  <w:szCs w:val="22"/>
                </w:rPr>
                <w:t>https://www.icann.org/en/system/files/files/csc-charter-amended-27jun18-en.pdf</w:t>
              </w:r>
            </w:hyperlink>
            <w:r>
              <w:rPr>
                <w:rFonts w:asciiTheme="majorHAnsi" w:eastAsia="Arial" w:hAnsiTheme="majorHAnsi" w:cstheme="majorHAnsi"/>
                <w:sz w:val="22"/>
                <w:szCs w:val="22"/>
              </w:rPr>
              <w:t xml:space="preserve"> ). “</w:t>
            </w:r>
            <w:r>
              <w:rPr>
                <w:rFonts w:ascii="Calibri" w:hAnsi="Calibri" w:cs="Calibri"/>
              </w:rPr>
              <w:t>The Chair of the CSC will be elected on an annual basis by the CSC. Ideally the Chair will be a direct customer of the IANA naming function, and cannot be the IANA Functions Operator Liaison.</w:t>
            </w:r>
            <w:r>
              <w:rPr>
                <w:rFonts w:ascii="Calibri" w:hAnsi="Calibri" w:cs="Calibri"/>
              </w:rPr>
              <w:t>”</w:t>
            </w:r>
            <w:r>
              <w:rPr>
                <w:rFonts w:ascii="Calibri" w:hAnsi="Calibri" w:cs="Calibri"/>
              </w:rPr>
              <w:t xml:space="preserve"> </w:t>
            </w:r>
            <w:r w:rsidRPr="002E1239">
              <w:rPr>
                <w:rFonts w:ascii="Calibri" w:hAnsi="Calibri" w:cs="Calibri"/>
                <w:sz w:val="22"/>
                <w:szCs w:val="22"/>
              </w:rPr>
              <w:t>This is also reflected in the</w:t>
            </w:r>
            <w:r>
              <w:rPr>
                <w:rFonts w:ascii="Calibri" w:hAnsi="Calibri" w:cs="Calibri"/>
              </w:rPr>
              <w:t xml:space="preserve"> CSC internal procedure on election of Chair and Vice-Chair (</w:t>
            </w:r>
            <w:hyperlink r:id="rId32" w:history="1">
              <w:r w:rsidRPr="008241F4">
                <w:rPr>
                  <w:rStyle w:val="Hyperlink"/>
                  <w:rFonts w:ascii="Calibri" w:hAnsi="Calibri" w:cs="Calibri"/>
                </w:rPr>
                <w:t>https://www.icann.org/en/system/files/files/csc-appointment-procedure-04nov19-en.pdf</w:t>
              </w:r>
            </w:hyperlink>
            <w:r>
              <w:rPr>
                <w:rFonts w:ascii="Calibri" w:hAnsi="Calibri" w:cs="Calibri"/>
              </w:rPr>
              <w:t xml:space="preserve">) . </w:t>
            </w:r>
          </w:p>
          <w:p w14:paraId="7EDC68A8" w14:textId="1C9C3831" w:rsidR="002E1239" w:rsidRPr="002E1239" w:rsidRDefault="002E1239" w:rsidP="002E1239">
            <w:pPr>
              <w:pStyle w:val="NormalWeb"/>
              <w:rPr>
                <w:lang w:val="en-BE"/>
              </w:rPr>
            </w:pPr>
          </w:p>
        </w:tc>
        <w:tc>
          <w:tcPr>
            <w:tcW w:w="1134" w:type="dxa"/>
          </w:tcPr>
          <w:p w14:paraId="68A7F5AE" w14:textId="77777777" w:rsidR="002E1239" w:rsidRDefault="002E1239" w:rsidP="002E1239">
            <w:pPr>
              <w:rPr>
                <w:rFonts w:asciiTheme="majorHAnsi" w:hAnsiTheme="majorHAnsi"/>
                <w:sz w:val="22"/>
                <w:szCs w:val="22"/>
                <w:lang w:val="en-AU"/>
              </w:rPr>
            </w:pPr>
          </w:p>
        </w:tc>
        <w:tc>
          <w:tcPr>
            <w:tcW w:w="4253" w:type="dxa"/>
          </w:tcPr>
          <w:p w14:paraId="1815B72A" w14:textId="77777777" w:rsidR="002E1239" w:rsidRDefault="002E1239" w:rsidP="002E1239">
            <w:pPr>
              <w:rPr>
                <w:rFonts w:asciiTheme="majorHAnsi" w:hAnsiTheme="majorHAnsi"/>
                <w:sz w:val="22"/>
                <w:szCs w:val="22"/>
                <w:lang w:val="en-AU"/>
              </w:rPr>
            </w:pPr>
          </w:p>
        </w:tc>
        <w:tc>
          <w:tcPr>
            <w:tcW w:w="1276" w:type="dxa"/>
          </w:tcPr>
          <w:p w14:paraId="69C9C447" w14:textId="77777777" w:rsidR="002E1239" w:rsidRDefault="002E1239" w:rsidP="002E1239">
            <w:pPr>
              <w:rPr>
                <w:rFonts w:asciiTheme="majorHAnsi" w:hAnsiTheme="majorHAnsi"/>
                <w:sz w:val="22"/>
                <w:szCs w:val="22"/>
                <w:lang w:val="en-AU"/>
              </w:rPr>
            </w:pPr>
          </w:p>
        </w:tc>
      </w:tr>
      <w:tr w:rsidR="002E1239" w:rsidRPr="00C54B2F" w14:paraId="45FEB6F5" w14:textId="7C7BBD3E" w:rsidTr="002E1239">
        <w:tc>
          <w:tcPr>
            <w:tcW w:w="397" w:type="dxa"/>
          </w:tcPr>
          <w:p w14:paraId="3E897EF0"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846CFFD" w14:textId="5A951A54" w:rsidR="002E1239"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BD79D05" w14:textId="3B1679AE" w:rsidR="002E1239" w:rsidRPr="00274E3D"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4304" w:type="dxa"/>
          </w:tcPr>
          <w:p w14:paraId="46FCDC1C" w14:textId="005444F3" w:rsidR="002E1239" w:rsidRPr="002E1239" w:rsidRDefault="002E1239" w:rsidP="002E1239">
            <w:pPr>
              <w:pStyle w:val="NormalWeb"/>
              <w:rPr>
                <w:rFonts w:asciiTheme="majorHAnsi" w:hAnsiTheme="majorHAnsi" w:cstheme="majorHAnsi"/>
                <w:sz w:val="22"/>
                <w:szCs w:val="22"/>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33" w:history="1">
              <w:r w:rsidRPr="008241F4">
                <w:rPr>
                  <w:rStyle w:val="Hyperlink"/>
                  <w:rFonts w:asciiTheme="majorHAnsi" w:eastAsia="Arial" w:hAnsiTheme="majorHAnsi" w:cstheme="majorHAnsi"/>
                  <w:sz w:val="22"/>
                  <w:szCs w:val="22"/>
                </w:rPr>
                <w:t>https://www.icann.org/en/system/files/files/csc-charter-amended-27jun18-en.pdf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Theme="majorHAnsi" w:hAnsiTheme="majorHAnsi" w:cstheme="majorHAnsi"/>
                <w:sz w:val="22"/>
                <w:szCs w:val="22"/>
              </w:rPr>
              <w:t>This is also reflected in the CSC internal procedure on election of Chair and Vice-Chair (</w:t>
            </w:r>
            <w:hyperlink r:id="rId34" w:history="1">
              <w:r w:rsidRPr="002E1239">
                <w:rPr>
                  <w:rStyle w:val="Hyperlink"/>
                  <w:rFonts w:asciiTheme="majorHAnsi" w:hAnsiTheme="majorHAnsi" w:cstheme="majorHAnsi"/>
                  <w:sz w:val="22"/>
                  <w:szCs w:val="22"/>
                </w:rPr>
                <w:t>https://www.icann.org/en/system/files/files/csc-appointment-procedure-04nov19-en.pdf</w:t>
              </w:r>
            </w:hyperlink>
            <w:r w:rsidRPr="002E1239">
              <w:rPr>
                <w:rFonts w:asciiTheme="majorHAnsi" w:hAnsiTheme="majorHAnsi" w:cstheme="majorHAnsi"/>
                <w:sz w:val="22"/>
                <w:szCs w:val="22"/>
              </w:rPr>
              <w:t>)</w:t>
            </w:r>
            <w:r w:rsidRPr="002E1239">
              <w:rPr>
                <w:rFonts w:asciiTheme="majorHAnsi" w:hAnsiTheme="majorHAnsi" w:cstheme="majorHAnsi"/>
                <w:sz w:val="22"/>
                <w:szCs w:val="22"/>
              </w:rPr>
              <w:t>.</w:t>
            </w:r>
          </w:p>
          <w:p w14:paraId="3BE5CC35" w14:textId="70965F7A" w:rsidR="002E1239" w:rsidRPr="002E1239" w:rsidRDefault="002E1239"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 xml:space="preserve">According to the Charter and internal procedure the  Chair </w:t>
            </w:r>
            <w:proofErr w:type="spellStart"/>
            <w:r w:rsidRPr="002E1239">
              <w:rPr>
                <w:rFonts w:asciiTheme="majorHAnsi" w:hAnsiTheme="majorHAnsi" w:cstheme="majorHAnsi"/>
                <w:sz w:val="22"/>
                <w:szCs w:val="22"/>
              </w:rPr>
              <w:t>can not</w:t>
            </w:r>
            <w:proofErr w:type="spellEnd"/>
            <w:r w:rsidRPr="002E1239">
              <w:rPr>
                <w:rFonts w:asciiTheme="majorHAnsi" w:hAnsiTheme="majorHAnsi" w:cstheme="majorHAnsi"/>
                <w:sz w:val="22"/>
                <w:szCs w:val="22"/>
              </w:rPr>
              <w:t xml:space="preserve"> be the IANA Function Liaison.</w:t>
            </w:r>
          </w:p>
          <w:p w14:paraId="71789E6B" w14:textId="53D9B831" w:rsidR="002E1239" w:rsidRPr="002E1239" w:rsidRDefault="002E1239" w:rsidP="002E1239">
            <w:pPr>
              <w:pStyle w:val="NormalWeb"/>
              <w:rPr>
                <w:rFonts w:asciiTheme="majorHAnsi" w:hAnsiTheme="majorHAnsi" w:cstheme="majorHAnsi"/>
                <w:sz w:val="22"/>
                <w:szCs w:val="22"/>
              </w:rPr>
            </w:pPr>
            <w:r w:rsidRPr="002E1239">
              <w:rPr>
                <w:rFonts w:asciiTheme="majorHAnsi" w:hAnsiTheme="majorHAnsi" w:cstheme="majorHAnsi"/>
                <w:sz w:val="22"/>
                <w:szCs w:val="22"/>
              </w:rPr>
              <w:t>In addition, the internal procedure of the CSC foresees the election of a vice-chair ( not foreseen in the charter).</w:t>
            </w:r>
          </w:p>
          <w:p w14:paraId="59AFAEDE" w14:textId="28C15066" w:rsidR="002E1239" w:rsidRPr="002E1239" w:rsidRDefault="002E1239" w:rsidP="002E1239">
            <w:pPr>
              <w:pStyle w:val="NormalWeb"/>
              <w:rPr>
                <w:rFonts w:asciiTheme="minorHAnsi" w:hAnsiTheme="minorHAnsi" w:cstheme="minorHAnsi"/>
                <w:sz w:val="22"/>
                <w:szCs w:val="22"/>
              </w:rPr>
            </w:pPr>
            <w:r w:rsidRPr="002E1239">
              <w:rPr>
                <w:rFonts w:asciiTheme="majorHAnsi" w:hAnsiTheme="majorHAnsi" w:cstheme="majorHAnsi"/>
                <w:sz w:val="22"/>
                <w:szCs w:val="22"/>
              </w:rPr>
              <w:t>The text in the current Charter and original 2016 Charter (</w:t>
            </w:r>
            <w:hyperlink r:id="rId35" w:history="1">
              <w:r w:rsidRPr="002E1239">
                <w:rPr>
                  <w:rStyle w:val="Hyperlink"/>
                  <w:rFonts w:asciiTheme="majorHAnsi" w:hAnsiTheme="majorHAnsi" w:cstheme="majorHAnsi"/>
                  <w:sz w:val="22"/>
                  <w:szCs w:val="22"/>
                </w:rPr>
                <w:t>https://www.icann.org/en/system/files/files/csc-charter-19sep18-en.pdf</w:t>
              </w:r>
            </w:hyperlink>
            <w:r w:rsidRPr="002E1239">
              <w:rPr>
                <w:rFonts w:asciiTheme="majorHAnsi" w:hAnsiTheme="majorHAnsi" w:cstheme="majorHAnsi"/>
                <w:sz w:val="22"/>
                <w:szCs w:val="22"/>
              </w:rPr>
              <w:t>) are the same.</w:t>
            </w:r>
          </w:p>
        </w:tc>
        <w:tc>
          <w:tcPr>
            <w:tcW w:w="1134" w:type="dxa"/>
          </w:tcPr>
          <w:p w14:paraId="43D463A0" w14:textId="77777777" w:rsidR="002E1239" w:rsidRDefault="002E1239" w:rsidP="002E1239">
            <w:pPr>
              <w:rPr>
                <w:rFonts w:asciiTheme="majorHAnsi" w:hAnsiTheme="majorHAnsi"/>
                <w:sz w:val="22"/>
                <w:szCs w:val="22"/>
                <w:lang w:val="en-AU"/>
              </w:rPr>
            </w:pPr>
          </w:p>
        </w:tc>
        <w:tc>
          <w:tcPr>
            <w:tcW w:w="4253" w:type="dxa"/>
          </w:tcPr>
          <w:p w14:paraId="4029AD98" w14:textId="77777777" w:rsidR="002E1239" w:rsidRDefault="002E1239" w:rsidP="002E1239">
            <w:pPr>
              <w:rPr>
                <w:rFonts w:asciiTheme="majorHAnsi" w:hAnsiTheme="majorHAnsi"/>
                <w:sz w:val="22"/>
                <w:szCs w:val="22"/>
                <w:lang w:val="en-AU"/>
              </w:rPr>
            </w:pPr>
          </w:p>
        </w:tc>
        <w:tc>
          <w:tcPr>
            <w:tcW w:w="1276" w:type="dxa"/>
          </w:tcPr>
          <w:p w14:paraId="3217F17B" w14:textId="77777777" w:rsidR="002E1239" w:rsidRDefault="002E1239" w:rsidP="002E1239">
            <w:pPr>
              <w:rPr>
                <w:rFonts w:asciiTheme="majorHAnsi" w:hAnsiTheme="majorHAnsi"/>
                <w:sz w:val="22"/>
                <w:szCs w:val="22"/>
                <w:lang w:val="en-AU"/>
              </w:rPr>
            </w:pPr>
          </w:p>
        </w:tc>
      </w:tr>
      <w:tr w:rsidR="002E1239" w:rsidRPr="00C54B2F" w14:paraId="7731490C" w14:textId="5B97BC32" w:rsidTr="002E1239">
        <w:tc>
          <w:tcPr>
            <w:tcW w:w="397" w:type="dxa"/>
          </w:tcPr>
          <w:p w14:paraId="3BC4395D"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5E2FC772" w14:textId="77777777" w:rsidR="002E1239"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0E405E6" w14:textId="54D3D8C4" w:rsidR="002E1239" w:rsidRPr="00274E3D"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 xml:space="preserve">Frequency of meetings in light of the workload: is </w:t>
            </w:r>
            <w:r>
              <w:rPr>
                <w:rFonts w:asciiTheme="majorHAnsi" w:hAnsiTheme="majorHAnsi" w:cstheme="majorHAnsi"/>
                <w:sz w:val="22"/>
                <w:szCs w:val="22"/>
                <w:lang w:val="en-AU"/>
              </w:rPr>
              <w:lastRenderedPageBreak/>
              <w:t>monthly meeting CSC still required?</w:t>
            </w:r>
          </w:p>
        </w:tc>
        <w:tc>
          <w:tcPr>
            <w:tcW w:w="4304" w:type="dxa"/>
          </w:tcPr>
          <w:p w14:paraId="06C32698" w14:textId="7AF5EA0B" w:rsidR="002E1239" w:rsidRPr="00274E3D" w:rsidRDefault="002E1239" w:rsidP="002E1239">
            <w:pPr>
              <w:rPr>
                <w:rFonts w:asciiTheme="majorHAnsi" w:hAnsiTheme="majorHAnsi" w:cstheme="majorHAnsi"/>
                <w:sz w:val="22"/>
                <w:szCs w:val="22"/>
                <w:highlight w:val="yellow"/>
                <w:lang w:val="en-AU"/>
              </w:rPr>
            </w:pPr>
          </w:p>
        </w:tc>
        <w:tc>
          <w:tcPr>
            <w:tcW w:w="1134" w:type="dxa"/>
          </w:tcPr>
          <w:p w14:paraId="07AC4720" w14:textId="77777777" w:rsidR="002E1239" w:rsidRDefault="002E1239" w:rsidP="002E1239">
            <w:pPr>
              <w:rPr>
                <w:rFonts w:asciiTheme="majorHAnsi" w:hAnsiTheme="majorHAnsi"/>
                <w:sz w:val="22"/>
                <w:szCs w:val="22"/>
                <w:lang w:val="en-AU"/>
              </w:rPr>
            </w:pPr>
          </w:p>
        </w:tc>
        <w:tc>
          <w:tcPr>
            <w:tcW w:w="4253" w:type="dxa"/>
          </w:tcPr>
          <w:p w14:paraId="790506DE" w14:textId="77777777" w:rsidR="002E1239" w:rsidRDefault="002E1239" w:rsidP="002E1239">
            <w:pPr>
              <w:rPr>
                <w:rFonts w:asciiTheme="majorHAnsi" w:hAnsiTheme="majorHAnsi"/>
                <w:sz w:val="22"/>
                <w:szCs w:val="22"/>
                <w:lang w:val="en-AU"/>
              </w:rPr>
            </w:pPr>
          </w:p>
        </w:tc>
        <w:tc>
          <w:tcPr>
            <w:tcW w:w="1276" w:type="dxa"/>
          </w:tcPr>
          <w:p w14:paraId="671BB310" w14:textId="77777777" w:rsidR="002E1239" w:rsidRDefault="002E1239" w:rsidP="002E1239">
            <w:pPr>
              <w:rPr>
                <w:rFonts w:asciiTheme="majorHAnsi" w:hAnsiTheme="majorHAnsi"/>
                <w:sz w:val="22"/>
                <w:szCs w:val="22"/>
                <w:lang w:val="en-AU"/>
              </w:rPr>
            </w:pPr>
          </w:p>
        </w:tc>
      </w:tr>
      <w:tr w:rsidR="002E1239" w:rsidRPr="00C54B2F" w14:paraId="54C2484B" w14:textId="2CB1520B" w:rsidTr="002E1239">
        <w:tc>
          <w:tcPr>
            <w:tcW w:w="397" w:type="dxa"/>
          </w:tcPr>
          <w:p w14:paraId="12C914C0"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6619639B" w14:textId="77777777" w:rsidR="002E1239"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472DC70B" w14:textId="1A1A237A" w:rsidR="002E1239" w:rsidRPr="00274E3D"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4304" w:type="dxa"/>
          </w:tcPr>
          <w:p w14:paraId="4239BACD" w14:textId="77777777" w:rsidR="002E1239" w:rsidRPr="00274E3D" w:rsidRDefault="002E1239" w:rsidP="002E1239">
            <w:pPr>
              <w:rPr>
                <w:rFonts w:asciiTheme="majorHAnsi" w:hAnsiTheme="majorHAnsi" w:cstheme="majorHAnsi"/>
                <w:sz w:val="22"/>
                <w:szCs w:val="22"/>
                <w:highlight w:val="yellow"/>
                <w:lang w:val="en-AU"/>
              </w:rPr>
            </w:pPr>
          </w:p>
        </w:tc>
        <w:tc>
          <w:tcPr>
            <w:tcW w:w="1134" w:type="dxa"/>
          </w:tcPr>
          <w:p w14:paraId="3BC02117" w14:textId="77777777" w:rsidR="002E1239" w:rsidRDefault="002E1239" w:rsidP="002E1239">
            <w:pPr>
              <w:rPr>
                <w:rFonts w:asciiTheme="majorHAnsi" w:hAnsiTheme="majorHAnsi"/>
                <w:sz w:val="22"/>
                <w:szCs w:val="22"/>
                <w:lang w:val="en-AU"/>
              </w:rPr>
            </w:pPr>
          </w:p>
        </w:tc>
        <w:tc>
          <w:tcPr>
            <w:tcW w:w="4253" w:type="dxa"/>
          </w:tcPr>
          <w:p w14:paraId="0E0C4004" w14:textId="77777777" w:rsidR="002E1239" w:rsidRDefault="002E1239" w:rsidP="002E1239">
            <w:pPr>
              <w:rPr>
                <w:rFonts w:asciiTheme="majorHAnsi" w:hAnsiTheme="majorHAnsi"/>
                <w:sz w:val="22"/>
                <w:szCs w:val="22"/>
                <w:lang w:val="en-AU"/>
              </w:rPr>
            </w:pPr>
          </w:p>
        </w:tc>
        <w:tc>
          <w:tcPr>
            <w:tcW w:w="1276" w:type="dxa"/>
          </w:tcPr>
          <w:p w14:paraId="29A532AF" w14:textId="77777777" w:rsidR="002E1239" w:rsidRDefault="002E1239" w:rsidP="002E1239">
            <w:pPr>
              <w:rPr>
                <w:rFonts w:asciiTheme="majorHAnsi" w:hAnsiTheme="majorHAnsi"/>
                <w:sz w:val="22"/>
                <w:szCs w:val="22"/>
                <w:lang w:val="en-AU"/>
              </w:rPr>
            </w:pPr>
          </w:p>
        </w:tc>
      </w:tr>
      <w:tr w:rsidR="002E1239" w:rsidRPr="00C54B2F" w14:paraId="3CA825A2" w14:textId="41963060" w:rsidTr="002E1239">
        <w:tc>
          <w:tcPr>
            <w:tcW w:w="397" w:type="dxa"/>
          </w:tcPr>
          <w:p w14:paraId="17FF20BF" w14:textId="77777777" w:rsidR="002E1239" w:rsidRPr="00C54B2F" w:rsidRDefault="002E1239" w:rsidP="002E1239">
            <w:pPr>
              <w:pStyle w:val="ListParagraph"/>
              <w:numPr>
                <w:ilvl w:val="0"/>
                <w:numId w:val="2"/>
              </w:numPr>
              <w:spacing w:before="0" w:beforeAutospacing="0" w:after="0" w:afterAutospacing="0"/>
              <w:contextualSpacing/>
              <w:rPr>
                <w:rFonts w:asciiTheme="majorHAnsi" w:hAnsiTheme="majorHAnsi"/>
                <w:sz w:val="22"/>
                <w:szCs w:val="22"/>
                <w:lang w:val="en-AU"/>
              </w:rPr>
            </w:pPr>
          </w:p>
        </w:tc>
        <w:tc>
          <w:tcPr>
            <w:tcW w:w="2665" w:type="dxa"/>
          </w:tcPr>
          <w:p w14:paraId="2C17E3FE" w14:textId="77777777" w:rsidR="002E1239"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197EFA5" w14:textId="7B0C90B2" w:rsidR="002E1239" w:rsidRDefault="002E1239" w:rsidP="002E1239">
            <w:pPr>
              <w:rPr>
                <w:rFonts w:asciiTheme="majorHAnsi" w:hAnsiTheme="majorHAnsi" w:cstheme="majorHAnsi"/>
                <w:sz w:val="22"/>
                <w:szCs w:val="22"/>
                <w:lang w:val="en-AU"/>
              </w:rPr>
            </w:pPr>
            <w:r>
              <w:rPr>
                <w:rFonts w:asciiTheme="majorHAnsi" w:hAnsiTheme="majorHAnsi" w:cstheme="majorHAnsi"/>
                <w:sz w:val="22"/>
                <w:szCs w:val="22"/>
                <w:lang w:val="en-AU"/>
              </w:rPr>
              <w:t>Scope of CSC: is the scope of activities still beneficial to the effectiveness of the CSC?</w:t>
            </w:r>
          </w:p>
        </w:tc>
        <w:tc>
          <w:tcPr>
            <w:tcW w:w="4304" w:type="dxa"/>
          </w:tcPr>
          <w:p w14:paraId="2CD15686" w14:textId="77777777" w:rsidR="002E1239" w:rsidRPr="00274E3D" w:rsidRDefault="002E1239" w:rsidP="002E1239">
            <w:pPr>
              <w:rPr>
                <w:rFonts w:asciiTheme="majorHAnsi" w:hAnsiTheme="majorHAnsi" w:cstheme="majorHAnsi"/>
                <w:sz w:val="22"/>
                <w:szCs w:val="22"/>
                <w:highlight w:val="yellow"/>
                <w:lang w:val="en-AU"/>
              </w:rPr>
            </w:pPr>
          </w:p>
        </w:tc>
        <w:tc>
          <w:tcPr>
            <w:tcW w:w="1134" w:type="dxa"/>
          </w:tcPr>
          <w:p w14:paraId="75F11464" w14:textId="77777777" w:rsidR="002E1239" w:rsidRDefault="002E1239" w:rsidP="002E1239">
            <w:pPr>
              <w:rPr>
                <w:rFonts w:asciiTheme="majorHAnsi" w:hAnsiTheme="majorHAnsi"/>
                <w:sz w:val="22"/>
                <w:szCs w:val="22"/>
                <w:lang w:val="en-AU"/>
              </w:rPr>
            </w:pPr>
          </w:p>
        </w:tc>
        <w:tc>
          <w:tcPr>
            <w:tcW w:w="4253" w:type="dxa"/>
          </w:tcPr>
          <w:p w14:paraId="3CDD649B" w14:textId="77777777" w:rsidR="002E1239" w:rsidRDefault="002E1239" w:rsidP="002E1239">
            <w:pPr>
              <w:rPr>
                <w:rFonts w:asciiTheme="majorHAnsi" w:hAnsiTheme="majorHAnsi"/>
                <w:sz w:val="22"/>
                <w:szCs w:val="22"/>
                <w:lang w:val="en-AU"/>
              </w:rPr>
            </w:pPr>
          </w:p>
        </w:tc>
        <w:tc>
          <w:tcPr>
            <w:tcW w:w="1276" w:type="dxa"/>
          </w:tcPr>
          <w:p w14:paraId="39CAB3AF" w14:textId="77777777" w:rsidR="002E1239" w:rsidRDefault="002E1239" w:rsidP="002E1239">
            <w:pPr>
              <w:rPr>
                <w:rFonts w:asciiTheme="majorHAnsi" w:hAnsiTheme="majorHAnsi"/>
                <w:sz w:val="22"/>
                <w:szCs w:val="22"/>
                <w:lang w:val="en-AU"/>
              </w:rPr>
            </w:pPr>
          </w:p>
        </w:tc>
      </w:tr>
    </w:tbl>
    <w:p w14:paraId="38CC5AEE" w14:textId="77777777" w:rsidR="009B5198" w:rsidRPr="00C54B2F" w:rsidRDefault="009B5198" w:rsidP="009B5198">
      <w:pPr>
        <w:rPr>
          <w:rFonts w:asciiTheme="majorHAnsi" w:hAnsiTheme="majorHAnsi"/>
          <w:sz w:val="22"/>
          <w:szCs w:val="22"/>
          <w:lang w:val="en-AU"/>
        </w:rPr>
      </w:pPr>
    </w:p>
    <w:p w14:paraId="095F2567" w14:textId="77777777" w:rsidR="00FA21E4" w:rsidRDefault="006801FA"/>
    <w:sectPr w:rsidR="00FA21E4" w:rsidSect="002E1239">
      <w:footerReference w:type="even" r:id="rId36"/>
      <w:footerReference w:type="default" r:id="rId37"/>
      <w:pgSz w:w="1682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1446" w14:textId="77777777" w:rsidR="006801FA" w:rsidRDefault="006801FA" w:rsidP="009B5198">
      <w:r>
        <w:separator/>
      </w:r>
    </w:p>
  </w:endnote>
  <w:endnote w:type="continuationSeparator" w:id="0">
    <w:p w14:paraId="5BC9DC52" w14:textId="77777777" w:rsidR="006801FA" w:rsidRDefault="006801FA" w:rsidP="009B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99B45" w14:textId="77777777" w:rsidR="000F7270" w:rsidRDefault="00AB7B94" w:rsidP="006D4D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7CC3" w14:textId="77777777" w:rsidR="000F7270" w:rsidRDefault="006801FA" w:rsidP="006563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7E29F" w14:textId="77777777" w:rsidR="006D4D39" w:rsidRDefault="00AB7B94" w:rsidP="00F55A5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72FDD29D" w14:textId="0031FDB8" w:rsidR="000F7270" w:rsidRDefault="009B5198" w:rsidP="006563D2">
    <w:pPr>
      <w:pStyle w:val="Footer"/>
      <w:ind w:right="360"/>
    </w:pPr>
    <w:r>
      <w:rPr>
        <w:rStyle w:val="PageNumber"/>
      </w:rPr>
      <w:t>Version</w:t>
    </w:r>
    <w:r w:rsidR="000F7873">
      <w:rPr>
        <w:rStyle w:val="PageNumber"/>
      </w:rPr>
      <w:t xml:space="preserve"> </w:t>
    </w:r>
    <w:r w:rsidR="002E1239">
      <w:rPr>
        <w:rStyle w:val="PageNumber"/>
      </w:rPr>
      <w:t>1</w:t>
    </w:r>
    <w:r>
      <w:rPr>
        <w:rStyle w:val="PageNumber"/>
      </w:rPr>
      <w:t xml:space="preserve">, </w:t>
    </w:r>
    <w:r w:rsidR="002E1239">
      <w:rPr>
        <w:rStyle w:val="PageNumber"/>
      </w:rPr>
      <w:t>25</w:t>
    </w:r>
    <w:r>
      <w:rPr>
        <w:rStyle w:val="PageNumber"/>
      </w:rPr>
      <w:t xml:space="preserve"> November </w:t>
    </w:r>
    <w:r w:rsidR="00AB7B94">
      <w:rPr>
        <w:rStyle w:val="PageNumber"/>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7802" w14:textId="77777777" w:rsidR="006801FA" w:rsidRDefault="006801FA" w:rsidP="009B5198">
      <w:r>
        <w:separator/>
      </w:r>
    </w:p>
  </w:footnote>
  <w:footnote w:type="continuationSeparator" w:id="0">
    <w:p w14:paraId="6341D3B6" w14:textId="77777777" w:rsidR="006801FA" w:rsidRDefault="006801FA" w:rsidP="009B5198">
      <w:r>
        <w:continuationSeparator/>
      </w:r>
    </w:p>
  </w:footnote>
  <w:footnote w:id="1">
    <w:p w14:paraId="78858FEF" w14:textId="77777777" w:rsidR="002E1239" w:rsidRPr="00BD46C8" w:rsidRDefault="002E1239" w:rsidP="009F25C4">
      <w:pPr>
        <w:pStyle w:val="Default"/>
        <w:rPr>
          <w:rFonts w:asciiTheme="majorHAnsi" w:hAnsiTheme="majorHAnsi" w:cstheme="majorHAnsi"/>
          <w:sz w:val="18"/>
          <w:szCs w:val="18"/>
        </w:rPr>
      </w:pPr>
      <w:r w:rsidRPr="00BD46C8">
        <w:rPr>
          <w:rStyle w:val="FootnoteReference"/>
          <w:rFonts w:asciiTheme="majorHAnsi" w:hAnsiTheme="majorHAnsi" w:cstheme="majorHAnsi"/>
          <w:sz w:val="22"/>
          <w:szCs w:val="22"/>
        </w:rPr>
        <w:footnoteRef/>
      </w:r>
      <w:r w:rsidRPr="00BD46C8">
        <w:rPr>
          <w:rFonts w:asciiTheme="majorHAnsi" w:hAnsiTheme="majorHAnsi" w:cstheme="majorHAnsi"/>
          <w:sz w:val="22"/>
          <w:szCs w:val="22"/>
        </w:rPr>
        <w:t xml:space="preserve"> </w:t>
      </w:r>
      <w:r w:rsidRPr="00BD46C8">
        <w:rPr>
          <w:rFonts w:asciiTheme="majorHAnsi" w:hAnsiTheme="majorHAnsi" w:cstheme="majorHAnsi"/>
          <w:sz w:val="18"/>
          <w:szCs w:val="18"/>
        </w:rPr>
        <w:t>The RT notes that over time different terms have been used to refer to the agreed Service Levels, for example Service levels Expectations, Service Levels Agreements or “SLAs”. For avoidance of doubt the RT will use the term “SLAs” to refer to the agreed Service Levels, which are currently referenced in section 4.4.(a) of the current version of the IANA Naming Function Contract  (dated 30 September 2016), as Contractor ( “PTI”) shall perform the IANA Naming Function in a stable and secure manner and in accordance with the SOW. Further, according to the SOW ( Annex A to the Contract), Contractor (“PTI”) shall perform the Services in accordance with the following “Service Levels”.  However, after the envisioned amendment of the IANA Naming Function Contract refer to “</w:t>
      </w:r>
      <w:r w:rsidRPr="00BD46C8">
        <w:rPr>
          <w:rFonts w:asciiTheme="majorHAnsi" w:eastAsia="Times New Roman" w:hAnsiTheme="majorHAnsi" w:cstheme="majorHAnsi"/>
          <w:sz w:val="18"/>
          <w:szCs w:val="18"/>
        </w:rPr>
        <w:t xml:space="preserve">Contractor will perform all services relating to Root Zone Management in accordance with the requirements and “Service Levels” specified at [link to icann.org page] (the “SLAs”), as such [services and] SLAs may be amended from time to time in accordance with the procedures specified at [link to icann.org page].” </w:t>
      </w:r>
    </w:p>
    <w:p w14:paraId="36EFC72D" w14:textId="77777777" w:rsidR="002E1239" w:rsidRDefault="002E1239" w:rsidP="009F25C4">
      <w:pPr>
        <w:pStyle w:val="Default"/>
      </w:pPr>
    </w:p>
    <w:p w14:paraId="27B8CCDC" w14:textId="77777777" w:rsidR="002E1239" w:rsidRDefault="002E1239" w:rsidP="009F25C4">
      <w:pPr>
        <w:pStyle w:val="Default"/>
      </w:pPr>
    </w:p>
    <w:p w14:paraId="7797E0A5" w14:textId="77777777" w:rsidR="002E1239" w:rsidRDefault="002E1239" w:rsidP="009F25C4">
      <w:pPr>
        <w:pStyle w:val="FootnoteText"/>
      </w:pPr>
      <w:r>
        <w:rPr>
          <w:sz w:val="23"/>
          <w:szCs w:val="23"/>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92634F"/>
    <w:multiLevelType w:val="hybridMultilevel"/>
    <w:tmpl w:val="4A0293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198"/>
    <w:rsid w:val="00052DB8"/>
    <w:rsid w:val="000B0EDD"/>
    <w:rsid w:val="000F7873"/>
    <w:rsid w:val="00114996"/>
    <w:rsid w:val="00153097"/>
    <w:rsid w:val="00195485"/>
    <w:rsid w:val="001E118B"/>
    <w:rsid w:val="00240E3C"/>
    <w:rsid w:val="00274E3D"/>
    <w:rsid w:val="002E1239"/>
    <w:rsid w:val="002E5CC9"/>
    <w:rsid w:val="003A70D9"/>
    <w:rsid w:val="003B7DE6"/>
    <w:rsid w:val="004E1B9D"/>
    <w:rsid w:val="00677EA2"/>
    <w:rsid w:val="006801FA"/>
    <w:rsid w:val="006E1740"/>
    <w:rsid w:val="008D4E2B"/>
    <w:rsid w:val="009B5198"/>
    <w:rsid w:val="009B5980"/>
    <w:rsid w:val="009E67F3"/>
    <w:rsid w:val="00A10E94"/>
    <w:rsid w:val="00AB7B94"/>
    <w:rsid w:val="00B22CC1"/>
    <w:rsid w:val="00B2699F"/>
    <w:rsid w:val="00B40FF3"/>
    <w:rsid w:val="00B4364D"/>
    <w:rsid w:val="00B57AA4"/>
    <w:rsid w:val="00C450FC"/>
    <w:rsid w:val="00C64F89"/>
    <w:rsid w:val="00D01EF8"/>
    <w:rsid w:val="00D86F8C"/>
    <w:rsid w:val="00DD680A"/>
    <w:rsid w:val="00E028C2"/>
    <w:rsid w:val="00E7191E"/>
    <w:rsid w:val="00F11C4D"/>
    <w:rsid w:val="00F146FF"/>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597DC713"/>
  <w15:chartTrackingRefBased/>
  <w15:docId w15:val="{4B082DD9-90FA-D448-BD6B-90A4D715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198"/>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5198"/>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9B5198"/>
    <w:pPr>
      <w:tabs>
        <w:tab w:val="center" w:pos="4680"/>
        <w:tab w:val="right" w:pos="9360"/>
      </w:tabs>
    </w:pPr>
  </w:style>
  <w:style w:type="character" w:customStyle="1" w:styleId="FooterChar">
    <w:name w:val="Footer Char"/>
    <w:basedOn w:val="DefaultParagraphFont"/>
    <w:link w:val="Footer"/>
    <w:uiPriority w:val="99"/>
    <w:rsid w:val="009B5198"/>
    <w:rPr>
      <w:lang w:val="en-US"/>
    </w:rPr>
  </w:style>
  <w:style w:type="character" w:styleId="PageNumber">
    <w:name w:val="page number"/>
    <w:basedOn w:val="DefaultParagraphFont"/>
    <w:uiPriority w:val="99"/>
    <w:semiHidden/>
    <w:unhideWhenUsed/>
    <w:rsid w:val="009B5198"/>
  </w:style>
  <w:style w:type="table" w:styleId="TableGrid">
    <w:name w:val="Table Grid"/>
    <w:basedOn w:val="TableNormal"/>
    <w:uiPriority w:val="59"/>
    <w:rsid w:val="009B5198"/>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5198"/>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9B5198"/>
    <w:pPr>
      <w:tabs>
        <w:tab w:val="center" w:pos="4513"/>
        <w:tab w:val="right" w:pos="9026"/>
      </w:tabs>
    </w:pPr>
  </w:style>
  <w:style w:type="character" w:customStyle="1" w:styleId="HeaderChar">
    <w:name w:val="Header Char"/>
    <w:basedOn w:val="DefaultParagraphFont"/>
    <w:link w:val="Header"/>
    <w:uiPriority w:val="99"/>
    <w:rsid w:val="009B5198"/>
    <w:rPr>
      <w:lang w:val="en-US"/>
    </w:rPr>
  </w:style>
  <w:style w:type="character" w:styleId="Hyperlink">
    <w:name w:val="Hyperlink"/>
    <w:basedOn w:val="DefaultParagraphFont"/>
    <w:uiPriority w:val="99"/>
    <w:unhideWhenUsed/>
    <w:rsid w:val="000F7873"/>
    <w:rPr>
      <w:color w:val="0563C1" w:themeColor="hyperlink"/>
      <w:u w:val="single"/>
    </w:rPr>
  </w:style>
  <w:style w:type="character" w:styleId="UnresolvedMention">
    <w:name w:val="Unresolved Mention"/>
    <w:basedOn w:val="DefaultParagraphFont"/>
    <w:uiPriority w:val="99"/>
    <w:semiHidden/>
    <w:unhideWhenUsed/>
    <w:rsid w:val="000F7873"/>
    <w:rPr>
      <w:color w:val="605E5C"/>
      <w:shd w:val="clear" w:color="auto" w:fill="E1DFDD"/>
    </w:rPr>
  </w:style>
  <w:style w:type="character" w:styleId="FollowedHyperlink">
    <w:name w:val="FollowedHyperlink"/>
    <w:basedOn w:val="DefaultParagraphFont"/>
    <w:uiPriority w:val="99"/>
    <w:semiHidden/>
    <w:unhideWhenUsed/>
    <w:rsid w:val="000F7873"/>
    <w:rPr>
      <w:color w:val="954F72" w:themeColor="followedHyperlink"/>
      <w:u w:val="single"/>
    </w:rPr>
  </w:style>
  <w:style w:type="paragraph" w:styleId="FootnoteText">
    <w:name w:val="footnote text"/>
    <w:basedOn w:val="Normal"/>
    <w:link w:val="FootnoteTextChar"/>
    <w:uiPriority w:val="99"/>
    <w:semiHidden/>
    <w:unhideWhenUsed/>
    <w:rsid w:val="002E1239"/>
    <w:rPr>
      <w:sz w:val="20"/>
      <w:szCs w:val="20"/>
    </w:rPr>
  </w:style>
  <w:style w:type="character" w:customStyle="1" w:styleId="FootnoteTextChar">
    <w:name w:val="Footnote Text Char"/>
    <w:basedOn w:val="DefaultParagraphFont"/>
    <w:link w:val="FootnoteText"/>
    <w:uiPriority w:val="99"/>
    <w:semiHidden/>
    <w:rsid w:val="002E1239"/>
    <w:rPr>
      <w:rFonts w:eastAsiaTheme="minorEastAsia"/>
      <w:sz w:val="20"/>
      <w:szCs w:val="20"/>
      <w:lang w:val="en-US"/>
    </w:rPr>
  </w:style>
  <w:style w:type="character" w:styleId="FootnoteReference">
    <w:name w:val="footnote reference"/>
    <w:basedOn w:val="DefaultParagraphFont"/>
    <w:uiPriority w:val="99"/>
    <w:semiHidden/>
    <w:unhideWhenUsed/>
    <w:rsid w:val="002E1239"/>
    <w:rPr>
      <w:vertAlign w:val="superscript"/>
    </w:rPr>
  </w:style>
  <w:style w:type="paragraph" w:customStyle="1" w:styleId="Default">
    <w:name w:val="Default"/>
    <w:rsid w:val="002E1239"/>
    <w:pPr>
      <w:autoSpaceDE w:val="0"/>
      <w:autoSpaceDN w:val="0"/>
      <w:adjustRightInd w:val="0"/>
    </w:pPr>
    <w:rPr>
      <w:rFonts w:ascii="Times New Roman" w:eastAsiaTheme="minorEastAsia" w:hAnsi="Times New Roman" w:cs="Times New Roman"/>
      <w:color w:val="000000"/>
      <w:lang w:val="en-US"/>
    </w:rPr>
  </w:style>
  <w:style w:type="character" w:customStyle="1" w:styleId="apple-converted-space">
    <w:name w:val="apple-converted-space"/>
    <w:basedOn w:val="DefaultParagraphFont"/>
    <w:rsid w:val="002E1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850351">
      <w:bodyDiv w:val="1"/>
      <w:marLeft w:val="0"/>
      <w:marRight w:val="0"/>
      <w:marTop w:val="0"/>
      <w:marBottom w:val="0"/>
      <w:divBdr>
        <w:top w:val="none" w:sz="0" w:space="0" w:color="auto"/>
        <w:left w:val="none" w:sz="0" w:space="0" w:color="auto"/>
        <w:bottom w:val="none" w:sz="0" w:space="0" w:color="auto"/>
        <w:right w:val="none" w:sz="0" w:space="0" w:color="auto"/>
      </w:divBdr>
      <w:divsChild>
        <w:div w:id="477504235">
          <w:marLeft w:val="0"/>
          <w:marRight w:val="0"/>
          <w:marTop w:val="0"/>
          <w:marBottom w:val="0"/>
          <w:divBdr>
            <w:top w:val="none" w:sz="0" w:space="0" w:color="auto"/>
            <w:left w:val="none" w:sz="0" w:space="0" w:color="auto"/>
            <w:bottom w:val="none" w:sz="0" w:space="0" w:color="auto"/>
            <w:right w:val="none" w:sz="0" w:space="0" w:color="auto"/>
          </w:divBdr>
          <w:divsChild>
            <w:div w:id="55859430">
              <w:marLeft w:val="0"/>
              <w:marRight w:val="0"/>
              <w:marTop w:val="0"/>
              <w:marBottom w:val="0"/>
              <w:divBdr>
                <w:top w:val="none" w:sz="0" w:space="0" w:color="auto"/>
                <w:left w:val="none" w:sz="0" w:space="0" w:color="auto"/>
                <w:bottom w:val="none" w:sz="0" w:space="0" w:color="auto"/>
                <w:right w:val="none" w:sz="0" w:space="0" w:color="auto"/>
              </w:divBdr>
              <w:divsChild>
                <w:div w:id="137797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630777">
      <w:bodyDiv w:val="1"/>
      <w:marLeft w:val="0"/>
      <w:marRight w:val="0"/>
      <w:marTop w:val="0"/>
      <w:marBottom w:val="0"/>
      <w:divBdr>
        <w:top w:val="none" w:sz="0" w:space="0" w:color="auto"/>
        <w:left w:val="none" w:sz="0" w:space="0" w:color="auto"/>
        <w:bottom w:val="none" w:sz="0" w:space="0" w:color="auto"/>
        <w:right w:val="none" w:sz="0" w:space="0" w:color="auto"/>
      </w:divBdr>
      <w:divsChild>
        <w:div w:id="1214657813">
          <w:marLeft w:val="0"/>
          <w:marRight w:val="0"/>
          <w:marTop w:val="0"/>
          <w:marBottom w:val="0"/>
          <w:divBdr>
            <w:top w:val="none" w:sz="0" w:space="0" w:color="auto"/>
            <w:left w:val="none" w:sz="0" w:space="0" w:color="auto"/>
            <w:bottom w:val="none" w:sz="0" w:space="0" w:color="auto"/>
            <w:right w:val="none" w:sz="0" w:space="0" w:color="auto"/>
          </w:divBdr>
          <w:divsChild>
            <w:div w:id="910039908">
              <w:marLeft w:val="0"/>
              <w:marRight w:val="0"/>
              <w:marTop w:val="0"/>
              <w:marBottom w:val="0"/>
              <w:divBdr>
                <w:top w:val="none" w:sz="0" w:space="0" w:color="auto"/>
                <w:left w:val="none" w:sz="0" w:space="0" w:color="auto"/>
                <w:bottom w:val="none" w:sz="0" w:space="0" w:color="auto"/>
                <w:right w:val="none" w:sz="0" w:space="0" w:color="auto"/>
              </w:divBdr>
              <w:divsChild>
                <w:div w:id="1747678361">
                  <w:marLeft w:val="0"/>
                  <w:marRight w:val="0"/>
                  <w:marTop w:val="0"/>
                  <w:marBottom w:val="0"/>
                  <w:divBdr>
                    <w:top w:val="none" w:sz="0" w:space="0" w:color="auto"/>
                    <w:left w:val="none" w:sz="0" w:space="0" w:color="auto"/>
                    <w:bottom w:val="none" w:sz="0" w:space="0" w:color="auto"/>
                    <w:right w:val="none" w:sz="0" w:space="0" w:color="auto"/>
                  </w:divBdr>
                  <w:divsChild>
                    <w:div w:id="14441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iana-naming-function-sla-amendment-process-28mar19-en.pdf" TargetMode="External"/><Relationship Id="rId18" Type="http://schemas.openxmlformats.org/officeDocument/2006/relationships/hyperlink" Target="https://community.icann.org/display/CSC/14+April+2021" TargetMode="External"/><Relationship Id="rId26" Type="http://schemas.openxmlformats.org/officeDocument/2006/relationships/hyperlink" Target="https://community.icann.org/display/CSC/Attendance" TargetMode="External"/><Relationship Id="rId39" Type="http://schemas.openxmlformats.org/officeDocument/2006/relationships/theme" Target="theme/theme1.xml"/><Relationship Id="rId21" Type="http://schemas.openxmlformats.org/officeDocument/2006/relationships/hyperlink" Target="https://www.icann.org/uploads/iana_work_session_asset/attachment/1027/1631302836785Agenda_and_Notes_CSC_Meeting_45_-_18_November_2020.pdf" TargetMode="External"/><Relationship Id="rId34" Type="http://schemas.openxmlformats.org/officeDocument/2006/relationships/hyperlink" Target="https://www.icann.org/en/system/files/files/csc-appointment-procedure-04nov19-en.pdf" TargetMode="External"/><Relationship Id="rId7" Type="http://schemas.openxmlformats.org/officeDocument/2006/relationships/hyperlink" Target="https://www.icann.org/csc" TargetMode="External"/><Relationship Id="rId12" Type="http://schemas.openxmlformats.org/officeDocument/2006/relationships/hyperlink" Target="https://www.icann.org/csc" TargetMode="External"/><Relationship Id="rId17" Type="http://schemas.openxmlformats.org/officeDocument/2006/relationships/hyperlink" Target="https://www.icann.org/en/csc/complaints" TargetMode="External"/><Relationship Id="rId25" Type="http://schemas.openxmlformats.org/officeDocument/2006/relationships/hyperlink" Target="https://community.icann.org/display/CSC/Attendance?preview=/84216784/180028098/CSC_Attendance%20Tracker%202020_2021%20JAN-%20OCT.xlsx" TargetMode="External"/><Relationship Id="rId33" Type="http://schemas.openxmlformats.org/officeDocument/2006/relationships/hyperlink" Target="https://www.icann.org/en/system/files/files/csc-charter-amended-27jun18-en.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icann.org/en/system/files/files/csc-remedial-action-procedures-03mar18-en.pdf" TargetMode="External"/><Relationship Id="rId20" Type="http://schemas.openxmlformats.org/officeDocument/2006/relationships/hyperlink" Target="https://www.icann.org/en/system/files/files/iana-naming-function-sla-amendment-process-28mar19-en.pdf" TargetMode="External"/><Relationship Id="rId29" Type="http://schemas.openxmlformats.org/officeDocument/2006/relationships/hyperlink" Target="https://www.icann.org/en/system/files/files/csc-skill-set-matrix-members-liaisons-04jun19-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uploads/iana_work_session_asset/attachment/1029/1631302896622Agenda_and_Notes_CSC_Meeting_47-_17_February_2021.pdf" TargetMode="External"/><Relationship Id="rId24" Type="http://schemas.openxmlformats.org/officeDocument/2006/relationships/hyperlink" Target="https://community.icann.org/display/CSC/Attendance" TargetMode="External"/><Relationship Id="rId32" Type="http://schemas.openxmlformats.org/officeDocument/2006/relationships/hyperlink" Target="https://www.icann.org/en/system/files/files/csc-appointment-procedure-04nov19-en.pdf"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icann.org/en/system/files/files/csc-charter-amended-27jun18-en.pdf" TargetMode="External"/><Relationship Id="rId23" Type="http://schemas.openxmlformats.org/officeDocument/2006/relationships/hyperlink" Target="https://community.icann.org/display/CSC/Attendance?preview=/84216784/180028098/CSC_Attendance%20Tracker%202020_2021%20JAN-%20OCT.xlsx" TargetMode="External"/><Relationship Id="rId28" Type="http://schemas.openxmlformats.org/officeDocument/2006/relationships/hyperlink" Target="https://community.icann.org/display/CSC/Attendance" TargetMode="External"/><Relationship Id="rId36" Type="http://schemas.openxmlformats.org/officeDocument/2006/relationships/footer" Target="footer1.xml"/><Relationship Id="rId10" Type="http://schemas.openxmlformats.org/officeDocument/2006/relationships/hyperlink" Target="https://www.icann.org/iana_csc_docs/519-csc-findings-of-pti-performance-december-2020-v-1" TargetMode="External"/><Relationship Id="rId19" Type="http://schemas.openxmlformats.org/officeDocument/2006/relationships/hyperlink" Target="https://www.icann.org/uploads/iana_work_session_asset/attachment/1025/1631302807621Agenda_and_Notes_CSC_Meeting_44_October_2020.pdf" TargetMode="External"/><Relationship Id="rId31" Type="http://schemas.openxmlformats.org/officeDocument/2006/relationships/hyperlink" Target="https://www.icann.org/en/system/files/files/csc-charter-amended-27jun18-en.pdf" TargetMode="External"/><Relationship Id="rId4" Type="http://schemas.openxmlformats.org/officeDocument/2006/relationships/webSettings" Target="webSettings.xml"/><Relationship Id="rId9" Type="http://schemas.openxmlformats.org/officeDocument/2006/relationships/hyperlink" Target="https://www.icann.org/en/system/files/files/guideline-csc-practices-24mar17-en.pdf" TargetMode="External"/><Relationship Id="rId14" Type="http://schemas.openxmlformats.org/officeDocument/2006/relationships/hyperlink" Target="https://www.icann.org/en/system/files/files/csc-remedial-action-procedures-19feb19-en.pdf" TargetMode="External"/><Relationship Id="rId22" Type="http://schemas.openxmlformats.org/officeDocument/2006/relationships/hyperlink" Target="https://community.icann.org/display/ifr/Review+Team+Composition" TargetMode="External"/><Relationship Id="rId27" Type="http://schemas.openxmlformats.org/officeDocument/2006/relationships/hyperlink" Target="https://www.icann.org/en/csc/complaints" TargetMode="External"/><Relationship Id="rId30" Type="http://schemas.openxmlformats.org/officeDocument/2006/relationships/hyperlink" Target="https://www.icann.org/en/system/files/files/csc-overview-members-liaisons-04jun19-en.pdf" TargetMode="External"/><Relationship Id="rId35" Type="http://schemas.openxmlformats.org/officeDocument/2006/relationships/hyperlink" Target="https://www.icann.org/en/system/files/files/csc-charter-19sep18-en.pdf" TargetMode="External"/><Relationship Id="rId8" Type="http://schemas.openxmlformats.org/officeDocument/2006/relationships/hyperlink" Target="https://www.icann.org/en/csc/report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13</Pages>
  <Words>2857</Words>
  <Characters>16286</Characters>
  <Application>Microsoft Office Word</Application>
  <DocSecurity>0</DocSecurity>
  <Lines>135</Lines>
  <Paragraphs>38</Paragraphs>
  <ScaleCrop>false</ScaleCrop>
  <Company/>
  <LinksUpToDate>false</LinksUpToDate>
  <CharactersWithSpaces>19105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2021-11-25T09:13:00Z</dcterms:created>
  <dcterms:modified xsi:type="dcterms:W3CDTF">2021-11-25T09:45:00Z</dcterms:modified>
</cp:coreProperties>
</file>