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7240" w14:textId="77777777" w:rsidR="00BD27EC" w:rsidRPr="001A449F" w:rsidRDefault="00BD27EC" w:rsidP="009C3554">
      <w:pPr>
        <w:pStyle w:val="Title"/>
        <w:rPr>
          <w:rFonts w:ascii="Arial" w:hAnsi="Arial" w:cs="Arial"/>
        </w:rPr>
      </w:pPr>
    </w:p>
    <w:p w14:paraId="3B56BF84" w14:textId="03A5C549" w:rsidR="001A449F" w:rsidRPr="00D00A98" w:rsidRDefault="001A449F" w:rsidP="00FC6C27">
      <w:pPr>
        <w:outlineLvl w:val="0"/>
        <w:rPr>
          <w:rFonts w:ascii="Arial" w:hAnsi="Arial"/>
          <w:b/>
        </w:rPr>
      </w:pPr>
      <w:commentRangeStart w:id="0"/>
      <w:r w:rsidRPr="00D00A98">
        <w:rPr>
          <w:rFonts w:ascii="Arial" w:hAnsi="Arial"/>
          <w:b/>
        </w:rPr>
        <w:t xml:space="preserve">IFO SLA </w:t>
      </w:r>
      <w:commentRangeEnd w:id="0"/>
      <w:r w:rsidR="00FA553A">
        <w:rPr>
          <w:rStyle w:val="CommentReference"/>
        </w:rPr>
        <w:commentReference w:id="0"/>
      </w:r>
      <w:r w:rsidRPr="00D00A98">
        <w:rPr>
          <w:rFonts w:ascii="Arial" w:hAnsi="Arial"/>
          <w:b/>
        </w:rPr>
        <w:t>Change Procedure</w:t>
      </w:r>
      <w:r w:rsidR="00FC6C27">
        <w:rPr>
          <w:rFonts w:ascii="Arial" w:hAnsi="Arial"/>
          <w:b/>
        </w:rPr>
        <w:t>s</w:t>
      </w:r>
    </w:p>
    <w:p w14:paraId="09FE029F" w14:textId="77777777" w:rsidR="00D00A98" w:rsidRDefault="00D00A98" w:rsidP="001A449F">
      <w:pPr>
        <w:rPr>
          <w:rFonts w:ascii="Arial" w:hAnsi="Arial"/>
        </w:rPr>
      </w:pPr>
    </w:p>
    <w:p w14:paraId="70B7552A" w14:textId="2E017E6A" w:rsidR="00D00A98" w:rsidRPr="00D00A9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>
        <w:rPr>
          <w:rFonts w:ascii="Arial" w:hAnsi="Arial"/>
          <w:u w:val="single"/>
        </w:rPr>
        <w:t xml:space="preserve"> 1 -</w:t>
      </w:r>
      <w:r w:rsidR="00D00A98" w:rsidRPr="00D00A98">
        <w:rPr>
          <w:rFonts w:ascii="Arial" w:hAnsi="Arial"/>
          <w:u w:val="single"/>
        </w:rPr>
        <w:t xml:space="preserve"> </w:t>
      </w:r>
      <w:commentRangeStart w:id="1"/>
      <w:r w:rsidR="00D00A98" w:rsidRPr="00D00A98">
        <w:rPr>
          <w:rFonts w:ascii="Arial" w:hAnsi="Arial"/>
          <w:u w:val="single"/>
        </w:rPr>
        <w:t xml:space="preserve">New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</w:t>
      </w:r>
      <w:commentRangeEnd w:id="1"/>
      <w:r w:rsidR="000275AA">
        <w:rPr>
          <w:rStyle w:val="CommentReference"/>
        </w:rPr>
        <w:commentReference w:id="1"/>
      </w:r>
    </w:p>
    <w:p w14:paraId="444B306E" w14:textId="77777777" w:rsidR="001A449F" w:rsidRPr="001A449F" w:rsidRDefault="001A449F" w:rsidP="001A449F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D00A98" w:rsidRPr="001A449F" w14:paraId="59A3AB97" w14:textId="77777777" w:rsidTr="00D00A98">
        <w:tc>
          <w:tcPr>
            <w:tcW w:w="1689" w:type="pct"/>
            <w:shd w:val="clear" w:color="auto" w:fill="BFBFBF" w:themeFill="background1" w:themeFillShade="BF"/>
          </w:tcPr>
          <w:p w14:paraId="138DD5B0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34B7FBA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426FE4A7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D00A98" w:rsidRPr="001A449F" w14:paraId="79D94345" w14:textId="77777777" w:rsidTr="00D00A98">
        <w:tc>
          <w:tcPr>
            <w:tcW w:w="1689" w:type="pct"/>
          </w:tcPr>
          <w:p w14:paraId="76FAA049" w14:textId="77777777" w:rsidR="00D00A98" w:rsidRDefault="00D00A98" w:rsidP="001A449F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 w:rsidRPr="001A449F">
              <w:rPr>
                <w:rFonts w:ascii="Arial" w:hAnsi="Arial"/>
              </w:rPr>
              <w:t>Definition</w:t>
            </w:r>
          </w:p>
          <w:p w14:paraId="07E407F6" w14:textId="330AD8E4" w:rsidR="00D00A98" w:rsidRPr="001A449F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Definition of what to measure and how to measure it.</w:t>
            </w:r>
            <w:r w:rsidR="00960D23">
              <w:rPr>
                <w:rFonts w:ascii="Arial" w:hAnsi="Arial"/>
              </w:rPr>
              <w:t xml:space="preserve"> </w:t>
            </w:r>
          </w:p>
        </w:tc>
        <w:tc>
          <w:tcPr>
            <w:tcW w:w="1745" w:type="pct"/>
          </w:tcPr>
          <w:p w14:paraId="52120A2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191C9DAA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needs to be measured and why</w:t>
            </w:r>
          </w:p>
        </w:tc>
      </w:tr>
      <w:tr w:rsidR="00D00A98" w:rsidRPr="001A449F" w14:paraId="3B31CD07" w14:textId="77777777" w:rsidTr="00D00A98">
        <w:tc>
          <w:tcPr>
            <w:tcW w:w="1689" w:type="pct"/>
          </w:tcPr>
          <w:p w14:paraId="0FED82C4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5BE4D6E" w14:textId="523C6A44" w:rsidR="00D00A98" w:rsidRPr="00D00A98" w:rsidRDefault="00D00A98" w:rsidP="00780D39">
            <w:pPr>
              <w:rPr>
                <w:rFonts w:ascii="Arial" w:hAnsi="Arial"/>
              </w:rPr>
            </w:pPr>
            <w:commentRangeStart w:id="2"/>
            <w:r>
              <w:rPr>
                <w:rFonts w:ascii="Arial" w:hAnsi="Arial"/>
              </w:rPr>
              <w:t>Collection of baseline measurements of performance used to inform next step</w:t>
            </w:r>
            <w:commentRangeEnd w:id="2"/>
            <w:r w:rsidR="000275AA">
              <w:rPr>
                <w:rStyle w:val="CommentReference"/>
              </w:rPr>
              <w:commentReference w:id="2"/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10AD3F98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616D5A65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D00A98" w:rsidRPr="001A449F" w14:paraId="6B4403F1" w14:textId="77777777" w:rsidTr="00D00A98">
        <w:tc>
          <w:tcPr>
            <w:tcW w:w="1689" w:type="pct"/>
          </w:tcPr>
          <w:p w14:paraId="00935472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commentRangeStart w:id="3"/>
            <w:r>
              <w:rPr>
                <w:rFonts w:ascii="Arial" w:hAnsi="Arial"/>
              </w:rPr>
              <w:t>Target negotiation</w:t>
            </w:r>
            <w:commentRangeEnd w:id="3"/>
            <w:r w:rsidR="00FA553A">
              <w:rPr>
                <w:rStyle w:val="CommentReference"/>
              </w:rPr>
              <w:commentReference w:id="3"/>
            </w:r>
          </w:p>
          <w:p w14:paraId="2F1B5728" w14:textId="64764F45" w:rsidR="00D00A98" w:rsidRPr="00D00A98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new </w:t>
            </w:r>
            <w:r w:rsidR="00E815FA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46EB66C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4FD2F669" w14:textId="77777777" w:rsidR="00D00A98" w:rsidRPr="001A449F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D00A98" w:rsidRPr="001A449F" w14:paraId="2421A052" w14:textId="77777777" w:rsidTr="00D00A98">
        <w:tc>
          <w:tcPr>
            <w:tcW w:w="1689" w:type="pct"/>
          </w:tcPr>
          <w:p w14:paraId="2B5820AD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6EEA4484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C537A95" w14:textId="77777777" w:rsidR="00D00A98" w:rsidRPr="001A449F" w:rsidRDefault="00D00A98" w:rsidP="001A449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9927F12" w14:textId="77777777" w:rsidR="00D00A98" w:rsidRPr="001A449F" w:rsidRDefault="00D00A98" w:rsidP="001A449F">
            <w:pPr>
              <w:rPr>
                <w:rFonts w:ascii="Arial" w:hAnsi="Arial"/>
              </w:rPr>
            </w:pPr>
            <w:commentRangeStart w:id="4"/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  <w:commentRangeEnd w:id="4"/>
            <w:r w:rsidR="00FA553A">
              <w:rPr>
                <w:rStyle w:val="CommentReference"/>
              </w:rPr>
              <w:commentReference w:id="4"/>
            </w:r>
          </w:p>
        </w:tc>
      </w:tr>
      <w:tr w:rsidR="005A16C4" w:rsidRPr="001A449F" w14:paraId="09FA059D" w14:textId="77777777" w:rsidTr="00D00A98">
        <w:tc>
          <w:tcPr>
            <w:tcW w:w="1689" w:type="pct"/>
          </w:tcPr>
          <w:p w14:paraId="391027E8" w14:textId="77777777" w:rsidR="005A16C4" w:rsidRDefault="005A16C4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Implementation</w:t>
            </w:r>
          </w:p>
          <w:p w14:paraId="3BD7B903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5DE177BD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2DBB6AB9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57B619AC" w14:textId="77777777" w:rsidR="001A449F" w:rsidRDefault="001A449F" w:rsidP="001A449F">
      <w:pPr>
        <w:rPr>
          <w:rFonts w:ascii="Arial" w:hAnsi="Arial"/>
        </w:rPr>
      </w:pPr>
    </w:p>
    <w:p w14:paraId="0003B9D3" w14:textId="77777777" w:rsidR="005A16C4" w:rsidRPr="001A449F" w:rsidRDefault="005A16C4" w:rsidP="001A449F">
      <w:pPr>
        <w:rPr>
          <w:rFonts w:ascii="Arial" w:hAnsi="Arial"/>
        </w:rPr>
      </w:pPr>
    </w:p>
    <w:p w14:paraId="29FC7B11" w14:textId="73CCA031" w:rsidR="003219D8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D00A98" w:rsidRPr="005A16C4">
        <w:rPr>
          <w:rFonts w:ascii="Arial" w:hAnsi="Arial"/>
          <w:u w:val="single"/>
        </w:rPr>
        <w:t xml:space="preserve"> </w:t>
      </w:r>
      <w:r w:rsidR="005A16C4">
        <w:rPr>
          <w:rFonts w:ascii="Arial" w:hAnsi="Arial"/>
          <w:u w:val="single"/>
        </w:rPr>
        <w:t xml:space="preserve">2 </w:t>
      </w:r>
      <w:r w:rsidR="00D00A98" w:rsidRPr="005A16C4">
        <w:rPr>
          <w:rFonts w:ascii="Arial" w:hAnsi="Arial"/>
          <w:u w:val="single"/>
        </w:rPr>
        <w:t>–</w:t>
      </w:r>
      <w:r w:rsidR="005A16C4" w:rsidRPr="005A16C4">
        <w:rPr>
          <w:rFonts w:ascii="Arial" w:hAnsi="Arial"/>
          <w:u w:val="single"/>
        </w:rPr>
        <w:t xml:space="preserve"> Change</w:t>
      </w:r>
      <w:r w:rsidR="00D00A98" w:rsidRPr="005A16C4">
        <w:rPr>
          <w:rFonts w:ascii="Arial" w:hAnsi="Arial"/>
          <w:u w:val="single"/>
        </w:rPr>
        <w:t xml:space="preserve">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 definition and target/threshold</w:t>
      </w:r>
    </w:p>
    <w:p w14:paraId="560A037B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5A16C4" w:rsidRPr="001A449F" w14:paraId="382238FA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59347836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CF48EC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5D1635FE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6943848B" w14:textId="77777777" w:rsidTr="00BD27EC">
        <w:tc>
          <w:tcPr>
            <w:tcW w:w="1689" w:type="pct"/>
          </w:tcPr>
          <w:p w14:paraId="13F0914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Re-d</w:t>
            </w:r>
            <w:r w:rsidRPr="001A449F">
              <w:rPr>
                <w:rFonts w:ascii="Arial" w:hAnsi="Arial"/>
              </w:rPr>
              <w:t>efinition</w:t>
            </w:r>
          </w:p>
          <w:p w14:paraId="0F02556B" w14:textId="77777777" w:rsidR="005A16C4" w:rsidRPr="001A449F" w:rsidRDefault="005A16C4" w:rsidP="00BD27EC">
            <w:pPr>
              <w:rPr>
                <w:rFonts w:ascii="Arial" w:hAnsi="Arial"/>
              </w:rPr>
            </w:pPr>
            <w:commentRangeStart w:id="5"/>
            <w:r>
              <w:rPr>
                <w:rFonts w:ascii="Arial" w:hAnsi="Arial"/>
              </w:rPr>
              <w:t>Re-definition of what to measure and how to measure it.</w:t>
            </w:r>
            <w:commentRangeEnd w:id="5"/>
            <w:r w:rsidR="00FA553A">
              <w:rPr>
                <w:rStyle w:val="CommentReference"/>
              </w:rPr>
              <w:commentReference w:id="5"/>
            </w:r>
          </w:p>
        </w:tc>
        <w:tc>
          <w:tcPr>
            <w:tcW w:w="1745" w:type="pct"/>
          </w:tcPr>
          <w:p w14:paraId="6793B0AD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27EDCFA4" w14:textId="77777777" w:rsidR="005A16C4" w:rsidRPr="001A449F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need for changed definition and what that should be</w:t>
            </w:r>
          </w:p>
        </w:tc>
      </w:tr>
      <w:tr w:rsidR="005A16C4" w:rsidRPr="001A449F" w14:paraId="111E5062" w14:textId="77777777" w:rsidTr="00BD27EC">
        <w:tc>
          <w:tcPr>
            <w:tcW w:w="1689" w:type="pct"/>
          </w:tcPr>
          <w:p w14:paraId="27346963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0BBD39B" w14:textId="0B89CE4D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Collection of baseline measurements of performance used to inform next step</w:t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60B1B693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1CB61A5E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5A16C4" w:rsidRPr="001A449F" w14:paraId="67890D36" w14:textId="77777777" w:rsidTr="00BD27EC">
        <w:tc>
          <w:tcPr>
            <w:tcW w:w="1689" w:type="pct"/>
          </w:tcPr>
          <w:p w14:paraId="52FE76F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07271137" w14:textId="447A5666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Negotiate target and threshold for SLA compliance of this new </w:t>
            </w:r>
            <w:r w:rsidR="007948A8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00CC2DE5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CSC in negotiation with IFO</w:t>
            </w:r>
          </w:p>
        </w:tc>
        <w:tc>
          <w:tcPr>
            <w:tcW w:w="1566" w:type="pct"/>
          </w:tcPr>
          <w:p w14:paraId="3409658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directly consults with respective customer </w:t>
            </w:r>
            <w:r>
              <w:rPr>
                <w:rFonts w:ascii="Arial" w:hAnsi="Arial"/>
              </w:rPr>
              <w:lastRenderedPageBreak/>
              <w:t>communities on what target and threshold should be.</w:t>
            </w:r>
          </w:p>
        </w:tc>
      </w:tr>
      <w:tr w:rsidR="005A16C4" w:rsidRPr="001A449F" w14:paraId="7DFCE933" w14:textId="77777777" w:rsidTr="00BD27EC">
        <w:tc>
          <w:tcPr>
            <w:tcW w:w="1689" w:type="pct"/>
          </w:tcPr>
          <w:p w14:paraId="0FCCD12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Community consultation</w:t>
            </w:r>
          </w:p>
          <w:p w14:paraId="3F80C958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4AB8F854" w14:textId="77777777" w:rsidR="005A16C4" w:rsidRPr="001A449F" w:rsidRDefault="005A16C4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351B93AB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5A16C4" w:rsidRPr="001A449F" w14:paraId="2ED76033" w14:textId="77777777" w:rsidTr="00BD27EC">
        <w:tc>
          <w:tcPr>
            <w:tcW w:w="1689" w:type="pct"/>
          </w:tcPr>
          <w:p w14:paraId="6A8B40D0" w14:textId="77777777" w:rsidR="005A16C4" w:rsidRP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7B424BFE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396A46B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3D277C4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1792450B" w14:textId="77777777" w:rsidR="005A16C4" w:rsidRDefault="005A16C4" w:rsidP="003219D8">
      <w:pPr>
        <w:rPr>
          <w:rFonts w:ascii="Arial" w:hAnsi="Arial"/>
        </w:rPr>
      </w:pPr>
    </w:p>
    <w:p w14:paraId="616F7988" w14:textId="77777777" w:rsidR="005A16C4" w:rsidRDefault="005A16C4" w:rsidP="003219D8">
      <w:pPr>
        <w:rPr>
          <w:rFonts w:ascii="Arial" w:hAnsi="Arial"/>
        </w:rPr>
      </w:pPr>
    </w:p>
    <w:p w14:paraId="0C963BA3" w14:textId="5153B240" w:rsidR="005A16C4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 w:rsidRPr="005A16C4">
        <w:rPr>
          <w:rFonts w:ascii="Arial" w:hAnsi="Arial"/>
          <w:u w:val="single"/>
        </w:rPr>
        <w:t xml:space="preserve"> 3 –</w:t>
      </w:r>
      <w:r w:rsidR="00AB7809">
        <w:rPr>
          <w:rFonts w:ascii="Arial" w:hAnsi="Arial"/>
          <w:u w:val="single"/>
        </w:rPr>
        <w:t xml:space="preserve"> </w:t>
      </w:r>
      <w:commentRangeStart w:id="6"/>
      <w:r w:rsidR="00AB7809">
        <w:rPr>
          <w:rFonts w:ascii="Arial" w:hAnsi="Arial"/>
          <w:u w:val="single"/>
        </w:rPr>
        <w:t xml:space="preserve">Change SLA </w:t>
      </w:r>
      <w:r w:rsidR="007948A8">
        <w:rPr>
          <w:rFonts w:ascii="Arial" w:hAnsi="Arial"/>
          <w:u w:val="single"/>
        </w:rPr>
        <w:t xml:space="preserve">Item </w:t>
      </w:r>
      <w:r w:rsidR="00AB7809">
        <w:rPr>
          <w:rFonts w:ascii="Arial" w:hAnsi="Arial"/>
          <w:u w:val="single"/>
        </w:rPr>
        <w:t>target/threshold</w:t>
      </w:r>
      <w:r w:rsidR="007948A8">
        <w:rPr>
          <w:rFonts w:ascii="Arial" w:hAnsi="Arial"/>
          <w:u w:val="single"/>
        </w:rPr>
        <w:t xml:space="preserve"> only</w:t>
      </w:r>
      <w:commentRangeEnd w:id="6"/>
      <w:r w:rsidR="000275AA">
        <w:rPr>
          <w:rStyle w:val="CommentReference"/>
        </w:rPr>
        <w:commentReference w:id="6"/>
      </w:r>
    </w:p>
    <w:p w14:paraId="7A7A9EE6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8"/>
        <w:gridCol w:w="2912"/>
        <w:gridCol w:w="2696"/>
      </w:tblGrid>
      <w:tr w:rsidR="005A16C4" w:rsidRPr="001A449F" w14:paraId="04A50701" w14:textId="77777777" w:rsidTr="005A16C4">
        <w:tc>
          <w:tcPr>
            <w:tcW w:w="1707" w:type="pct"/>
            <w:shd w:val="clear" w:color="auto" w:fill="BFBFBF" w:themeFill="background1" w:themeFillShade="BF"/>
          </w:tcPr>
          <w:p w14:paraId="4D2ED0B8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10" w:type="pct"/>
            <w:shd w:val="clear" w:color="auto" w:fill="BFBFBF" w:themeFill="background1" w:themeFillShade="BF"/>
          </w:tcPr>
          <w:p w14:paraId="180A03BB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83" w:type="pct"/>
            <w:shd w:val="clear" w:color="auto" w:fill="BFBFBF" w:themeFill="background1" w:themeFillShade="BF"/>
          </w:tcPr>
          <w:p w14:paraId="533DCB1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55FD6788" w14:textId="77777777" w:rsidTr="005A16C4">
        <w:tc>
          <w:tcPr>
            <w:tcW w:w="1707" w:type="pct"/>
          </w:tcPr>
          <w:p w14:paraId="4A0A5614" w14:textId="77777777" w:rsid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09951742" w14:textId="41CFFBC5" w:rsidR="005A16C4" w:rsidRPr="00D00A98" w:rsidRDefault="005A16C4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</w:t>
            </w:r>
            <w:r w:rsidR="007948A8">
              <w:rPr>
                <w:rFonts w:ascii="Arial" w:hAnsi="Arial"/>
              </w:rPr>
              <w:t>existing SLA Item</w:t>
            </w:r>
          </w:p>
        </w:tc>
        <w:tc>
          <w:tcPr>
            <w:tcW w:w="1710" w:type="pct"/>
          </w:tcPr>
          <w:p w14:paraId="37A9F83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83" w:type="pct"/>
          </w:tcPr>
          <w:p w14:paraId="0EA473DC" w14:textId="77777777" w:rsidR="005A16C4" w:rsidRPr="001A449F" w:rsidRDefault="005A16C4" w:rsidP="00BD27EC">
            <w:pPr>
              <w:rPr>
                <w:rFonts w:ascii="Arial" w:hAnsi="Arial"/>
              </w:rPr>
            </w:pPr>
            <w:commentRangeStart w:id="7"/>
            <w:r>
              <w:rPr>
                <w:rFonts w:ascii="Arial" w:hAnsi="Arial"/>
              </w:rPr>
              <w:t>CSC directly consults with respective customer communities on what target and threshold should be.</w:t>
            </w:r>
            <w:commentRangeEnd w:id="7"/>
            <w:r w:rsidR="000275AA">
              <w:rPr>
                <w:rStyle w:val="CommentReference"/>
              </w:rPr>
              <w:commentReference w:id="7"/>
            </w:r>
          </w:p>
        </w:tc>
      </w:tr>
      <w:tr w:rsidR="005A16C4" w:rsidRPr="001A449F" w14:paraId="3E69E000" w14:textId="77777777" w:rsidTr="005A16C4">
        <w:tc>
          <w:tcPr>
            <w:tcW w:w="1707" w:type="pct"/>
          </w:tcPr>
          <w:p w14:paraId="7579B77A" w14:textId="77777777" w:rsidR="005A16C4" w:rsidRP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commentRangeStart w:id="8"/>
            <w:r w:rsidRPr="005A16C4">
              <w:rPr>
                <w:rFonts w:ascii="Arial" w:hAnsi="Arial"/>
              </w:rPr>
              <w:t>Implementation</w:t>
            </w:r>
            <w:commentRangeEnd w:id="8"/>
            <w:r w:rsidR="000275AA">
              <w:rPr>
                <w:rStyle w:val="CommentReference"/>
              </w:rPr>
              <w:commentReference w:id="8"/>
            </w:r>
          </w:p>
          <w:p w14:paraId="5980B2D0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10" w:type="pct"/>
          </w:tcPr>
          <w:p w14:paraId="3958BA31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83" w:type="pct"/>
          </w:tcPr>
          <w:p w14:paraId="1BEBC178" w14:textId="40BC121A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twice yearly report</w:t>
            </w:r>
          </w:p>
        </w:tc>
      </w:tr>
    </w:tbl>
    <w:p w14:paraId="7EC33DCF" w14:textId="77777777" w:rsidR="005A16C4" w:rsidRDefault="005A16C4" w:rsidP="003219D8">
      <w:pPr>
        <w:rPr>
          <w:rFonts w:ascii="Arial" w:hAnsi="Arial"/>
        </w:rPr>
      </w:pPr>
    </w:p>
    <w:p w14:paraId="7C8C3266" w14:textId="77777777" w:rsidR="00623DBF" w:rsidRDefault="00623DBF" w:rsidP="003219D8">
      <w:pPr>
        <w:rPr>
          <w:rFonts w:ascii="Arial" w:hAnsi="Arial"/>
        </w:rPr>
      </w:pPr>
    </w:p>
    <w:p w14:paraId="29767342" w14:textId="3D290FFB" w:rsidR="00623DBF" w:rsidRPr="007948A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623DBF" w:rsidRPr="007948A8">
        <w:rPr>
          <w:rFonts w:ascii="Arial" w:hAnsi="Arial"/>
          <w:u w:val="single"/>
        </w:rPr>
        <w:t xml:space="preserve"> 4 – </w:t>
      </w:r>
      <w:commentRangeStart w:id="9"/>
      <w:r w:rsidR="00623DBF" w:rsidRPr="007948A8">
        <w:rPr>
          <w:rFonts w:ascii="Arial" w:hAnsi="Arial"/>
          <w:u w:val="single"/>
        </w:rPr>
        <w:t xml:space="preserve">Remove </w:t>
      </w:r>
      <w:r w:rsidR="007948A8" w:rsidRPr="007948A8">
        <w:rPr>
          <w:rFonts w:ascii="Arial" w:hAnsi="Arial"/>
          <w:u w:val="single"/>
        </w:rPr>
        <w:t>SLA Item</w:t>
      </w:r>
      <w:commentRangeEnd w:id="9"/>
      <w:r w:rsidR="000275AA">
        <w:rPr>
          <w:rStyle w:val="CommentReference"/>
        </w:rPr>
        <w:commentReference w:id="9"/>
      </w:r>
    </w:p>
    <w:p w14:paraId="2183595A" w14:textId="77777777" w:rsidR="007948A8" w:rsidRDefault="007948A8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77"/>
        <w:gridCol w:w="2972"/>
        <w:gridCol w:w="2667"/>
      </w:tblGrid>
      <w:tr w:rsidR="007948A8" w:rsidRPr="001A449F" w14:paraId="29B08C2D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6B1379DE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65371AD4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0E0D277D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7948A8" w:rsidRPr="001A449F" w14:paraId="7D9A200E" w14:textId="77777777" w:rsidTr="00BD27EC">
        <w:tc>
          <w:tcPr>
            <w:tcW w:w="1689" w:type="pct"/>
          </w:tcPr>
          <w:p w14:paraId="74FE62CD" w14:textId="4080C350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requirement</w:t>
            </w:r>
          </w:p>
          <w:p w14:paraId="5E21451D" w14:textId="4A8DB783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clear reason as to why this SLA Item can be removed</w:t>
            </w:r>
          </w:p>
        </w:tc>
        <w:tc>
          <w:tcPr>
            <w:tcW w:w="1745" w:type="pct"/>
          </w:tcPr>
          <w:p w14:paraId="3D654014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7058113C" w14:textId="39C5F096" w:rsidR="007948A8" w:rsidRPr="001A449F" w:rsidRDefault="007948A8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why this SLA Item can be removed</w:t>
            </w:r>
          </w:p>
        </w:tc>
      </w:tr>
      <w:tr w:rsidR="007948A8" w:rsidRPr="001A449F" w14:paraId="122B218A" w14:textId="77777777" w:rsidTr="00BD27EC">
        <w:tc>
          <w:tcPr>
            <w:tcW w:w="1689" w:type="pct"/>
          </w:tcPr>
          <w:p w14:paraId="00037009" w14:textId="77777777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1EEDB913" w14:textId="77777777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0E1E366" w14:textId="77777777" w:rsidR="007948A8" w:rsidRPr="001A449F" w:rsidRDefault="007948A8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4DD8B06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7948A8" w:rsidRPr="001A449F" w14:paraId="42E320E9" w14:textId="77777777" w:rsidTr="00BD27EC">
        <w:tc>
          <w:tcPr>
            <w:tcW w:w="1689" w:type="pct"/>
          </w:tcPr>
          <w:p w14:paraId="1BB25761" w14:textId="77777777" w:rsidR="007948A8" w:rsidRPr="005A16C4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23CEF4D3" w14:textId="6CC7DD9D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of SLA Item</w:t>
            </w:r>
          </w:p>
        </w:tc>
        <w:tc>
          <w:tcPr>
            <w:tcW w:w="1745" w:type="pct"/>
          </w:tcPr>
          <w:p w14:paraId="559316E9" w14:textId="77777777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06E2B915" w14:textId="6547DBB2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twice yearly report</w:t>
            </w:r>
          </w:p>
        </w:tc>
      </w:tr>
    </w:tbl>
    <w:p w14:paraId="5EF445C8" w14:textId="77777777" w:rsidR="00623DBF" w:rsidRDefault="00623DBF" w:rsidP="003219D8">
      <w:pPr>
        <w:rPr>
          <w:rFonts w:ascii="Arial" w:hAnsi="Arial"/>
        </w:rPr>
      </w:pPr>
    </w:p>
    <w:p w14:paraId="3177518F" w14:textId="77777777" w:rsidR="000729C1" w:rsidRDefault="000729C1" w:rsidP="003219D8">
      <w:pPr>
        <w:rPr>
          <w:rFonts w:ascii="Arial" w:hAnsi="Arial"/>
        </w:rPr>
      </w:pPr>
    </w:p>
    <w:p w14:paraId="4980A979" w14:textId="77777777" w:rsidR="000729C1" w:rsidRDefault="000729C1" w:rsidP="003219D8">
      <w:pPr>
        <w:rPr>
          <w:rFonts w:ascii="Arial" w:hAnsi="Arial"/>
        </w:rPr>
      </w:pPr>
    </w:p>
    <w:p w14:paraId="67F26E95" w14:textId="77777777" w:rsidR="000729C1" w:rsidRDefault="000729C1" w:rsidP="003219D8">
      <w:pPr>
        <w:rPr>
          <w:rFonts w:ascii="Arial" w:hAnsi="Arial"/>
        </w:rPr>
      </w:pPr>
    </w:p>
    <w:p w14:paraId="5A892BFC" w14:textId="77777777" w:rsidR="000729C1" w:rsidRDefault="000729C1" w:rsidP="003219D8">
      <w:pPr>
        <w:rPr>
          <w:rFonts w:ascii="Arial" w:hAnsi="Arial"/>
        </w:rPr>
      </w:pPr>
    </w:p>
    <w:p w14:paraId="5B6944ED" w14:textId="77777777" w:rsidR="000729C1" w:rsidRDefault="000729C1" w:rsidP="003219D8">
      <w:pPr>
        <w:rPr>
          <w:rFonts w:ascii="Arial" w:hAnsi="Arial"/>
        </w:rPr>
      </w:pPr>
    </w:p>
    <w:p w14:paraId="708624E4" w14:textId="77777777" w:rsidR="000729C1" w:rsidRDefault="000729C1" w:rsidP="003219D8">
      <w:pPr>
        <w:rPr>
          <w:rFonts w:ascii="Arial" w:hAnsi="Arial"/>
        </w:rPr>
      </w:pPr>
    </w:p>
    <w:p w14:paraId="65423523" w14:textId="77777777" w:rsidR="000729C1" w:rsidRDefault="000729C1" w:rsidP="003219D8">
      <w:pPr>
        <w:rPr>
          <w:rFonts w:ascii="Arial" w:hAnsi="Arial"/>
        </w:rPr>
      </w:pPr>
    </w:p>
    <w:p w14:paraId="0231DBC6" w14:textId="4DC8F54C" w:rsidR="000729C1" w:rsidRDefault="000729C1" w:rsidP="003219D8">
      <w:pPr>
        <w:rPr>
          <w:rFonts w:ascii="Arial" w:hAnsi="Arial"/>
        </w:rPr>
      </w:pPr>
      <w:bookmarkStart w:id="10" w:name="_GoBack"/>
      <w:r>
        <w:rPr>
          <w:rFonts w:ascii="Arial" w:hAnsi="Arial"/>
        </w:rPr>
        <w:lastRenderedPageBreak/>
        <w:t>Scope of responsibilities:</w:t>
      </w:r>
    </w:p>
    <w:p w14:paraId="6EC9198A" w14:textId="77777777" w:rsidR="0027656B" w:rsidRPr="0027656B" w:rsidRDefault="0027656B" w:rsidP="0027656B">
      <w:pPr>
        <w:rPr>
          <w:rFonts w:ascii="Arial" w:hAnsi="Arial"/>
        </w:rPr>
      </w:pPr>
      <w:r w:rsidRPr="0027656B">
        <w:rPr>
          <w:rFonts w:ascii="Arial" w:hAnsi="Arial"/>
        </w:rPr>
        <w:t>The CSC will develop with the IANA Function Operator and ICANN a process for timely</w:t>
      </w:r>
    </w:p>
    <w:p w14:paraId="33E5AE0E" w14:textId="77777777" w:rsidR="0027656B" w:rsidRPr="0027656B" w:rsidRDefault="0027656B" w:rsidP="0027656B">
      <w:pPr>
        <w:rPr>
          <w:rFonts w:ascii="Arial" w:hAnsi="Arial"/>
        </w:rPr>
      </w:pPr>
      <w:proofErr w:type="gramStart"/>
      <w:r w:rsidRPr="0027656B">
        <w:rPr>
          <w:rFonts w:ascii="Arial" w:hAnsi="Arial"/>
        </w:rPr>
        <w:t>amendments</w:t>
      </w:r>
      <w:proofErr w:type="gramEnd"/>
      <w:r w:rsidRPr="0027656B">
        <w:rPr>
          <w:rFonts w:ascii="Arial" w:hAnsi="Arial"/>
        </w:rPr>
        <w:t xml:space="preserve"> to service levels where such changes are minor and are unlikely to impose</w:t>
      </w:r>
    </w:p>
    <w:p w14:paraId="0D5330B9" w14:textId="77777777" w:rsidR="0027656B" w:rsidRPr="0027656B" w:rsidRDefault="0027656B" w:rsidP="0027656B">
      <w:pPr>
        <w:rPr>
          <w:rFonts w:ascii="Arial" w:hAnsi="Arial"/>
        </w:rPr>
      </w:pPr>
      <w:proofErr w:type="gramStart"/>
      <w:r w:rsidRPr="0027656B">
        <w:rPr>
          <w:rFonts w:ascii="Arial" w:hAnsi="Arial"/>
        </w:rPr>
        <w:t>additional</w:t>
      </w:r>
      <w:proofErr w:type="gramEnd"/>
      <w:r w:rsidRPr="0027656B">
        <w:rPr>
          <w:rFonts w:ascii="Arial" w:hAnsi="Arial"/>
        </w:rPr>
        <w:t xml:space="preserve"> resource requirements on the IANA Naming Function Operator (15) (Section 4.3.10).</w:t>
      </w:r>
    </w:p>
    <w:p w14:paraId="27C4AC96" w14:textId="75C5D230" w:rsidR="0027656B" w:rsidRPr="0027656B" w:rsidRDefault="0027656B" w:rsidP="0027656B">
      <w:pPr>
        <w:rPr>
          <w:rFonts w:ascii="Arial" w:hAnsi="Arial"/>
        </w:rPr>
      </w:pPr>
      <w:r w:rsidRPr="0027656B">
        <w:rPr>
          <w:rFonts w:ascii="Arial" w:hAnsi="Arial"/>
        </w:rPr>
        <w:t>This process for timely amendments of the service levels may be updated from time to time and</w:t>
      </w:r>
      <w:r w:rsidR="000729C1">
        <w:rPr>
          <w:rFonts w:ascii="Arial" w:hAnsi="Arial"/>
        </w:rPr>
        <w:t xml:space="preserve"> </w:t>
      </w:r>
      <w:r w:rsidRPr="0027656B">
        <w:rPr>
          <w:rFonts w:ascii="Arial" w:hAnsi="Arial"/>
        </w:rPr>
        <w:t>will only become effective after publication of the process on the CSC webpage and after</w:t>
      </w:r>
    </w:p>
    <w:p w14:paraId="0C953BAD" w14:textId="3F1DC551" w:rsidR="0027656B" w:rsidRDefault="0027656B" w:rsidP="0027656B">
      <w:pPr>
        <w:rPr>
          <w:rFonts w:ascii="Arial" w:hAnsi="Arial"/>
        </w:rPr>
      </w:pPr>
      <w:proofErr w:type="gramStart"/>
      <w:r w:rsidRPr="0027656B">
        <w:rPr>
          <w:rFonts w:ascii="Arial" w:hAnsi="Arial"/>
        </w:rPr>
        <w:t>informing</w:t>
      </w:r>
      <w:proofErr w:type="gramEnd"/>
      <w:r w:rsidRPr="0027656B">
        <w:rPr>
          <w:rFonts w:ascii="Arial" w:hAnsi="Arial"/>
        </w:rPr>
        <w:t xml:space="preserve"> the direct customers.</w:t>
      </w:r>
    </w:p>
    <w:p w14:paraId="14498E47" w14:textId="77777777" w:rsidR="000729C1" w:rsidRDefault="000729C1" w:rsidP="0027656B">
      <w:pPr>
        <w:rPr>
          <w:rFonts w:ascii="Arial" w:hAnsi="Arial"/>
        </w:rPr>
      </w:pPr>
    </w:p>
    <w:p w14:paraId="411D70ED" w14:textId="218206BF" w:rsidR="000729C1" w:rsidRDefault="000729C1" w:rsidP="0027656B">
      <w:pPr>
        <w:rPr>
          <w:rFonts w:ascii="Arial" w:hAnsi="Arial"/>
        </w:rPr>
      </w:pPr>
      <w:r>
        <w:rPr>
          <w:rFonts w:ascii="Arial" w:hAnsi="Arial"/>
        </w:rPr>
        <w:t>Scope of responsibilities:</w:t>
      </w:r>
    </w:p>
    <w:p w14:paraId="078A6280" w14:textId="2AD510D4" w:rsidR="000729C1" w:rsidRDefault="000729C1" w:rsidP="000729C1">
      <w:pPr>
        <w:rPr>
          <w:rFonts w:ascii="Arial" w:hAnsi="Arial"/>
        </w:rPr>
      </w:pPr>
      <w:r w:rsidRPr="000729C1">
        <w:rPr>
          <w:rFonts w:ascii="Arial" w:hAnsi="Arial"/>
        </w:rPr>
        <w:t xml:space="preserve">In the event it is agreed that a material change in IANA naming </w:t>
      </w:r>
      <w:r>
        <w:rPr>
          <w:rFonts w:ascii="Arial" w:hAnsi="Arial"/>
        </w:rPr>
        <w:t xml:space="preserve">services or operations would be </w:t>
      </w:r>
      <w:r w:rsidRPr="000729C1">
        <w:rPr>
          <w:rFonts w:ascii="Arial" w:hAnsi="Arial"/>
        </w:rPr>
        <w:t>beneficial, the CSC reserves the right to call for a community consultation and independent</w:t>
      </w:r>
      <w:r>
        <w:rPr>
          <w:rFonts w:ascii="Arial" w:hAnsi="Arial"/>
        </w:rPr>
        <w:t xml:space="preserve"> v</w:t>
      </w:r>
      <w:r w:rsidRPr="000729C1">
        <w:rPr>
          <w:rFonts w:ascii="Arial" w:hAnsi="Arial"/>
        </w:rPr>
        <w:t>alidation, to be convened by the IANA Functions Operator, on the proposed change. Any</w:t>
      </w:r>
      <w:r>
        <w:rPr>
          <w:rFonts w:ascii="Arial" w:hAnsi="Arial"/>
        </w:rPr>
        <w:t xml:space="preserve"> </w:t>
      </w:r>
      <w:r w:rsidRPr="000729C1">
        <w:rPr>
          <w:rFonts w:ascii="Arial" w:hAnsi="Arial"/>
        </w:rPr>
        <w:t xml:space="preserve">recommended change must be approved by the </w:t>
      </w:r>
      <w:proofErr w:type="spellStart"/>
      <w:r w:rsidRPr="000729C1">
        <w:rPr>
          <w:rFonts w:ascii="Arial" w:hAnsi="Arial"/>
        </w:rPr>
        <w:t>ccNSO</w:t>
      </w:r>
      <w:proofErr w:type="spellEnd"/>
      <w:r w:rsidRPr="000729C1">
        <w:rPr>
          <w:rFonts w:ascii="Arial" w:hAnsi="Arial"/>
        </w:rPr>
        <w:t xml:space="preserve"> Council </w:t>
      </w:r>
      <w:r>
        <w:rPr>
          <w:rFonts w:ascii="Arial" w:hAnsi="Arial"/>
        </w:rPr>
        <w:t xml:space="preserve">and </w:t>
      </w:r>
      <w:proofErr w:type="spellStart"/>
      <w:r>
        <w:rPr>
          <w:rFonts w:ascii="Arial" w:hAnsi="Arial"/>
        </w:rPr>
        <w:t>RySG</w:t>
      </w:r>
      <w:proofErr w:type="spellEnd"/>
      <w:r>
        <w:rPr>
          <w:rFonts w:ascii="Arial" w:hAnsi="Arial"/>
        </w:rPr>
        <w:t xml:space="preserve">. In the event that the </w:t>
      </w:r>
      <w:r w:rsidRPr="000729C1">
        <w:rPr>
          <w:rFonts w:ascii="Arial" w:hAnsi="Arial"/>
        </w:rPr>
        <w:t>proposed changes require an amendment to the IANA Naming Function Contract this will be</w:t>
      </w:r>
      <w:r>
        <w:rPr>
          <w:rFonts w:ascii="Arial" w:hAnsi="Arial"/>
        </w:rPr>
        <w:t xml:space="preserve"> </w:t>
      </w:r>
      <w:r w:rsidRPr="000729C1">
        <w:rPr>
          <w:rFonts w:ascii="Arial" w:hAnsi="Arial"/>
        </w:rPr>
        <w:t>done in accordance with (is there a section of the contract we can site</w:t>
      </w:r>
      <w:proofErr w:type="gramStart"/>
      <w:r w:rsidRPr="000729C1">
        <w:rPr>
          <w:rFonts w:ascii="Arial" w:hAnsi="Arial"/>
        </w:rPr>
        <w:t>?)and</w:t>
      </w:r>
      <w:proofErr w:type="gramEnd"/>
      <w:r w:rsidRPr="000729C1">
        <w:rPr>
          <w:rFonts w:ascii="Arial" w:hAnsi="Arial"/>
        </w:rPr>
        <w:t xml:space="preserve"> </w:t>
      </w:r>
      <w:proofErr w:type="spellStart"/>
      <w:r w:rsidRPr="000729C1">
        <w:rPr>
          <w:rFonts w:ascii="Arial" w:hAnsi="Arial"/>
        </w:rPr>
        <w:t>RySG</w:t>
      </w:r>
      <w:proofErr w:type="spellEnd"/>
      <w:r w:rsidRPr="000729C1">
        <w:rPr>
          <w:rFonts w:ascii="Arial" w:hAnsi="Arial"/>
        </w:rPr>
        <w:t>.</w:t>
      </w:r>
    </w:p>
    <w:p w14:paraId="62F170E2" w14:textId="77777777" w:rsidR="000729C1" w:rsidRDefault="000729C1" w:rsidP="0027656B">
      <w:pPr>
        <w:rPr>
          <w:rFonts w:ascii="Arial" w:hAnsi="Arial"/>
        </w:rPr>
      </w:pPr>
    </w:p>
    <w:p w14:paraId="64E3F8CE" w14:textId="08CC7C37" w:rsidR="000729C1" w:rsidRDefault="000729C1" w:rsidP="0027656B">
      <w:pPr>
        <w:rPr>
          <w:rFonts w:ascii="Arial" w:hAnsi="Arial"/>
        </w:rPr>
      </w:pPr>
      <w:r>
        <w:rPr>
          <w:rFonts w:ascii="Arial" w:hAnsi="Arial"/>
        </w:rPr>
        <w:t>Review:</w:t>
      </w:r>
    </w:p>
    <w:p w14:paraId="0547AB98" w14:textId="5C102E80" w:rsidR="000729C1" w:rsidRPr="001A449F" w:rsidRDefault="000729C1" w:rsidP="000729C1">
      <w:pPr>
        <w:rPr>
          <w:rFonts w:ascii="Arial" w:hAnsi="Arial"/>
        </w:rPr>
      </w:pPr>
      <w:r w:rsidRPr="000729C1">
        <w:rPr>
          <w:rFonts w:ascii="Arial" w:hAnsi="Arial"/>
        </w:rPr>
        <w:t>The CSC or the IANA Functions Operator can request a review or</w:t>
      </w:r>
      <w:r>
        <w:rPr>
          <w:rFonts w:ascii="Arial" w:hAnsi="Arial"/>
        </w:rPr>
        <w:t xml:space="preserve"> change to service levels </w:t>
      </w:r>
      <w:r w:rsidRPr="000729C1">
        <w:rPr>
          <w:rFonts w:ascii="Arial" w:hAnsi="Arial"/>
        </w:rPr>
        <w:t xml:space="preserve">targets. Any proposed changes to service </w:t>
      </w:r>
      <w:proofErr w:type="spellStart"/>
      <w:r w:rsidRPr="000729C1">
        <w:rPr>
          <w:rFonts w:ascii="Arial" w:hAnsi="Arial"/>
        </w:rPr>
        <w:t>levelslevel</w:t>
      </w:r>
      <w:proofErr w:type="spellEnd"/>
      <w:r w:rsidRPr="000729C1">
        <w:rPr>
          <w:rFonts w:ascii="Arial" w:hAnsi="Arial"/>
        </w:rPr>
        <w:t xml:space="preserve"> targets as a result of the review must be</w:t>
      </w:r>
      <w:r>
        <w:rPr>
          <w:rFonts w:ascii="Arial" w:hAnsi="Arial"/>
        </w:rPr>
        <w:t xml:space="preserve"> </w:t>
      </w:r>
      <w:r w:rsidRPr="000729C1">
        <w:rPr>
          <w:rFonts w:ascii="Arial" w:hAnsi="Arial"/>
        </w:rPr>
        <w:t xml:space="preserve">agreed to by the </w:t>
      </w:r>
      <w:proofErr w:type="spellStart"/>
      <w:r w:rsidRPr="000729C1">
        <w:rPr>
          <w:rFonts w:ascii="Arial" w:hAnsi="Arial"/>
        </w:rPr>
        <w:t>ccNSO</w:t>
      </w:r>
      <w:proofErr w:type="spellEnd"/>
      <w:r w:rsidRPr="000729C1">
        <w:rPr>
          <w:rFonts w:ascii="Arial" w:hAnsi="Arial"/>
        </w:rPr>
        <w:t xml:space="preserve"> and GNSO.</w:t>
      </w:r>
    </w:p>
    <w:bookmarkEnd w:id="10"/>
    <w:sectPr w:rsidR="000729C1" w:rsidRPr="001A449F" w:rsidSect="00BD27EC">
      <w:pgSz w:w="11900" w:h="16840"/>
      <w:pgMar w:top="1440" w:right="1800" w:bottom="1440" w:left="180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aine Pruis" w:date="2018-03-27T09:30:00Z" w:initials="EP">
    <w:p w14:paraId="5C484955" w14:textId="0C01B521" w:rsidR="0027656B" w:rsidRDefault="0027656B">
      <w:pPr>
        <w:pStyle w:val="CommentText"/>
      </w:pPr>
      <w:r>
        <w:rPr>
          <w:rStyle w:val="CommentReference"/>
        </w:rPr>
        <w:annotationRef/>
      </w:r>
      <w:r>
        <w:t>IFO: IANA Functions Operator. SLA: Service Level Agreement. CSC: Customer Standing Committee</w:t>
      </w:r>
    </w:p>
  </w:comment>
  <w:comment w:id="1" w:author="Elaine Pruis" w:date="2018-03-27T09:17:00Z" w:initials="EP">
    <w:p w14:paraId="105448E1" w14:textId="14559B44" w:rsidR="0027656B" w:rsidRDefault="0027656B" w:rsidP="000275AA">
      <w:pPr>
        <w:pStyle w:val="CommentText"/>
      </w:pPr>
      <w:r>
        <w:rPr>
          <w:rStyle w:val="CommentReference"/>
        </w:rPr>
        <w:annotationRef/>
      </w:r>
      <w:r>
        <w:t>An example of this is the addition of the IDN table review and publication to the SLAs.</w:t>
      </w:r>
    </w:p>
  </w:comment>
  <w:comment w:id="2" w:author="Elaine Pruis" w:date="2018-03-27T09:31:00Z" w:initials="EP">
    <w:p w14:paraId="577A68B0" w14:textId="50B7D13E" w:rsidR="0027656B" w:rsidRDefault="0027656B" w:rsidP="000275AA">
      <w:pPr>
        <w:pStyle w:val="CommentText"/>
      </w:pPr>
      <w:r>
        <w:rPr>
          <w:rStyle w:val="CommentReference"/>
        </w:rPr>
        <w:annotationRef/>
      </w:r>
      <w:r>
        <w:t>Late 2017, PTI had a meeting with members of the CSC to discuss the Process for Label Generation Rule addition and modification in the IDN Practices repository and to begin developing</w:t>
      </w:r>
    </w:p>
    <w:p w14:paraId="5EB4D4A3" w14:textId="4F629615" w:rsidR="0027656B" w:rsidRDefault="0027656B" w:rsidP="000275AA">
      <w:pPr>
        <w:pStyle w:val="CommentText"/>
      </w:pPr>
      <w:proofErr w:type="gramStart"/>
      <w:r>
        <w:t>measurements</w:t>
      </w:r>
      <w:proofErr w:type="gramEnd"/>
      <w:r>
        <w:t xml:space="preserve"> on processing time for IDN tables and to start reporting on them. PTI has been collecting data since Oct 2017.</w:t>
      </w:r>
    </w:p>
  </w:comment>
  <w:comment w:id="3" w:author="Elaine Pruis" w:date="2018-03-27T09:32:00Z" w:initials="EP">
    <w:p w14:paraId="36E305D3" w14:textId="00F624BC" w:rsidR="0027656B" w:rsidRDefault="0027656B">
      <w:pPr>
        <w:pStyle w:val="CommentText"/>
      </w:pPr>
      <w:r>
        <w:rPr>
          <w:rStyle w:val="CommentReference"/>
        </w:rPr>
        <w:annotationRef/>
      </w:r>
      <w:r>
        <w:t xml:space="preserve">When enough data has been collected, CSC and PTI will discuss targets for performing the LGR and IDN table tasks. </w:t>
      </w:r>
    </w:p>
  </w:comment>
  <w:comment w:id="4" w:author="Elaine Pruis" w:date="2018-03-27T09:33:00Z" w:initials="EP">
    <w:p w14:paraId="7DEBFB30" w14:textId="76AF3F71" w:rsidR="0027656B" w:rsidRDefault="0027656B">
      <w:pPr>
        <w:pStyle w:val="CommentText"/>
      </w:pPr>
      <w:r>
        <w:rPr>
          <w:rStyle w:val="CommentReference"/>
        </w:rPr>
        <w:annotationRef/>
      </w:r>
      <w:r>
        <w:t>Once CSC and PTI agree on thresholds and targets, the members will consult with the community and recommend the changes.</w:t>
      </w:r>
    </w:p>
  </w:comment>
  <w:comment w:id="5" w:author="Elaine Pruis" w:date="2018-03-27T09:35:00Z" w:initials="EP">
    <w:p w14:paraId="3C21BAF3" w14:textId="3092E30F" w:rsidR="0027656B" w:rsidRDefault="0027656B">
      <w:pPr>
        <w:pStyle w:val="CommentText"/>
      </w:pPr>
      <w:r>
        <w:rPr>
          <w:rStyle w:val="CommentReference"/>
        </w:rPr>
        <w:annotationRef/>
      </w:r>
      <w:r>
        <w:t>As technical systems evolve, the functions change. This procedure allows for the PTI to make changes to their system and for the CSC to modify the SLAs to reflect those changes.</w:t>
      </w:r>
    </w:p>
  </w:comment>
  <w:comment w:id="6" w:author="Elaine Pruis" w:date="2018-03-27T09:26:00Z" w:initials="EP">
    <w:p w14:paraId="34ABB9B2" w14:textId="4B08A4A3" w:rsidR="0027656B" w:rsidRDefault="0027656B" w:rsidP="000275AA">
      <w:pPr>
        <w:pStyle w:val="CommentText"/>
      </w:pPr>
      <w:r>
        <w:rPr>
          <w:rStyle w:val="CommentReference"/>
        </w:rPr>
        <w:annotationRef/>
      </w:r>
      <w:r>
        <w:t>An example of this is the change to allowed time for the technical check. Example of failure: Technical Check target is 3m, actual performance 4.27m. This is a non material “failure” and the threshold should be adjusted accordingly.</w:t>
      </w:r>
    </w:p>
  </w:comment>
  <w:comment w:id="7" w:author="Elaine Pruis" w:date="2018-03-27T09:22:00Z" w:initials="EP">
    <w:p w14:paraId="177F19DD" w14:textId="3C7E41BD" w:rsidR="0027656B" w:rsidRDefault="0027656B">
      <w:pPr>
        <w:pStyle w:val="CommentText"/>
      </w:pPr>
      <w:r>
        <w:rPr>
          <w:rStyle w:val="CommentReference"/>
        </w:rPr>
        <w:annotationRef/>
      </w:r>
      <w:r>
        <w:t>A consultation with the RYSG and CCNSO on the proposed changes to the SLA occurred in Abu Dhabi.</w:t>
      </w:r>
    </w:p>
  </w:comment>
  <w:comment w:id="8" w:author="Elaine Pruis" w:date="2018-03-27T09:24:00Z" w:initials="EP">
    <w:p w14:paraId="52ACBA4A" w14:textId="372C2D78" w:rsidR="0027656B" w:rsidRDefault="0027656B">
      <w:pPr>
        <w:pStyle w:val="CommentText"/>
      </w:pPr>
      <w:r>
        <w:rPr>
          <w:rStyle w:val="CommentReference"/>
        </w:rPr>
        <w:annotationRef/>
      </w:r>
      <w:r>
        <w:t>The proposed changes cannot be accepted until the Charter allows for CSC to make minor changes. Therefore PTI continues to fail at the PTI technical check.</w:t>
      </w:r>
    </w:p>
  </w:comment>
  <w:comment w:id="9" w:author="Elaine Pruis" w:date="2018-03-27T09:29:00Z" w:initials="EP">
    <w:p w14:paraId="25A0F116" w14:textId="5F2080D6" w:rsidR="0027656B" w:rsidRDefault="0027656B">
      <w:pPr>
        <w:pStyle w:val="CommentText"/>
      </w:pPr>
      <w:r>
        <w:rPr>
          <w:rStyle w:val="CommentReference"/>
        </w:rPr>
        <w:annotationRef/>
      </w:r>
      <w:r>
        <w:t xml:space="preserve">This would occur for a service that is no longer performed.  For example, </w:t>
      </w:r>
      <w:proofErr w:type="gramStart"/>
      <w:r>
        <w:t>if  there</w:t>
      </w:r>
      <w:proofErr w:type="gramEnd"/>
      <w:r>
        <w:t xml:space="preserve"> was a decision to remove the WHOIS from the PTI site, it wouldn’t make sense to continue to measure and  report on </w:t>
      </w:r>
      <w:proofErr w:type="spellStart"/>
      <w:r>
        <w:t>whois</w:t>
      </w:r>
      <w:proofErr w:type="spellEnd"/>
      <w:r>
        <w:t xml:space="preserve"> uptime.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Gotham Medium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otham Light">
    <w:charset w:val="00"/>
    <w:family w:val="auto"/>
    <w:pitch w:val="variable"/>
    <w:sig w:usb0="A100007F" w:usb1="4000005B" w:usb2="00000000" w:usb3="00000000" w:csb0="0000009B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62F6FA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F827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0A48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80"/>
    <w:multiLevelType w:val="singleLevel"/>
    <w:tmpl w:val="C2D63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43C06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7C42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330B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65889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2300EB"/>
    <w:multiLevelType w:val="multilevel"/>
    <w:tmpl w:val="DFB0F1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56784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71B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501B56"/>
    <w:multiLevelType w:val="multilevel"/>
    <w:tmpl w:val="C35C35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68810C4"/>
    <w:multiLevelType w:val="multilevel"/>
    <w:tmpl w:val="EBE660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E974FA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00C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4C2BC9"/>
    <w:multiLevelType w:val="multilevel"/>
    <w:tmpl w:val="DFE86C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20178A"/>
    <w:multiLevelType w:val="multilevel"/>
    <w:tmpl w:val="253A9620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D430419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22590"/>
    <w:multiLevelType w:val="multilevel"/>
    <w:tmpl w:val="53041D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58834D4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2"/>
  </w:num>
  <w:num w:numId="8">
    <w:abstractNumId w:val="8"/>
  </w:num>
  <w:num w:numId="9">
    <w:abstractNumId w:val="15"/>
  </w:num>
  <w:num w:numId="10">
    <w:abstractNumId w:val="18"/>
  </w:num>
  <w:num w:numId="11">
    <w:abstractNumId w:val="7"/>
  </w:num>
  <w:num w:numId="12">
    <w:abstractNumId w:val="7"/>
  </w:num>
  <w:num w:numId="13">
    <w:abstractNumId w:val="18"/>
  </w:num>
  <w:num w:numId="14">
    <w:abstractNumId w:val="18"/>
  </w:num>
  <w:num w:numId="15">
    <w:abstractNumId w:val="18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7"/>
  </w:num>
  <w:num w:numId="30">
    <w:abstractNumId w:val="13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9F"/>
    <w:rsid w:val="00023E44"/>
    <w:rsid w:val="000275AA"/>
    <w:rsid w:val="000729C1"/>
    <w:rsid w:val="000D2229"/>
    <w:rsid w:val="000D510C"/>
    <w:rsid w:val="00173FB9"/>
    <w:rsid w:val="001A449F"/>
    <w:rsid w:val="00233C8F"/>
    <w:rsid w:val="00254AFA"/>
    <w:rsid w:val="0027656B"/>
    <w:rsid w:val="00283E3E"/>
    <w:rsid w:val="003219D8"/>
    <w:rsid w:val="00332662"/>
    <w:rsid w:val="003479F8"/>
    <w:rsid w:val="003566AA"/>
    <w:rsid w:val="003B78F8"/>
    <w:rsid w:val="003F0009"/>
    <w:rsid w:val="00464034"/>
    <w:rsid w:val="00481911"/>
    <w:rsid w:val="004952BC"/>
    <w:rsid w:val="00507B36"/>
    <w:rsid w:val="005150B1"/>
    <w:rsid w:val="005A16C4"/>
    <w:rsid w:val="00623DBF"/>
    <w:rsid w:val="006C6E1A"/>
    <w:rsid w:val="006E5CC6"/>
    <w:rsid w:val="00766B3C"/>
    <w:rsid w:val="00780D39"/>
    <w:rsid w:val="007948A8"/>
    <w:rsid w:val="007B195B"/>
    <w:rsid w:val="007F7F8C"/>
    <w:rsid w:val="0089224D"/>
    <w:rsid w:val="008A6208"/>
    <w:rsid w:val="008B2840"/>
    <w:rsid w:val="00901740"/>
    <w:rsid w:val="00916045"/>
    <w:rsid w:val="00960D23"/>
    <w:rsid w:val="009B1BBC"/>
    <w:rsid w:val="009C3554"/>
    <w:rsid w:val="00A6306C"/>
    <w:rsid w:val="00AB7809"/>
    <w:rsid w:val="00BD27EC"/>
    <w:rsid w:val="00C06C4A"/>
    <w:rsid w:val="00C20B6C"/>
    <w:rsid w:val="00C305A8"/>
    <w:rsid w:val="00CD22A8"/>
    <w:rsid w:val="00D00A98"/>
    <w:rsid w:val="00D07C02"/>
    <w:rsid w:val="00E815FA"/>
    <w:rsid w:val="00E85F45"/>
    <w:rsid w:val="00F6401B"/>
    <w:rsid w:val="00F76A2C"/>
    <w:rsid w:val="00FA553A"/>
    <w:rsid w:val="00FC6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0D8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Arial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1" w:defQFormat="0" w:count="276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unhideWhenUsed="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nhideWhenUsed="0"/>
    <w:lsdException w:name="Table Theme" w:semiHidden="1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7948A8"/>
    <w:pPr>
      <w:spacing w:after="0"/>
    </w:pPr>
    <w:rPr>
      <w:rFonts w:ascii="Gotham Book" w:hAnsi="Gotham Book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9D8"/>
    <w:pPr>
      <w:keepNext/>
      <w:keepLines/>
      <w:spacing w:after="16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4034"/>
    <w:pPr>
      <w:keepNext/>
      <w:keepLines/>
      <w:spacing w:after="80"/>
      <w:outlineLvl w:val="1"/>
    </w:pPr>
    <w:rPr>
      <w:rFonts w:ascii="Gotham Medium" w:eastAsiaTheme="majorEastAsia" w:hAnsi="Gotham Medium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64034"/>
    <w:pPr>
      <w:keepNext/>
      <w:keepLines/>
      <w:spacing w:after="40"/>
      <w:outlineLvl w:val="2"/>
    </w:pPr>
    <w:rPr>
      <w:rFonts w:ascii="Gotham Medium" w:eastAsiaTheme="majorEastAsia" w:hAnsi="Gotham Medium" w:cstheme="majorBidi"/>
    </w:rPr>
  </w:style>
  <w:style w:type="paragraph" w:styleId="Heading4">
    <w:name w:val="heading 4"/>
    <w:basedOn w:val="Normal"/>
    <w:next w:val="Normal"/>
    <w:link w:val="Heading4Char"/>
    <w:qFormat/>
    <w:rsid w:val="00C20B6C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8">
    <w:name w:val="heading 8"/>
    <w:basedOn w:val="Normal"/>
    <w:next w:val="Normal"/>
    <w:link w:val="Heading8Char"/>
    <w:rsid w:val="00173F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2">
    <w:name w:val="Numbered Heading 2"/>
    <w:basedOn w:val="Normal"/>
    <w:next w:val="Normal"/>
    <w:qFormat/>
    <w:rsid w:val="00901740"/>
    <w:pPr>
      <w:numPr>
        <w:ilvl w:val="1"/>
        <w:numId w:val="28"/>
      </w:numPr>
      <w:spacing w:before="240"/>
    </w:pPr>
    <w:rPr>
      <w:rFonts w:ascii="Gotham Medium" w:hAnsi="Gotham Medium"/>
      <w:sz w:val="28"/>
    </w:rPr>
  </w:style>
  <w:style w:type="paragraph" w:customStyle="1" w:styleId="NumberedHeading1">
    <w:name w:val="Numbered Heading 1"/>
    <w:basedOn w:val="Normal"/>
    <w:next w:val="Normal"/>
    <w:qFormat/>
    <w:rsid w:val="00901740"/>
    <w:pPr>
      <w:numPr>
        <w:numId w:val="28"/>
      </w:numPr>
      <w:spacing w:before="240"/>
    </w:pPr>
    <w:rPr>
      <w:rFonts w:ascii="Gotham Medium" w:hAnsi="Gotham Medium"/>
      <w:sz w:val="32"/>
    </w:rPr>
  </w:style>
  <w:style w:type="paragraph" w:styleId="ListBullet">
    <w:name w:val="List Bullet"/>
    <w:basedOn w:val="Normal"/>
    <w:rsid w:val="00023E44"/>
    <w:pPr>
      <w:numPr>
        <w:numId w:val="12"/>
      </w:numPr>
      <w:spacing w:before="60" w:after="60"/>
      <w:ind w:left="357" w:hanging="357"/>
      <w:contextualSpacing/>
    </w:pPr>
  </w:style>
  <w:style w:type="character" w:customStyle="1" w:styleId="Heading1Char">
    <w:name w:val="Heading 1 Char"/>
    <w:basedOn w:val="DefaultParagraphFont"/>
    <w:link w:val="Heading1"/>
    <w:rsid w:val="003219D8"/>
    <w:rPr>
      <w:rFonts w:ascii="Gotham Medium" w:eastAsiaTheme="majorEastAsia" w:hAnsi="Gotham Medium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4034"/>
    <w:rPr>
      <w:rFonts w:ascii="Gotham Medium" w:eastAsiaTheme="majorEastAsia" w:hAnsi="Gotham Medium" w:cstheme="majorBidi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64034"/>
    <w:rPr>
      <w:rFonts w:ascii="Gotham Medium" w:eastAsiaTheme="majorEastAsia" w:hAnsi="Gotham Medium" w:cstheme="majorBidi"/>
      <w:lang w:val="en-GB"/>
    </w:rPr>
  </w:style>
  <w:style w:type="character" w:customStyle="1" w:styleId="Heading4Char">
    <w:name w:val="Heading 4 Char"/>
    <w:basedOn w:val="DefaultParagraphFont"/>
    <w:link w:val="Heading4"/>
    <w:rsid w:val="00C20B6C"/>
    <w:rPr>
      <w:rFonts w:ascii="Trebuchet MS" w:eastAsiaTheme="majorEastAsia" w:hAnsi="Trebuchet MS" w:cstheme="majorBidi"/>
      <w:bCs/>
      <w:i/>
      <w:iCs/>
      <w:sz w:val="20"/>
      <w:lang w:val="en-GB"/>
    </w:rPr>
  </w:style>
  <w:style w:type="paragraph" w:customStyle="1" w:styleId="NoteLevel11">
    <w:name w:val="Note Level 11"/>
    <w:basedOn w:val="Normal"/>
    <w:rsid w:val="004952BC"/>
    <w:pPr>
      <w:keepNext/>
      <w:numPr>
        <w:numId w:val="22"/>
      </w:numPr>
      <w:contextualSpacing/>
      <w:outlineLvl w:val="0"/>
    </w:pPr>
    <w:rPr>
      <w:rFonts w:ascii="Gotham Light" w:eastAsia="MS Gothic" w:hAnsi="Gotham Light"/>
    </w:rPr>
  </w:style>
  <w:style w:type="paragraph" w:customStyle="1" w:styleId="NoteLevel21">
    <w:name w:val="Note Level 21"/>
    <w:basedOn w:val="Normal"/>
    <w:rsid w:val="004952BC"/>
    <w:pPr>
      <w:keepNext/>
      <w:numPr>
        <w:ilvl w:val="1"/>
        <w:numId w:val="22"/>
      </w:numPr>
      <w:contextualSpacing/>
      <w:outlineLvl w:val="1"/>
    </w:pPr>
    <w:rPr>
      <w:rFonts w:ascii="Gotham Light" w:eastAsia="MS Gothic" w:hAnsi="Gotham Light"/>
    </w:rPr>
  </w:style>
  <w:style w:type="paragraph" w:customStyle="1" w:styleId="NoteLevel31">
    <w:name w:val="Note Level 31"/>
    <w:basedOn w:val="Normal"/>
    <w:rsid w:val="004952BC"/>
    <w:pPr>
      <w:keepNext/>
      <w:numPr>
        <w:ilvl w:val="2"/>
        <w:numId w:val="22"/>
      </w:numPr>
      <w:contextualSpacing/>
      <w:outlineLvl w:val="2"/>
    </w:pPr>
    <w:rPr>
      <w:rFonts w:ascii="Gotham Light" w:eastAsia="MS Gothic" w:hAnsi="Gotham Light"/>
    </w:rPr>
  </w:style>
  <w:style w:type="paragraph" w:customStyle="1" w:styleId="NoteLevel41">
    <w:name w:val="Note Level 41"/>
    <w:basedOn w:val="Normal"/>
    <w:rsid w:val="004952BC"/>
    <w:pPr>
      <w:keepNext/>
      <w:numPr>
        <w:ilvl w:val="3"/>
        <w:numId w:val="22"/>
      </w:numPr>
      <w:contextualSpacing/>
      <w:outlineLvl w:val="3"/>
    </w:pPr>
    <w:rPr>
      <w:rFonts w:ascii="Gotham Light" w:eastAsia="MS Gothic" w:hAnsi="Gotham Light"/>
    </w:rPr>
  </w:style>
  <w:style w:type="paragraph" w:customStyle="1" w:styleId="NoteLevel51">
    <w:name w:val="Note Level 51"/>
    <w:basedOn w:val="Normal"/>
    <w:rsid w:val="004952BC"/>
    <w:pPr>
      <w:keepNext/>
      <w:numPr>
        <w:ilvl w:val="4"/>
        <w:numId w:val="22"/>
      </w:numPr>
      <w:contextualSpacing/>
      <w:outlineLvl w:val="4"/>
    </w:pPr>
    <w:rPr>
      <w:rFonts w:ascii="Gotham Light" w:eastAsia="MS Gothic" w:hAnsi="Gotham Light"/>
    </w:rPr>
  </w:style>
  <w:style w:type="paragraph" w:customStyle="1" w:styleId="NoteLevel61">
    <w:name w:val="Note Level 61"/>
    <w:basedOn w:val="Normal"/>
    <w:rsid w:val="004952BC"/>
    <w:pPr>
      <w:keepNext/>
      <w:numPr>
        <w:ilvl w:val="5"/>
        <w:numId w:val="22"/>
      </w:numPr>
      <w:contextualSpacing/>
      <w:outlineLvl w:val="5"/>
    </w:pPr>
    <w:rPr>
      <w:rFonts w:ascii="Gotham Light" w:eastAsia="MS Gothic" w:hAnsi="Gotham Light"/>
    </w:rPr>
  </w:style>
  <w:style w:type="paragraph" w:customStyle="1" w:styleId="NoteLevel71">
    <w:name w:val="Note Level 71"/>
    <w:basedOn w:val="Normal"/>
    <w:rsid w:val="004952BC"/>
    <w:pPr>
      <w:keepNext/>
      <w:numPr>
        <w:ilvl w:val="6"/>
        <w:numId w:val="22"/>
      </w:numPr>
      <w:contextualSpacing/>
      <w:outlineLvl w:val="6"/>
    </w:pPr>
    <w:rPr>
      <w:rFonts w:ascii="Gotham Light" w:eastAsia="MS Gothic" w:hAnsi="Gotham Light"/>
    </w:rPr>
  </w:style>
  <w:style w:type="paragraph" w:customStyle="1" w:styleId="NoteLevel81">
    <w:name w:val="Note Level 81"/>
    <w:basedOn w:val="Normal"/>
    <w:rsid w:val="004952BC"/>
    <w:pPr>
      <w:keepNext/>
      <w:numPr>
        <w:ilvl w:val="7"/>
        <w:numId w:val="22"/>
      </w:numPr>
      <w:contextualSpacing/>
      <w:outlineLvl w:val="7"/>
    </w:pPr>
    <w:rPr>
      <w:rFonts w:ascii="Gotham Light" w:eastAsia="MS Gothic" w:hAnsi="Gotham Light"/>
    </w:rPr>
  </w:style>
  <w:style w:type="paragraph" w:customStyle="1" w:styleId="NoteLevel91">
    <w:name w:val="Note Level 91"/>
    <w:basedOn w:val="Normal"/>
    <w:rsid w:val="004952BC"/>
    <w:pPr>
      <w:keepNext/>
      <w:numPr>
        <w:ilvl w:val="8"/>
        <w:numId w:val="22"/>
      </w:numPr>
      <w:contextualSpacing/>
      <w:outlineLvl w:val="8"/>
    </w:pPr>
    <w:rPr>
      <w:rFonts w:ascii="Gotham Light" w:eastAsia="MS Gothic" w:hAnsi="Gotham Light"/>
    </w:rPr>
  </w:style>
  <w:style w:type="character" w:styleId="EndnoteReference">
    <w:name w:val="endnote reference"/>
    <w:basedOn w:val="DefaultParagraphFont"/>
    <w:rsid w:val="004952B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173FB9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GB"/>
    </w:rPr>
  </w:style>
  <w:style w:type="paragraph" w:customStyle="1" w:styleId="NormalHanging">
    <w:name w:val="Normal Hanging"/>
    <w:basedOn w:val="Normal"/>
    <w:qFormat/>
    <w:rsid w:val="008A6208"/>
    <w:pPr>
      <w:ind w:left="1985" w:hanging="1985"/>
    </w:pPr>
  </w:style>
  <w:style w:type="paragraph" w:styleId="Title">
    <w:name w:val="Title"/>
    <w:basedOn w:val="Normal"/>
    <w:next w:val="Normal"/>
    <w:link w:val="TitleChar"/>
    <w:qFormat/>
    <w:rsid w:val="00464034"/>
    <w:pPr>
      <w:contextualSpacing/>
      <w:jc w:val="center"/>
    </w:pPr>
    <w:rPr>
      <w:rFonts w:ascii="Gotham Medium" w:eastAsiaTheme="majorEastAsia" w:hAnsi="Gotham Medium" w:cstheme="majorBidi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464034"/>
    <w:rPr>
      <w:rFonts w:ascii="Gotham Medium" w:eastAsiaTheme="majorEastAsia" w:hAnsi="Gotham Medium" w:cstheme="majorBidi"/>
      <w:sz w:val="36"/>
      <w:szCs w:val="48"/>
      <w:lang w:val="en-GB"/>
    </w:rPr>
  </w:style>
  <w:style w:type="paragraph" w:customStyle="1" w:styleId="NumberedHeading3">
    <w:name w:val="Numbered Heading 3"/>
    <w:basedOn w:val="Normal"/>
    <w:qFormat/>
    <w:rsid w:val="00901740"/>
    <w:pPr>
      <w:numPr>
        <w:ilvl w:val="2"/>
        <w:numId w:val="28"/>
      </w:numPr>
      <w:spacing w:before="240" w:after="60"/>
    </w:pPr>
    <w:rPr>
      <w:rFonts w:ascii="Gotham Medium" w:hAnsi="Gotham Medium"/>
      <w:sz w:val="24"/>
    </w:rPr>
  </w:style>
  <w:style w:type="paragraph" w:styleId="ListParagraph">
    <w:name w:val="List Paragraph"/>
    <w:basedOn w:val="Normal"/>
    <w:rsid w:val="003219D8"/>
    <w:pPr>
      <w:spacing w:after="240"/>
      <w:ind w:left="357"/>
      <w:contextualSpacing/>
    </w:pPr>
  </w:style>
  <w:style w:type="table" w:styleId="TableGrid">
    <w:name w:val="Table Grid"/>
    <w:basedOn w:val="TableNormal"/>
    <w:rsid w:val="001A44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BD27E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BD27E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BD27EC"/>
    <w:rPr>
      <w:rFonts w:ascii="Gotham Book" w:hAnsi="Gotham Book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D27EC"/>
    <w:rPr>
      <w:rFonts w:ascii="Gotham Book" w:hAnsi="Gotham Boo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D2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7EC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semiHidden/>
    <w:rsid w:val="00FC6C27"/>
    <w:pPr>
      <w:spacing w:after="0"/>
    </w:pPr>
    <w:rPr>
      <w:rFonts w:ascii="Gotham Book" w:hAnsi="Gotham Book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Arial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1" w:defQFormat="0" w:count="276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4" w:unhideWhenUsed="0"/>
    <w:lsdException w:name="List 5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Title" w:unhideWhenUsed="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unhideWhenUsed="0"/>
    <w:lsdException w:name="Block Text" w:unhideWhenUsed="0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nhideWhenUsed="0"/>
    <w:lsdException w:name="Table Theme" w:semiHidden="1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7948A8"/>
    <w:pPr>
      <w:spacing w:after="0"/>
    </w:pPr>
    <w:rPr>
      <w:rFonts w:ascii="Gotham Book" w:hAnsi="Gotham Book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9D8"/>
    <w:pPr>
      <w:keepNext/>
      <w:keepLines/>
      <w:spacing w:after="16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4034"/>
    <w:pPr>
      <w:keepNext/>
      <w:keepLines/>
      <w:spacing w:after="80"/>
      <w:outlineLvl w:val="1"/>
    </w:pPr>
    <w:rPr>
      <w:rFonts w:ascii="Gotham Medium" w:eastAsiaTheme="majorEastAsia" w:hAnsi="Gotham Medium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64034"/>
    <w:pPr>
      <w:keepNext/>
      <w:keepLines/>
      <w:spacing w:after="40"/>
      <w:outlineLvl w:val="2"/>
    </w:pPr>
    <w:rPr>
      <w:rFonts w:ascii="Gotham Medium" w:eastAsiaTheme="majorEastAsia" w:hAnsi="Gotham Medium" w:cstheme="majorBidi"/>
    </w:rPr>
  </w:style>
  <w:style w:type="paragraph" w:styleId="Heading4">
    <w:name w:val="heading 4"/>
    <w:basedOn w:val="Normal"/>
    <w:next w:val="Normal"/>
    <w:link w:val="Heading4Char"/>
    <w:qFormat/>
    <w:rsid w:val="00C20B6C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8">
    <w:name w:val="heading 8"/>
    <w:basedOn w:val="Normal"/>
    <w:next w:val="Normal"/>
    <w:link w:val="Heading8Char"/>
    <w:rsid w:val="00173F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2">
    <w:name w:val="Numbered Heading 2"/>
    <w:basedOn w:val="Normal"/>
    <w:next w:val="Normal"/>
    <w:qFormat/>
    <w:rsid w:val="00901740"/>
    <w:pPr>
      <w:numPr>
        <w:ilvl w:val="1"/>
        <w:numId w:val="28"/>
      </w:numPr>
      <w:spacing w:before="240"/>
    </w:pPr>
    <w:rPr>
      <w:rFonts w:ascii="Gotham Medium" w:hAnsi="Gotham Medium"/>
      <w:sz w:val="28"/>
    </w:rPr>
  </w:style>
  <w:style w:type="paragraph" w:customStyle="1" w:styleId="NumberedHeading1">
    <w:name w:val="Numbered Heading 1"/>
    <w:basedOn w:val="Normal"/>
    <w:next w:val="Normal"/>
    <w:qFormat/>
    <w:rsid w:val="00901740"/>
    <w:pPr>
      <w:numPr>
        <w:numId w:val="28"/>
      </w:numPr>
      <w:spacing w:before="240"/>
    </w:pPr>
    <w:rPr>
      <w:rFonts w:ascii="Gotham Medium" w:hAnsi="Gotham Medium"/>
      <w:sz w:val="32"/>
    </w:rPr>
  </w:style>
  <w:style w:type="paragraph" w:styleId="ListBullet">
    <w:name w:val="List Bullet"/>
    <w:basedOn w:val="Normal"/>
    <w:rsid w:val="00023E44"/>
    <w:pPr>
      <w:numPr>
        <w:numId w:val="12"/>
      </w:numPr>
      <w:spacing w:before="60" w:after="60"/>
      <w:ind w:left="357" w:hanging="357"/>
      <w:contextualSpacing/>
    </w:pPr>
  </w:style>
  <w:style w:type="character" w:customStyle="1" w:styleId="Heading1Char">
    <w:name w:val="Heading 1 Char"/>
    <w:basedOn w:val="DefaultParagraphFont"/>
    <w:link w:val="Heading1"/>
    <w:rsid w:val="003219D8"/>
    <w:rPr>
      <w:rFonts w:ascii="Gotham Medium" w:eastAsiaTheme="majorEastAsia" w:hAnsi="Gotham Medium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4034"/>
    <w:rPr>
      <w:rFonts w:ascii="Gotham Medium" w:eastAsiaTheme="majorEastAsia" w:hAnsi="Gotham Medium" w:cstheme="majorBidi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64034"/>
    <w:rPr>
      <w:rFonts w:ascii="Gotham Medium" w:eastAsiaTheme="majorEastAsia" w:hAnsi="Gotham Medium" w:cstheme="majorBidi"/>
      <w:lang w:val="en-GB"/>
    </w:rPr>
  </w:style>
  <w:style w:type="character" w:customStyle="1" w:styleId="Heading4Char">
    <w:name w:val="Heading 4 Char"/>
    <w:basedOn w:val="DefaultParagraphFont"/>
    <w:link w:val="Heading4"/>
    <w:rsid w:val="00C20B6C"/>
    <w:rPr>
      <w:rFonts w:ascii="Trebuchet MS" w:eastAsiaTheme="majorEastAsia" w:hAnsi="Trebuchet MS" w:cstheme="majorBidi"/>
      <w:bCs/>
      <w:i/>
      <w:iCs/>
      <w:sz w:val="20"/>
      <w:lang w:val="en-GB"/>
    </w:rPr>
  </w:style>
  <w:style w:type="paragraph" w:customStyle="1" w:styleId="NoteLevel11">
    <w:name w:val="Note Level 11"/>
    <w:basedOn w:val="Normal"/>
    <w:rsid w:val="004952BC"/>
    <w:pPr>
      <w:keepNext/>
      <w:numPr>
        <w:numId w:val="22"/>
      </w:numPr>
      <w:contextualSpacing/>
      <w:outlineLvl w:val="0"/>
    </w:pPr>
    <w:rPr>
      <w:rFonts w:ascii="Gotham Light" w:eastAsia="MS Gothic" w:hAnsi="Gotham Light"/>
    </w:rPr>
  </w:style>
  <w:style w:type="paragraph" w:customStyle="1" w:styleId="NoteLevel21">
    <w:name w:val="Note Level 21"/>
    <w:basedOn w:val="Normal"/>
    <w:rsid w:val="004952BC"/>
    <w:pPr>
      <w:keepNext/>
      <w:numPr>
        <w:ilvl w:val="1"/>
        <w:numId w:val="22"/>
      </w:numPr>
      <w:contextualSpacing/>
      <w:outlineLvl w:val="1"/>
    </w:pPr>
    <w:rPr>
      <w:rFonts w:ascii="Gotham Light" w:eastAsia="MS Gothic" w:hAnsi="Gotham Light"/>
    </w:rPr>
  </w:style>
  <w:style w:type="paragraph" w:customStyle="1" w:styleId="NoteLevel31">
    <w:name w:val="Note Level 31"/>
    <w:basedOn w:val="Normal"/>
    <w:rsid w:val="004952BC"/>
    <w:pPr>
      <w:keepNext/>
      <w:numPr>
        <w:ilvl w:val="2"/>
        <w:numId w:val="22"/>
      </w:numPr>
      <w:contextualSpacing/>
      <w:outlineLvl w:val="2"/>
    </w:pPr>
    <w:rPr>
      <w:rFonts w:ascii="Gotham Light" w:eastAsia="MS Gothic" w:hAnsi="Gotham Light"/>
    </w:rPr>
  </w:style>
  <w:style w:type="paragraph" w:customStyle="1" w:styleId="NoteLevel41">
    <w:name w:val="Note Level 41"/>
    <w:basedOn w:val="Normal"/>
    <w:rsid w:val="004952BC"/>
    <w:pPr>
      <w:keepNext/>
      <w:numPr>
        <w:ilvl w:val="3"/>
        <w:numId w:val="22"/>
      </w:numPr>
      <w:contextualSpacing/>
      <w:outlineLvl w:val="3"/>
    </w:pPr>
    <w:rPr>
      <w:rFonts w:ascii="Gotham Light" w:eastAsia="MS Gothic" w:hAnsi="Gotham Light"/>
    </w:rPr>
  </w:style>
  <w:style w:type="paragraph" w:customStyle="1" w:styleId="NoteLevel51">
    <w:name w:val="Note Level 51"/>
    <w:basedOn w:val="Normal"/>
    <w:rsid w:val="004952BC"/>
    <w:pPr>
      <w:keepNext/>
      <w:numPr>
        <w:ilvl w:val="4"/>
        <w:numId w:val="22"/>
      </w:numPr>
      <w:contextualSpacing/>
      <w:outlineLvl w:val="4"/>
    </w:pPr>
    <w:rPr>
      <w:rFonts w:ascii="Gotham Light" w:eastAsia="MS Gothic" w:hAnsi="Gotham Light"/>
    </w:rPr>
  </w:style>
  <w:style w:type="paragraph" w:customStyle="1" w:styleId="NoteLevel61">
    <w:name w:val="Note Level 61"/>
    <w:basedOn w:val="Normal"/>
    <w:rsid w:val="004952BC"/>
    <w:pPr>
      <w:keepNext/>
      <w:numPr>
        <w:ilvl w:val="5"/>
        <w:numId w:val="22"/>
      </w:numPr>
      <w:contextualSpacing/>
      <w:outlineLvl w:val="5"/>
    </w:pPr>
    <w:rPr>
      <w:rFonts w:ascii="Gotham Light" w:eastAsia="MS Gothic" w:hAnsi="Gotham Light"/>
    </w:rPr>
  </w:style>
  <w:style w:type="paragraph" w:customStyle="1" w:styleId="NoteLevel71">
    <w:name w:val="Note Level 71"/>
    <w:basedOn w:val="Normal"/>
    <w:rsid w:val="004952BC"/>
    <w:pPr>
      <w:keepNext/>
      <w:numPr>
        <w:ilvl w:val="6"/>
        <w:numId w:val="22"/>
      </w:numPr>
      <w:contextualSpacing/>
      <w:outlineLvl w:val="6"/>
    </w:pPr>
    <w:rPr>
      <w:rFonts w:ascii="Gotham Light" w:eastAsia="MS Gothic" w:hAnsi="Gotham Light"/>
    </w:rPr>
  </w:style>
  <w:style w:type="paragraph" w:customStyle="1" w:styleId="NoteLevel81">
    <w:name w:val="Note Level 81"/>
    <w:basedOn w:val="Normal"/>
    <w:rsid w:val="004952BC"/>
    <w:pPr>
      <w:keepNext/>
      <w:numPr>
        <w:ilvl w:val="7"/>
        <w:numId w:val="22"/>
      </w:numPr>
      <w:contextualSpacing/>
      <w:outlineLvl w:val="7"/>
    </w:pPr>
    <w:rPr>
      <w:rFonts w:ascii="Gotham Light" w:eastAsia="MS Gothic" w:hAnsi="Gotham Light"/>
    </w:rPr>
  </w:style>
  <w:style w:type="paragraph" w:customStyle="1" w:styleId="NoteLevel91">
    <w:name w:val="Note Level 91"/>
    <w:basedOn w:val="Normal"/>
    <w:rsid w:val="004952BC"/>
    <w:pPr>
      <w:keepNext/>
      <w:numPr>
        <w:ilvl w:val="8"/>
        <w:numId w:val="22"/>
      </w:numPr>
      <w:contextualSpacing/>
      <w:outlineLvl w:val="8"/>
    </w:pPr>
    <w:rPr>
      <w:rFonts w:ascii="Gotham Light" w:eastAsia="MS Gothic" w:hAnsi="Gotham Light"/>
    </w:rPr>
  </w:style>
  <w:style w:type="character" w:styleId="EndnoteReference">
    <w:name w:val="endnote reference"/>
    <w:basedOn w:val="DefaultParagraphFont"/>
    <w:rsid w:val="004952B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173FB9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GB"/>
    </w:rPr>
  </w:style>
  <w:style w:type="paragraph" w:customStyle="1" w:styleId="NormalHanging">
    <w:name w:val="Normal Hanging"/>
    <w:basedOn w:val="Normal"/>
    <w:qFormat/>
    <w:rsid w:val="008A6208"/>
    <w:pPr>
      <w:ind w:left="1985" w:hanging="1985"/>
    </w:pPr>
  </w:style>
  <w:style w:type="paragraph" w:styleId="Title">
    <w:name w:val="Title"/>
    <w:basedOn w:val="Normal"/>
    <w:next w:val="Normal"/>
    <w:link w:val="TitleChar"/>
    <w:qFormat/>
    <w:rsid w:val="00464034"/>
    <w:pPr>
      <w:contextualSpacing/>
      <w:jc w:val="center"/>
    </w:pPr>
    <w:rPr>
      <w:rFonts w:ascii="Gotham Medium" w:eastAsiaTheme="majorEastAsia" w:hAnsi="Gotham Medium" w:cstheme="majorBidi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464034"/>
    <w:rPr>
      <w:rFonts w:ascii="Gotham Medium" w:eastAsiaTheme="majorEastAsia" w:hAnsi="Gotham Medium" w:cstheme="majorBidi"/>
      <w:sz w:val="36"/>
      <w:szCs w:val="48"/>
      <w:lang w:val="en-GB"/>
    </w:rPr>
  </w:style>
  <w:style w:type="paragraph" w:customStyle="1" w:styleId="NumberedHeading3">
    <w:name w:val="Numbered Heading 3"/>
    <w:basedOn w:val="Normal"/>
    <w:qFormat/>
    <w:rsid w:val="00901740"/>
    <w:pPr>
      <w:numPr>
        <w:ilvl w:val="2"/>
        <w:numId w:val="28"/>
      </w:numPr>
      <w:spacing w:before="240" w:after="60"/>
    </w:pPr>
    <w:rPr>
      <w:rFonts w:ascii="Gotham Medium" w:hAnsi="Gotham Medium"/>
      <w:sz w:val="24"/>
    </w:rPr>
  </w:style>
  <w:style w:type="paragraph" w:styleId="ListParagraph">
    <w:name w:val="List Paragraph"/>
    <w:basedOn w:val="Normal"/>
    <w:rsid w:val="003219D8"/>
    <w:pPr>
      <w:spacing w:after="240"/>
      <w:ind w:left="357"/>
      <w:contextualSpacing/>
    </w:pPr>
  </w:style>
  <w:style w:type="table" w:styleId="TableGrid">
    <w:name w:val="Table Grid"/>
    <w:basedOn w:val="TableNormal"/>
    <w:rsid w:val="001A44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BD27E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BD27E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BD27EC"/>
    <w:rPr>
      <w:rFonts w:ascii="Gotham Book" w:hAnsi="Gotham Book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D27EC"/>
    <w:rPr>
      <w:rFonts w:ascii="Gotham Book" w:hAnsi="Gotham Boo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D2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7EC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semiHidden/>
    <w:rsid w:val="00FC6C27"/>
    <w:pPr>
      <w:spacing w:after="0"/>
    </w:pPr>
    <w:rPr>
      <w:rFonts w:ascii="Gotham Book" w:hAnsi="Gotham Book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D56387-4917-DE4A-99B8-A8A1FEFA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660</Words>
  <Characters>3766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NZRS Ltd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Daley</dc:creator>
  <cp:lastModifiedBy>Elaine Pruis</cp:lastModifiedBy>
  <cp:revision>3</cp:revision>
  <dcterms:created xsi:type="dcterms:W3CDTF">2018-03-27T16:35:00Z</dcterms:created>
  <dcterms:modified xsi:type="dcterms:W3CDTF">2018-03-27T16:49:00Z</dcterms:modified>
</cp:coreProperties>
</file>