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rPr/>
      </w:pPr>
      <w:r>
        <w:rPr>
          <w:rFonts w:eastAsia="Cambria" w:cs="Cambria" w:ascii="Cambria" w:hAnsi="Cambria"/>
          <w:sz w:val="24"/>
        </w:rPr>
        <w:t xml:space="preserve"> </w:t>
      </w:r>
    </w:p>
    <w:tbl>
      <w:tblPr>
        <w:tblStyle w:val="Table1"/>
        <w:tblW w:w="9120" w:type="dxa"/>
        <w:jc w:val="left"/>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0" w:type="dxa"/>
          <w:left w:w="92" w:type="dxa"/>
          <w:bottom w:w="100" w:type="dxa"/>
          <w:right w:w="100" w:type="dxa"/>
        </w:tblCellMar>
        <w:tblLook w:val="0600"/>
      </w:tblPr>
      <w:tblGrid>
        <w:gridCol w:w="3165"/>
        <w:gridCol w:w="5954"/>
      </w:tblGrid>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B3B3B3"/>
            <w:tcMar>
              <w:left w:w="92" w:type="dxa"/>
            </w:tcMar>
          </w:tcPr>
          <w:p>
            <w:pPr>
              <w:pStyle w:val="Normal"/>
              <w:spacing w:before="0" w:after="0"/>
              <w:ind w:left="360" w:right="0" w:hanging="0"/>
              <w:rPr/>
            </w:pPr>
            <w:r>
              <w:rPr>
                <w:rFonts w:eastAsia="Calibri" w:cs="Calibri" w:ascii="Calibri" w:hAnsi="Calibri"/>
                <w:b/>
                <w:shd w:fill="B3B3B3" w:val="clear"/>
              </w:rPr>
              <w:t>Design Team N.</w:t>
            </w:r>
            <w:r>
              <w:rPr>
                <w:shd w:fill="B3B3B3" w:val="clear"/>
              </w:rPr>
              <w:t xml:space="preserve">           </w:t>
              <w:tab/>
              <w:t xml:space="preserve"> </w:t>
            </w:r>
            <w:r>
              <w:rPr>
                <w:rFonts w:eastAsia="Calibri" w:cs="Calibri" w:ascii="Calibri" w:hAnsi="Calibri"/>
                <w:b/>
                <w:shd w:fill="B3B3B3" w:val="clear"/>
              </w:rPr>
              <w:t xml:space="preserve"> </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B3B3B3"/>
            <w:tcMar>
              <w:left w:w="92" w:type="dxa"/>
            </w:tcMar>
          </w:tcPr>
          <w:p>
            <w:pPr>
              <w:pStyle w:val="Normal"/>
              <w:spacing w:before="0" w:after="0"/>
              <w:rPr/>
            </w:pPr>
            <w:r>
              <w:rPr>
                <w:rFonts w:eastAsia="Calibri" w:cs="Calibri" w:ascii="Calibri" w:hAnsi="Calibri"/>
                <w:b/>
                <w:shd w:fill="B3B3B3" w:val="clear"/>
              </w:rPr>
              <w:t>Periodic Review of IANA Functions</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Draft Transition Proposal Reference</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rPr>
              <w:t>III.A.1.4</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Summary Description</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ind w:left="0" w:right="20" w:hanging="0"/>
              <w:rPr/>
            </w:pPr>
            <w:r>
              <w:rPr>
                <w:rFonts w:eastAsia="Calibri" w:cs="Calibri" w:ascii="Calibri" w:hAnsi="Calibri"/>
              </w:rPr>
              <w:t>Regardless of the model selected to implement the transition the SOW will have to be reviewed on a regular basis. This requirement brings on several additional requirements:</w:t>
            </w:r>
          </w:p>
          <w:p>
            <w:pPr>
              <w:pStyle w:val="Normal"/>
              <w:numPr>
                <w:ilvl w:val="0"/>
                <w:numId w:val="1"/>
              </w:numPr>
              <w:spacing w:before="0" w:after="0"/>
              <w:ind w:left="720" w:right="20" w:hanging="359"/>
              <w:contextualSpacing/>
              <w:rPr>
                <w:rFonts w:ascii="Times New Roman" w:hAnsi="Times New Roman" w:eastAsia="Times New Roman" w:cs="Times New Roman"/>
              </w:rPr>
            </w:pPr>
            <w:r>
              <w:rPr>
                <w:rFonts w:eastAsia="Calibri" w:cs="Calibri" w:ascii="Calibri" w:hAnsi="Calibri"/>
              </w:rPr>
              <w:t>What period (duration) should be covered by the first SOW post transition?</w:t>
            </w:r>
          </w:p>
          <w:p>
            <w:pPr>
              <w:pStyle w:val="Normal"/>
              <w:numPr>
                <w:ilvl w:val="0"/>
                <w:numId w:val="1"/>
              </w:numPr>
              <w:spacing w:before="0" w:after="0"/>
              <w:ind w:left="720" w:right="20" w:hanging="359"/>
              <w:contextualSpacing/>
              <w:rPr>
                <w:rFonts w:ascii="Times New Roman" w:hAnsi="Times New Roman" w:eastAsia="Times New Roman" w:cs="Times New Roman"/>
              </w:rPr>
            </w:pPr>
            <w:r>
              <w:rPr>
                <w:rFonts w:eastAsia="Calibri" w:cs="Calibri" w:ascii="Calibri" w:hAnsi="Calibri"/>
              </w:rPr>
              <w:t>What should be the standard period for reviewing SOWs post transition?</w:t>
            </w:r>
          </w:p>
          <w:p>
            <w:pPr>
              <w:pStyle w:val="Normal"/>
              <w:numPr>
                <w:ilvl w:val="0"/>
                <w:numId w:val="1"/>
              </w:numPr>
              <w:spacing w:before="0" w:after="0"/>
              <w:ind w:left="720" w:right="20" w:hanging="359"/>
              <w:contextualSpacing/>
              <w:rPr>
                <w:rFonts w:ascii="Times New Roman" w:hAnsi="Times New Roman" w:eastAsia="Times New Roman" w:cs="Times New Roman"/>
              </w:rPr>
            </w:pPr>
            <w:r>
              <w:rPr>
                <w:rFonts w:eastAsia="Calibri" w:cs="Calibri" w:ascii="Calibri" w:hAnsi="Calibri"/>
              </w:rPr>
              <w:t>What should be the process for reviewing or amending SOWS (including approval by the community and acceptance by ICANN)?</w:t>
            </w:r>
          </w:p>
          <w:p>
            <w:pPr>
              <w:pStyle w:val="Normal"/>
              <w:spacing w:before="0" w:after="0"/>
              <w:ind w:left="0" w:right="20" w:hanging="0"/>
              <w:rPr/>
            </w:pPr>
            <w:r>
              <w:rPr>
                <w:rFonts w:eastAsia="Calibri" w:cs="Calibri" w:ascii="Calibri" w:hAnsi="Calibri"/>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Detailed description</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rPr>
              <w:t>Considerations that need to be included in the considerations of the SOW length include:</w:t>
            </w:r>
          </w:p>
          <w:p>
            <w:pPr>
              <w:pStyle w:val="Normal"/>
              <w:numPr>
                <w:ilvl w:val="0"/>
                <w:numId w:val="3"/>
              </w:numPr>
              <w:spacing w:before="0" w:after="0"/>
              <w:ind w:left="720" w:right="0" w:hanging="359"/>
              <w:contextualSpacing/>
              <w:rPr>
                <w:rFonts w:ascii="Calibri" w:hAnsi="Calibri" w:eastAsia="Calibri" w:cs="Calibri"/>
              </w:rPr>
            </w:pPr>
            <w:r>
              <w:rPr>
                <w:rFonts w:eastAsia="Calibri" w:cs="Calibri" w:ascii="Calibri" w:hAnsi="Calibri"/>
              </w:rPr>
              <w:t>what is a sufficient length to avoid the thrash of constant SOW review?</w:t>
            </w:r>
          </w:p>
          <w:p>
            <w:pPr>
              <w:pStyle w:val="Normal"/>
              <w:numPr>
                <w:ilvl w:val="0"/>
                <w:numId w:val="3"/>
              </w:numPr>
              <w:spacing w:before="0" w:after="0"/>
              <w:ind w:left="720" w:right="0" w:hanging="359"/>
              <w:contextualSpacing/>
              <w:rPr>
                <w:rFonts w:ascii="Calibri" w:hAnsi="Calibri" w:eastAsia="Calibri" w:cs="Calibri"/>
                <w:b/>
                <w:b/>
                <w:u w:val="none"/>
              </w:rPr>
            </w:pPr>
            <w:r>
              <w:rPr>
                <w:rFonts w:eastAsia="Calibri" w:cs="Calibri" w:ascii="Calibri" w:hAnsi="Calibri"/>
              </w:rPr>
              <w:t>what would be so long as to create too much of a status quo assumption?</w:t>
            </w:r>
          </w:p>
          <w:p>
            <w:pPr>
              <w:pStyle w:val="Normal"/>
              <w:spacing w:before="0" w:after="0"/>
              <w:rPr/>
            </w:pPr>
            <w:r>
              <w:rPr>
                <w:rFonts w:eastAsia="Calibri" w:cs="Calibri" w:ascii="Calibri" w:hAnsi="Calibri"/>
              </w:rPr>
              <w:t>Considerations on the standard period for a SOW review include:</w:t>
            </w:r>
          </w:p>
          <w:p>
            <w:pPr>
              <w:pStyle w:val="Normal"/>
              <w:numPr>
                <w:ilvl w:val="0"/>
                <w:numId w:val="2"/>
              </w:numPr>
              <w:spacing w:before="0" w:after="0"/>
              <w:ind w:left="720" w:right="0" w:hanging="359"/>
              <w:contextualSpacing/>
              <w:rPr>
                <w:rFonts w:ascii="Calibri" w:hAnsi="Calibri" w:eastAsia="Calibri" w:cs="Calibri"/>
              </w:rPr>
            </w:pPr>
            <w:r>
              <w:rPr>
                <w:rFonts w:eastAsia="Calibri" w:cs="Calibri" w:ascii="Calibri" w:hAnsi="Calibri"/>
              </w:rPr>
              <w:t>Is the SOW reviewed at intermediate stages or just on reconsideration of the SOW</w:t>
            </w:r>
          </w:p>
          <w:p>
            <w:pPr>
              <w:pStyle w:val="Normal"/>
              <w:numPr>
                <w:ilvl w:val="0"/>
                <w:numId w:val="2"/>
              </w:numPr>
              <w:spacing w:before="0" w:after="0"/>
              <w:ind w:left="720" w:right="0" w:hanging="359"/>
              <w:contextualSpacing/>
              <w:rPr>
                <w:rFonts w:ascii="Calibri" w:hAnsi="Calibri" w:eastAsia="Calibri" w:cs="Calibri"/>
              </w:rPr>
            </w:pPr>
            <w:r>
              <w:rPr>
                <w:rFonts w:eastAsia="Calibri" w:cs="Calibri" w:ascii="Calibri" w:hAnsi="Calibri"/>
              </w:rPr>
              <w:t>Is a regular period, like yearly, necessary? If so, what is the periodicity?</w:t>
            </w:r>
          </w:p>
          <w:p>
            <w:pPr>
              <w:pStyle w:val="Normal"/>
              <w:spacing w:before="0" w:after="0"/>
              <w:rPr/>
            </w:pPr>
            <w:r>
              <w:rPr>
                <w:rFonts w:eastAsia="Calibri" w:cs="Calibri" w:ascii="Calibri" w:hAnsi="Calibri"/>
              </w:rPr>
              <w:t>Consideration on process for review and renewal include:</w:t>
            </w:r>
          </w:p>
          <w:p>
            <w:pPr>
              <w:pStyle w:val="Normal"/>
              <w:numPr>
                <w:ilvl w:val="0"/>
                <w:numId w:val="4"/>
              </w:numPr>
              <w:spacing w:before="0" w:after="0"/>
              <w:ind w:left="720" w:right="0" w:hanging="359"/>
              <w:contextualSpacing/>
              <w:rPr>
                <w:rFonts w:ascii="Calibri" w:hAnsi="Calibri" w:eastAsia="Calibri" w:cs="Calibri"/>
              </w:rPr>
            </w:pPr>
            <w:r>
              <w:rPr>
                <w:rFonts w:eastAsia="Calibri" w:cs="Calibri" w:ascii="Calibri" w:hAnsi="Calibri"/>
              </w:rPr>
              <w:t>who are the relevant stakeholders?</w:t>
            </w:r>
          </w:p>
          <w:p>
            <w:pPr>
              <w:pStyle w:val="Normal"/>
              <w:numPr>
                <w:ilvl w:val="0"/>
                <w:numId w:val="4"/>
              </w:numPr>
              <w:spacing w:before="0" w:after="0"/>
              <w:ind w:left="720" w:right="0" w:hanging="359"/>
              <w:contextualSpacing/>
              <w:rPr>
                <w:rFonts w:ascii="Calibri" w:hAnsi="Calibri" w:eastAsia="Calibri" w:cs="Calibri"/>
              </w:rPr>
            </w:pPr>
            <w:r>
              <w:rPr>
                <w:rFonts w:eastAsia="Calibri" w:cs="Calibri" w:ascii="Calibri" w:hAnsi="Calibri"/>
              </w:rPr>
              <w:t>what sort of process structure is warranted?</w:t>
            </w:r>
          </w:p>
          <w:p>
            <w:pPr>
              <w:pStyle w:val="Normal"/>
              <w:numPr>
                <w:ilvl w:val="0"/>
                <w:numId w:val="4"/>
              </w:numPr>
              <w:spacing w:before="0" w:after="0"/>
              <w:ind w:left="720" w:right="0" w:hanging="359"/>
              <w:contextualSpacing/>
              <w:rPr>
                <w:rFonts w:ascii="Calibri" w:hAnsi="Calibri" w:eastAsia="Calibri" w:cs="Calibri"/>
              </w:rPr>
            </w:pPr>
            <w:r>
              <w:rPr>
                <w:rFonts w:eastAsia="Calibri" w:cs="Calibri" w:ascii="Calibri" w:hAnsi="Calibri"/>
              </w:rPr>
              <w:t>do periodic reviews have a different structure than review for renewal?</w:t>
            </w:r>
          </w:p>
          <w:p>
            <w:pPr>
              <w:pStyle w:val="Normal"/>
              <w:numPr>
                <w:ilvl w:val="0"/>
                <w:numId w:val="4"/>
              </w:numPr>
              <w:spacing w:before="0" w:after="0"/>
              <w:ind w:left="720" w:right="0" w:hanging="359"/>
              <w:contextualSpacing/>
              <w:rPr>
                <w:rFonts w:ascii="Calibri" w:hAnsi="Calibri" w:eastAsia="Calibri" w:cs="Calibri"/>
              </w:rPr>
            </w:pPr>
            <w:r>
              <w:rPr>
                <w:rFonts w:eastAsia="Calibri" w:cs="Calibri" w:ascii="Calibri" w:hAnsi="Calibri"/>
              </w:rPr>
              <w:t>what are the objective issues any such review should take up?</w:t>
            </w:r>
          </w:p>
          <w:p>
            <w:pPr>
              <w:pStyle w:val="Normal"/>
              <w:numPr>
                <w:ilvl w:val="0"/>
                <w:numId w:val="4"/>
              </w:numPr>
              <w:spacing w:before="0" w:after="0"/>
              <w:ind w:left="720" w:right="0" w:hanging="359"/>
              <w:contextualSpacing/>
              <w:rPr>
                <w:rFonts w:ascii="Calibri" w:hAnsi="Calibri" w:eastAsia="Calibri" w:cs="Calibri"/>
              </w:rPr>
            </w:pPr>
            <w:r>
              <w:rPr>
                <w:rFonts w:eastAsia="Calibri" w:cs="Calibri" w:ascii="Calibri" w:hAnsi="Calibri"/>
              </w:rPr>
              <w:t>How is the wider community involved in such a review?</w:t>
            </w:r>
          </w:p>
          <w:p>
            <w:pPr>
              <w:pStyle w:val="Normal"/>
              <w:numPr>
                <w:ilvl w:val="0"/>
                <w:numId w:val="4"/>
              </w:numPr>
              <w:spacing w:before="0" w:after="0"/>
              <w:ind w:left="720" w:right="0" w:hanging="359"/>
              <w:contextualSpacing/>
              <w:rPr>
                <w:rFonts w:ascii="Calibri" w:hAnsi="Calibri" w:eastAsia="Calibri" w:cs="Calibri"/>
              </w:rPr>
            </w:pPr>
            <w:r>
              <w:rPr>
                <w:rFonts w:eastAsia="Calibri" w:cs="Calibri" w:ascii="Calibri" w:hAnsi="Calibri"/>
              </w:rPr>
              <w:t>Is it done by a standing committee of some sort (for example the MRT or any of its model  based analogues) or a team built for purpose like an ICG or CWG.</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Proposed Membership</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 xml:space="preserve"> </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Proposed by / Lead</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rPr>
              <w:t xml:space="preserve"> </w:t>
            </w:r>
            <w:r>
              <w:rPr>
                <w:rFonts w:eastAsia="Calibri" w:cs="Calibri" w:ascii="Calibri" w:hAnsi="Calibri"/>
              </w:rPr>
              <w:t>provisional volunteer - Avri Doria</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Status</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Step 0</w:t>
            </w:r>
          </w:p>
        </w:tc>
      </w:tr>
      <w:tr>
        <w:trPr/>
        <w:tc>
          <w:tcPr>
            <w:tcW w:w="31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Determination by CWG Chairs</w:t>
            </w:r>
          </w:p>
        </w:tc>
        <w:tc>
          <w:tcPr>
            <w:tcW w:w="595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2" w:type="dxa"/>
            </w:tcMar>
          </w:tcPr>
          <w:p>
            <w:pPr>
              <w:pStyle w:val="Normal"/>
              <w:spacing w:before="0" w:after="0"/>
              <w:rPr/>
            </w:pPr>
            <w:r>
              <w:rPr>
                <w:rFonts w:eastAsia="Calibri" w:cs="Calibri" w:ascii="Calibri" w:hAnsi="Calibri"/>
                <w:b/>
              </w:rPr>
              <w:t>Priority 1 (Provisional)</w:t>
            </w:r>
          </w:p>
        </w:tc>
      </w:tr>
    </w:tbl>
    <w:p>
      <w:pPr>
        <w:pStyle w:val="Normal"/>
        <w:spacing w:before="0" w:after="0"/>
        <w:rPr/>
      </w:pPr>
      <w:r>
        <w:rPr/>
      </w:r>
    </w:p>
    <w:p>
      <w:pPr>
        <w:pStyle w:val="Normal"/>
        <w:spacing w:before="0" w:after="0"/>
        <w:rPr/>
      </w:pPr>
      <w:r>
        <w:rPr/>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rebuchet MS">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1080"/>
      </w:pPr>
      <w:rPr>
        <w:rFonts w:ascii="Wingdings 2" w:hAnsi="Wingdings 2" w:cs="Wingdings 2" w:hint="default"/>
        <w:u w:val="none"/>
        <w:b/>
      </w:rPr>
    </w:lvl>
    <w:lvl w:ilvl="2">
      <w:start w:val="1"/>
      <w:numFmt w:val="bullet"/>
      <w:lvlText w:val="■"/>
      <w:lvlJc w:val="left"/>
      <w:pPr>
        <w:ind w:left="2160" w:hanging="-1800"/>
      </w:pPr>
      <w:rPr>
        <w:rFonts w:ascii="OpenSymbol" w:hAnsi="OpenSymbol" w:cs="OpenSymbol" w:hint="default"/>
        <w:u w:val="none"/>
        <w:b/>
      </w:rPr>
    </w:lvl>
    <w:lvl w:ilvl="3">
      <w:start w:val="1"/>
      <w:numFmt w:val="bullet"/>
      <w:lvlText w:val=""/>
      <w:lvlJc w:val="left"/>
      <w:pPr>
        <w:ind w:left="2880" w:hanging="-2520"/>
      </w:pPr>
      <w:rPr>
        <w:rFonts w:ascii="Wingdings" w:hAnsi="Wingdings" w:cs="Wingdings" w:hint="default"/>
        <w:u w:val="none"/>
        <w:b/>
      </w:rPr>
    </w:lvl>
    <w:lvl w:ilvl="4">
      <w:start w:val="1"/>
      <w:numFmt w:val="bullet"/>
      <w:lvlText w:val=""/>
      <w:lvlJc w:val="left"/>
      <w:pPr>
        <w:ind w:left="3600" w:hanging="-3240"/>
      </w:pPr>
      <w:rPr>
        <w:rFonts w:ascii="Wingdings 2" w:hAnsi="Wingdings 2" w:cs="Wingdings 2" w:hint="default"/>
        <w:u w:val="none"/>
        <w:b/>
      </w:rPr>
    </w:lvl>
    <w:lvl w:ilvl="5">
      <w:start w:val="1"/>
      <w:numFmt w:val="bullet"/>
      <w:lvlText w:val="■"/>
      <w:lvlJc w:val="left"/>
      <w:pPr>
        <w:ind w:left="4320" w:hanging="-3960"/>
      </w:pPr>
      <w:rPr>
        <w:rFonts w:ascii="OpenSymbol" w:hAnsi="OpenSymbol" w:cs="OpenSymbol" w:hint="default"/>
        <w:u w:val="none"/>
        <w:b/>
      </w:rPr>
    </w:lvl>
    <w:lvl w:ilvl="6">
      <w:start w:val="1"/>
      <w:numFmt w:val="bullet"/>
      <w:lvlText w:val=""/>
      <w:lvlJc w:val="left"/>
      <w:pPr>
        <w:ind w:left="5040" w:hanging="-4680"/>
      </w:pPr>
      <w:rPr>
        <w:rFonts w:ascii="Wingdings" w:hAnsi="Wingdings" w:cs="Wingdings" w:hint="default"/>
        <w:u w:val="none"/>
        <w:b/>
      </w:rPr>
    </w:lvl>
    <w:lvl w:ilvl="7">
      <w:start w:val="1"/>
      <w:numFmt w:val="bullet"/>
      <w:lvlText w:val=""/>
      <w:lvlJc w:val="left"/>
      <w:pPr>
        <w:ind w:left="5760" w:hanging="-5400"/>
      </w:pPr>
      <w:rPr>
        <w:rFonts w:ascii="Wingdings 2" w:hAnsi="Wingdings 2" w:cs="Wingdings 2" w:hint="default"/>
        <w:u w:val="none"/>
        <w:b/>
      </w:rPr>
    </w:lvl>
    <w:lvl w:ilvl="8">
      <w:start w:val="1"/>
      <w:numFmt w:val="bullet"/>
      <w:lvlText w:val="■"/>
      <w:lvlJc w:val="left"/>
      <w:pPr>
        <w:ind w:left="6480" w:hanging="-6120"/>
      </w:pPr>
      <w:rPr>
        <w:rFonts w:ascii="OpenSymbol" w:hAnsi="OpenSymbol" w:cs="OpenSymbol" w:hint="default"/>
        <w:u w:val="none"/>
        <w:b/>
      </w:rPr>
    </w:lvl>
  </w:abstractNum>
  <w:abstractNum w:abstractNumId="2">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1080"/>
      </w:pPr>
      <w:rPr>
        <w:rFonts w:ascii="Wingdings 2" w:hAnsi="Wingdings 2" w:cs="Wingdings 2" w:hint="default"/>
        <w:u w:val="none"/>
        <w:b/>
      </w:rPr>
    </w:lvl>
    <w:lvl w:ilvl="2">
      <w:start w:val="1"/>
      <w:numFmt w:val="bullet"/>
      <w:lvlText w:val="■"/>
      <w:lvlJc w:val="left"/>
      <w:pPr>
        <w:ind w:left="2160" w:hanging="-1800"/>
      </w:pPr>
      <w:rPr>
        <w:rFonts w:ascii="OpenSymbol" w:hAnsi="OpenSymbol" w:cs="OpenSymbol" w:hint="default"/>
        <w:u w:val="none"/>
        <w:b/>
      </w:rPr>
    </w:lvl>
    <w:lvl w:ilvl="3">
      <w:start w:val="1"/>
      <w:numFmt w:val="bullet"/>
      <w:lvlText w:val=""/>
      <w:lvlJc w:val="left"/>
      <w:pPr>
        <w:ind w:left="2880" w:hanging="-2520"/>
      </w:pPr>
      <w:rPr>
        <w:rFonts w:ascii="Wingdings" w:hAnsi="Wingdings" w:cs="Wingdings" w:hint="default"/>
        <w:u w:val="none"/>
        <w:b/>
      </w:rPr>
    </w:lvl>
    <w:lvl w:ilvl="4">
      <w:start w:val="1"/>
      <w:numFmt w:val="bullet"/>
      <w:lvlText w:val=""/>
      <w:lvlJc w:val="left"/>
      <w:pPr>
        <w:ind w:left="3600" w:hanging="-3240"/>
      </w:pPr>
      <w:rPr>
        <w:rFonts w:ascii="Wingdings 2" w:hAnsi="Wingdings 2" w:cs="Wingdings 2" w:hint="default"/>
        <w:u w:val="none"/>
        <w:b/>
      </w:rPr>
    </w:lvl>
    <w:lvl w:ilvl="5">
      <w:start w:val="1"/>
      <w:numFmt w:val="bullet"/>
      <w:lvlText w:val="■"/>
      <w:lvlJc w:val="left"/>
      <w:pPr>
        <w:ind w:left="4320" w:hanging="-3960"/>
      </w:pPr>
      <w:rPr>
        <w:rFonts w:ascii="OpenSymbol" w:hAnsi="OpenSymbol" w:cs="OpenSymbol" w:hint="default"/>
        <w:u w:val="none"/>
        <w:b/>
      </w:rPr>
    </w:lvl>
    <w:lvl w:ilvl="6">
      <w:start w:val="1"/>
      <w:numFmt w:val="bullet"/>
      <w:lvlText w:val=""/>
      <w:lvlJc w:val="left"/>
      <w:pPr>
        <w:ind w:left="5040" w:hanging="-4680"/>
      </w:pPr>
      <w:rPr>
        <w:rFonts w:ascii="Wingdings" w:hAnsi="Wingdings" w:cs="Wingdings" w:hint="default"/>
        <w:u w:val="none"/>
        <w:b/>
      </w:rPr>
    </w:lvl>
    <w:lvl w:ilvl="7">
      <w:start w:val="1"/>
      <w:numFmt w:val="bullet"/>
      <w:lvlText w:val=""/>
      <w:lvlJc w:val="left"/>
      <w:pPr>
        <w:ind w:left="5760" w:hanging="-5400"/>
      </w:pPr>
      <w:rPr>
        <w:rFonts w:ascii="Wingdings 2" w:hAnsi="Wingdings 2" w:cs="Wingdings 2" w:hint="default"/>
        <w:u w:val="none"/>
        <w:b/>
      </w:rPr>
    </w:lvl>
    <w:lvl w:ilvl="8">
      <w:start w:val="1"/>
      <w:numFmt w:val="bullet"/>
      <w:lvlText w:val="■"/>
      <w:lvlJc w:val="left"/>
      <w:pPr>
        <w:ind w:left="6480" w:hanging="-6120"/>
      </w:pPr>
      <w:rPr>
        <w:rFonts w:ascii="OpenSymbol" w:hAnsi="OpenSymbol" w:cs="OpenSymbol" w:hint="default"/>
        <w:u w:val="none"/>
        <w:b/>
      </w:rPr>
    </w:lvl>
  </w:abstractNum>
  <w:abstractNum w:abstractNumId="3">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1080"/>
      </w:pPr>
      <w:rPr>
        <w:rFonts w:ascii="Wingdings 2" w:hAnsi="Wingdings 2" w:cs="Wingdings 2" w:hint="default"/>
        <w:u w:val="none"/>
        <w:b/>
      </w:rPr>
    </w:lvl>
    <w:lvl w:ilvl="2">
      <w:start w:val="1"/>
      <w:numFmt w:val="bullet"/>
      <w:lvlText w:val="■"/>
      <w:lvlJc w:val="left"/>
      <w:pPr>
        <w:ind w:left="2160" w:hanging="-1800"/>
      </w:pPr>
      <w:rPr>
        <w:rFonts w:ascii="OpenSymbol" w:hAnsi="OpenSymbol" w:cs="OpenSymbol" w:hint="default"/>
        <w:u w:val="none"/>
        <w:b/>
      </w:rPr>
    </w:lvl>
    <w:lvl w:ilvl="3">
      <w:start w:val="1"/>
      <w:numFmt w:val="bullet"/>
      <w:lvlText w:val=""/>
      <w:lvlJc w:val="left"/>
      <w:pPr>
        <w:ind w:left="2880" w:hanging="-2520"/>
      </w:pPr>
      <w:rPr>
        <w:rFonts w:ascii="Wingdings" w:hAnsi="Wingdings" w:cs="Wingdings" w:hint="default"/>
        <w:u w:val="none"/>
        <w:b/>
      </w:rPr>
    </w:lvl>
    <w:lvl w:ilvl="4">
      <w:start w:val="1"/>
      <w:numFmt w:val="bullet"/>
      <w:lvlText w:val=""/>
      <w:lvlJc w:val="left"/>
      <w:pPr>
        <w:ind w:left="3600" w:hanging="-3240"/>
      </w:pPr>
      <w:rPr>
        <w:rFonts w:ascii="Wingdings 2" w:hAnsi="Wingdings 2" w:cs="Wingdings 2" w:hint="default"/>
        <w:u w:val="none"/>
        <w:b/>
      </w:rPr>
    </w:lvl>
    <w:lvl w:ilvl="5">
      <w:start w:val="1"/>
      <w:numFmt w:val="bullet"/>
      <w:lvlText w:val="■"/>
      <w:lvlJc w:val="left"/>
      <w:pPr>
        <w:ind w:left="4320" w:hanging="-3960"/>
      </w:pPr>
      <w:rPr>
        <w:rFonts w:ascii="OpenSymbol" w:hAnsi="OpenSymbol" w:cs="OpenSymbol" w:hint="default"/>
        <w:u w:val="none"/>
        <w:b/>
      </w:rPr>
    </w:lvl>
    <w:lvl w:ilvl="6">
      <w:start w:val="1"/>
      <w:numFmt w:val="bullet"/>
      <w:lvlText w:val=""/>
      <w:lvlJc w:val="left"/>
      <w:pPr>
        <w:ind w:left="5040" w:hanging="-4680"/>
      </w:pPr>
      <w:rPr>
        <w:rFonts w:ascii="Wingdings" w:hAnsi="Wingdings" w:cs="Wingdings" w:hint="default"/>
        <w:u w:val="none"/>
        <w:b/>
      </w:rPr>
    </w:lvl>
    <w:lvl w:ilvl="7">
      <w:start w:val="1"/>
      <w:numFmt w:val="bullet"/>
      <w:lvlText w:val=""/>
      <w:lvlJc w:val="left"/>
      <w:pPr>
        <w:ind w:left="5760" w:hanging="-5400"/>
      </w:pPr>
      <w:rPr>
        <w:rFonts w:ascii="Wingdings 2" w:hAnsi="Wingdings 2" w:cs="Wingdings 2" w:hint="default"/>
        <w:u w:val="none"/>
        <w:b/>
      </w:rPr>
    </w:lvl>
    <w:lvl w:ilvl="8">
      <w:start w:val="1"/>
      <w:numFmt w:val="bullet"/>
      <w:lvlText w:val="■"/>
      <w:lvlJc w:val="left"/>
      <w:pPr>
        <w:ind w:left="6480" w:hanging="-6120"/>
      </w:pPr>
      <w:rPr>
        <w:rFonts w:ascii="OpenSymbol" w:hAnsi="OpenSymbol" w:cs="OpenSymbol" w:hint="default"/>
        <w:u w:val="none"/>
        <w:b/>
      </w:rPr>
    </w:lvl>
  </w:abstractNum>
  <w:abstractNum w:abstractNumId="4">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1080"/>
      </w:pPr>
      <w:rPr>
        <w:rFonts w:ascii="Wingdings 2" w:hAnsi="Wingdings 2" w:cs="Wingdings 2" w:hint="default"/>
        <w:u w:val="none"/>
        <w:b/>
      </w:rPr>
    </w:lvl>
    <w:lvl w:ilvl="2">
      <w:start w:val="1"/>
      <w:numFmt w:val="bullet"/>
      <w:lvlText w:val="■"/>
      <w:lvlJc w:val="left"/>
      <w:pPr>
        <w:ind w:left="2160" w:hanging="-1800"/>
      </w:pPr>
      <w:rPr>
        <w:rFonts w:ascii="OpenSymbol" w:hAnsi="OpenSymbol" w:cs="OpenSymbol" w:hint="default"/>
        <w:u w:val="none"/>
        <w:b/>
      </w:rPr>
    </w:lvl>
    <w:lvl w:ilvl="3">
      <w:start w:val="1"/>
      <w:numFmt w:val="bullet"/>
      <w:lvlText w:val=""/>
      <w:lvlJc w:val="left"/>
      <w:pPr>
        <w:ind w:left="2880" w:hanging="-2520"/>
      </w:pPr>
      <w:rPr>
        <w:rFonts w:ascii="Wingdings" w:hAnsi="Wingdings" w:cs="Wingdings" w:hint="default"/>
        <w:u w:val="none"/>
        <w:b/>
      </w:rPr>
    </w:lvl>
    <w:lvl w:ilvl="4">
      <w:start w:val="1"/>
      <w:numFmt w:val="bullet"/>
      <w:lvlText w:val=""/>
      <w:lvlJc w:val="left"/>
      <w:pPr>
        <w:ind w:left="3600" w:hanging="-3240"/>
      </w:pPr>
      <w:rPr>
        <w:rFonts w:ascii="Wingdings 2" w:hAnsi="Wingdings 2" w:cs="Wingdings 2" w:hint="default"/>
        <w:u w:val="none"/>
        <w:b/>
      </w:rPr>
    </w:lvl>
    <w:lvl w:ilvl="5">
      <w:start w:val="1"/>
      <w:numFmt w:val="bullet"/>
      <w:lvlText w:val="■"/>
      <w:lvlJc w:val="left"/>
      <w:pPr>
        <w:ind w:left="4320" w:hanging="-3960"/>
      </w:pPr>
      <w:rPr>
        <w:rFonts w:ascii="OpenSymbol" w:hAnsi="OpenSymbol" w:cs="OpenSymbol" w:hint="default"/>
        <w:u w:val="none"/>
        <w:b/>
      </w:rPr>
    </w:lvl>
    <w:lvl w:ilvl="6">
      <w:start w:val="1"/>
      <w:numFmt w:val="bullet"/>
      <w:lvlText w:val=""/>
      <w:lvlJc w:val="left"/>
      <w:pPr>
        <w:ind w:left="5040" w:hanging="-4680"/>
      </w:pPr>
      <w:rPr>
        <w:rFonts w:ascii="Wingdings" w:hAnsi="Wingdings" w:cs="Wingdings" w:hint="default"/>
        <w:u w:val="none"/>
        <w:b/>
      </w:rPr>
    </w:lvl>
    <w:lvl w:ilvl="7">
      <w:start w:val="1"/>
      <w:numFmt w:val="bullet"/>
      <w:lvlText w:val=""/>
      <w:lvlJc w:val="left"/>
      <w:pPr>
        <w:ind w:left="5760" w:hanging="-5400"/>
      </w:pPr>
      <w:rPr>
        <w:rFonts w:ascii="Wingdings 2" w:hAnsi="Wingdings 2" w:cs="Wingdings 2" w:hint="default"/>
        <w:u w:val="none"/>
        <w:b/>
      </w:rPr>
    </w:lvl>
    <w:lvl w:ilvl="8">
      <w:start w:val="1"/>
      <w:numFmt w:val="bullet"/>
      <w:lvlText w:val="■"/>
      <w:lvlJc w:val="left"/>
      <w:pPr>
        <w:ind w:left="6480" w:hanging="-6120"/>
      </w:pPr>
      <w:rPr>
        <w:rFonts w:ascii="OpenSymbol" w:hAnsi="OpenSymbol" w:cs="OpenSymbol" w:hint="default"/>
        <w:u w:val="none"/>
        <w:b/>
      </w:rPr>
    </w:lvl>
  </w:abstractNum>
  <w:abstractNum w:abstractNumId="5">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 w:val="22"/>
        <w:lang w:val="en-US" w:eastAsia="zh-CN" w:bidi="hi-IN"/>
      </w:rPr>
    </w:rPrDefault>
    <w:pPrDefault>
      <w:pPr>
        <w:widowControl/>
        <w:spacing w:lineRule="auto" w:line="276"/>
      </w:pPr>
    </w:pPrDefault>
  </w:docDefaults>
  <w:style w:type="paragraph" w:styleId="Normal">
    <w:name w:val="Normal"/>
    <w:qFormat/>
    <w:pPr>
      <w:keepNext/>
      <w:keepLines w:val="false"/>
      <w:widowControl/>
      <w:suppressAutoHyphens w:val="true"/>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0"/>
      <w:u w:val="none"/>
      <w:vertAlign w:val="baseline"/>
      <w:lang w:val="en-US" w:eastAsia="zh-CN" w:bidi="hi-IN"/>
    </w:rPr>
  </w:style>
  <w:style w:type="paragraph" w:styleId="Heading1">
    <w:name w:val="Heading 1"/>
    <w:basedOn w:val="Normal1"/>
    <w:next w:val="Normal"/>
    <w:qFormat/>
    <w:pPr>
      <w:keepNext/>
      <w:keepLines/>
      <w:spacing w:lineRule="auto" w:line="240" w:before="200" w:after="0"/>
      <w:contextualSpacing/>
    </w:pPr>
    <w:rPr>
      <w:rFonts w:ascii="Trebuchet MS" w:hAnsi="Trebuchet MS" w:eastAsia="Trebuchet MS" w:cs="Trebuchet MS"/>
      <w:sz w:val="32"/>
    </w:rPr>
  </w:style>
  <w:style w:type="paragraph" w:styleId="Heading2">
    <w:name w:val="Heading 2"/>
    <w:basedOn w:val="Normal1"/>
    <w:next w:val="Normal"/>
    <w:qFormat/>
    <w:pPr>
      <w:keepNext/>
      <w:keepLines/>
      <w:spacing w:lineRule="auto" w:line="240" w:before="200" w:after="0"/>
      <w:contextualSpacing/>
    </w:pPr>
    <w:rPr>
      <w:rFonts w:ascii="Trebuchet MS" w:hAnsi="Trebuchet MS" w:eastAsia="Trebuchet MS" w:cs="Trebuchet MS"/>
      <w:b/>
      <w:sz w:val="26"/>
    </w:rPr>
  </w:style>
  <w:style w:type="paragraph" w:styleId="Heading3">
    <w:name w:val="Heading 3"/>
    <w:basedOn w:val="Normal1"/>
    <w:next w:val="Normal"/>
    <w:qFormat/>
    <w:pPr>
      <w:keepNext/>
      <w:keepLines/>
      <w:spacing w:lineRule="auto" w:line="240" w:before="160" w:after="0"/>
      <w:contextualSpacing/>
    </w:pPr>
    <w:rPr>
      <w:rFonts w:ascii="Trebuchet MS" w:hAnsi="Trebuchet MS" w:eastAsia="Trebuchet MS" w:cs="Trebuchet MS"/>
      <w:b/>
      <w:color w:val="666666"/>
      <w:sz w:val="24"/>
    </w:rPr>
  </w:style>
  <w:style w:type="paragraph" w:styleId="Heading4">
    <w:name w:val="Heading 4"/>
    <w:basedOn w:val="Normal1"/>
    <w:next w:val="Normal"/>
    <w:qFormat/>
    <w:pPr>
      <w:keepNext/>
      <w:keepLines/>
      <w:spacing w:lineRule="auto" w:line="240" w:before="160" w:after="0"/>
      <w:contextualSpacing/>
    </w:pPr>
    <w:rPr>
      <w:rFonts w:ascii="Trebuchet MS" w:hAnsi="Trebuchet MS" w:eastAsia="Trebuchet MS" w:cs="Trebuchet MS"/>
      <w:color w:val="666666"/>
      <w:sz w:val="22"/>
      <w:u w:val="single"/>
    </w:rPr>
  </w:style>
  <w:style w:type="paragraph" w:styleId="Heading5">
    <w:name w:val="Heading 5"/>
    <w:basedOn w:val="Normal1"/>
    <w:next w:val="Normal"/>
    <w:qFormat/>
    <w:pPr>
      <w:keepNext/>
      <w:keepLines/>
      <w:spacing w:lineRule="auto" w:line="240" w:before="160" w:after="0"/>
      <w:contextualSpacing/>
    </w:pPr>
    <w:rPr>
      <w:rFonts w:ascii="Trebuchet MS" w:hAnsi="Trebuchet MS" w:eastAsia="Trebuchet MS" w:cs="Trebuchet MS"/>
      <w:color w:val="666666"/>
      <w:sz w:val="22"/>
    </w:rPr>
  </w:style>
  <w:style w:type="paragraph" w:styleId="Heading6">
    <w:name w:val="Heading 6"/>
    <w:basedOn w:val="Normal1"/>
    <w:next w:val="Normal"/>
    <w:qFormat/>
    <w:pPr>
      <w:keepNext/>
      <w:keepLines/>
      <w:spacing w:lineRule="auto" w:line="240" w:before="160" w:after="0"/>
      <w:contextualSpacing/>
    </w:pPr>
    <w:rPr>
      <w:rFonts w:ascii="Trebuchet MS" w:hAnsi="Trebuchet MS" w:eastAsia="Trebuchet MS" w:cs="Trebuchet MS"/>
      <w:i/>
      <w:color w:val="666666"/>
      <w:sz w:val="22"/>
    </w:rPr>
  </w:style>
  <w:style w:type="character" w:styleId="ListLabel1">
    <w:name w:val="ListLabel 1"/>
    <w:qFormat/>
    <w:rPr>
      <w:rFonts w:ascii="Calibri" w:hAnsi="Calibri"/>
      <w:b/>
      <w:u w:val="none"/>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1" w:default="1">
    <w:name w:val="LO-normal"/>
    <w:qFormat/>
    <w:pPr>
      <w:keepNext/>
      <w:keepLines w:val="false"/>
      <w:widowControl/>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0"/>
      <w:u w:val="none"/>
      <w:vertAlign w:val="baseline"/>
      <w:lang w:val="en-US" w:eastAsia="zh-CN" w:bidi="hi-IN"/>
    </w:rPr>
  </w:style>
  <w:style w:type="paragraph" w:styleId="Title">
    <w:name w:val="Title"/>
    <w:basedOn w:val="Normal1"/>
    <w:next w:val="Normal"/>
    <w:qFormat/>
    <w:pPr>
      <w:keepNext/>
      <w:keepLines/>
      <w:spacing w:lineRule="auto" w:line="240" w:before="0" w:after="0"/>
      <w:contextualSpacing/>
    </w:pPr>
    <w:rPr>
      <w:rFonts w:ascii="Trebuchet MS" w:hAnsi="Trebuchet MS" w:eastAsia="Trebuchet MS" w:cs="Trebuchet MS"/>
      <w:sz w:val="42"/>
    </w:rPr>
  </w:style>
  <w:style w:type="paragraph" w:styleId="Subtitle">
    <w:name w:val="Subtitle"/>
    <w:basedOn w:val="Normal1"/>
    <w:next w:val="Normal"/>
    <w:qFormat/>
    <w:pPr>
      <w:keepNext/>
      <w:keepLines/>
      <w:spacing w:lineRule="auto" w:line="240" w:before="0" w:after="200"/>
      <w:contextualSpacing/>
    </w:pPr>
    <w:rPr>
      <w:rFonts w:ascii="Trebuchet MS" w:hAnsi="Trebuchet MS" w:eastAsia="Trebuchet MS" w:cs="Trebuchet MS"/>
      <w:i/>
      <w:color w:val="666666"/>
      <w:sz w:val="26"/>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67</TotalTime>
  <Application>LibreOffice/4.4.1.2$Windows_x86 LibreOffice_project/45e2de17089c24a1fa810c8f975a7171ba4cd432</Application>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lastModifiedBy>avri doria</cp:lastModifiedBy>
  <dcterms:modified xsi:type="dcterms:W3CDTF">2015-03-16T06:53:02Z</dcterms:modified>
  <cp:revision>1</cp:revision>
</cp:coreProperties>
</file>

<file path=docProps/custom.xml><?xml version="1.0" encoding="utf-8"?>
<Properties xmlns="http://schemas.openxmlformats.org/officeDocument/2006/custom-properties" xmlns:vt="http://schemas.openxmlformats.org/officeDocument/2006/docPropsVTypes"/>
</file>