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57F95E4D" w:rsidR="0065077C" w:rsidRPr="00886303" w:rsidRDefault="0065077C" w:rsidP="00886303">
      <w:pPr>
        <w:pBdr>
          <w:bottom w:val="single" w:sz="4" w:space="1" w:color="auto"/>
        </w:pBdr>
        <w:rPr>
          <w:rFonts w:ascii="Calibri" w:hAnsi="Calibri"/>
          <w:b/>
        </w:rPr>
      </w:pPr>
      <w:r w:rsidRPr="00271977">
        <w:rPr>
          <w:rFonts w:ascii="Calibri" w:hAnsi="Calibri"/>
          <w:b/>
        </w:rPr>
        <w:t xml:space="preserve">Public Comment Review Tool – </w:t>
      </w:r>
      <w:r w:rsidR="005E18FD">
        <w:rPr>
          <w:rFonts w:ascii="Calibri" w:hAnsi="Calibri"/>
          <w:b/>
        </w:rPr>
        <w:t>CWG-Stewardship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2321FD">
        <w:rPr>
          <w:rFonts w:ascii="Calibri" w:hAnsi="Calibri"/>
        </w:rPr>
        <w:t>2</w:t>
      </w:r>
      <w:r w:rsidR="004B747B">
        <w:rPr>
          <w:rFonts w:ascii="Calibri" w:hAnsi="Calibri"/>
        </w:rPr>
        <w:t>2</w:t>
      </w:r>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290660B1" w14:textId="77777777" w:rsidR="00C10AD0" w:rsidRPr="00C10AD0" w:rsidRDefault="00C10AD0">
      <w:pPr>
        <w:rPr>
          <w:rFonts w:ascii="Calibri" w:hAnsi="Calibri"/>
          <w:color w:val="FF0000"/>
        </w:rPr>
      </w:pPr>
      <w:r w:rsidRPr="00C10AD0">
        <w:rPr>
          <w:rFonts w:ascii="Calibri" w:hAnsi="Calibri"/>
          <w:color w:val="FF0000"/>
        </w:rPr>
        <w:t xml:space="preserve">This document incorporates all (44) submissions received up until the deadline on 20 May at 23:59 UTC. </w:t>
      </w:r>
    </w:p>
    <w:p w14:paraId="048F3EBF" w14:textId="77777777" w:rsidR="00B82610" w:rsidRDefault="00C10AD0">
      <w:pPr>
        <w:rPr>
          <w:rFonts w:ascii="Calibri" w:hAnsi="Calibri"/>
          <w:i/>
        </w:rPr>
      </w:pPr>
      <w:r w:rsidRPr="00C10AD0">
        <w:rPr>
          <w:rFonts w:ascii="Calibri" w:hAnsi="Calibri"/>
          <w:i/>
        </w:rPr>
        <w:t xml:space="preserve">As of 22 May at 16:00 UTC, there are </w:t>
      </w:r>
      <w:r>
        <w:rPr>
          <w:rFonts w:ascii="Calibri" w:hAnsi="Calibri"/>
          <w:i/>
        </w:rPr>
        <w:t>(7) late submissions. These</w:t>
      </w:r>
      <w:r w:rsidRPr="00C10AD0">
        <w:rPr>
          <w:rFonts w:ascii="Calibri" w:hAnsi="Calibri"/>
          <w:i/>
        </w:rPr>
        <w:t xml:space="preserve"> submissions have not yet been incorporated in this document. </w:t>
      </w:r>
    </w:p>
    <w:p w14:paraId="7FB0DD46" w14:textId="0666DBA3" w:rsidR="00C10AD0" w:rsidRPr="00C10AD0" w:rsidRDefault="00B82610">
      <w:pPr>
        <w:rPr>
          <w:rFonts w:ascii="Calibri" w:hAnsi="Calibri"/>
          <w:i/>
        </w:rPr>
      </w:pPr>
      <w:r>
        <w:rPr>
          <w:rFonts w:ascii="Calibri" w:hAnsi="Calibri"/>
          <w:i/>
        </w:rPr>
        <w:t>The CWG</w:t>
      </w:r>
      <w:bookmarkStart w:id="0" w:name="_GoBack"/>
      <w:bookmarkEnd w:id="0"/>
      <w:r>
        <w:rPr>
          <w:rFonts w:ascii="Calibri" w:hAnsi="Calibri"/>
          <w:i/>
        </w:rPr>
        <w:t xml:space="preserve">-Stewardship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8"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C607CA"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0AD3FB3C" w:rsidR="00234F4E" w:rsidRDefault="00C607CA"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w:t>
        </w:r>
        <w:r w:rsidR="00EB61EE" w:rsidRPr="00EB61EE">
          <w:rPr>
            <w:rStyle w:val="Hyperlink"/>
            <w:rFonts w:ascii="Calibri" w:hAnsi="Calibri"/>
            <w:sz w:val="22"/>
            <w:szCs w:val="22"/>
          </w:rPr>
          <w:t>y</w:t>
        </w:r>
        <w:r w:rsidR="00EB61EE" w:rsidRPr="00EB61EE">
          <w:rPr>
            <w:rStyle w:val="Hyperlink"/>
            <w:rFonts w:ascii="Calibri" w:hAnsi="Calibri"/>
            <w:sz w:val="22"/>
            <w:szCs w:val="22"/>
          </w:rPr>
          <w:t>’s Use of IANA</w:t>
        </w:r>
      </w:hyperlink>
    </w:p>
    <w:p w14:paraId="5FC34F2D" w14:textId="77777777" w:rsidR="00886303" w:rsidRDefault="00C607CA">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C607CA">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5837C59E" w:rsidR="00EB61EE" w:rsidRDefault="00C607CA">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C607CA">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19F0DDDE" w:rsidR="00EB61EE" w:rsidRDefault="00C607CA">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2EB1AE14" w:rsidR="007E7DD4" w:rsidRDefault="00C607CA">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C607CA">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0ED0E13F" w:rsidR="007E7DD4" w:rsidRDefault="00C607CA">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33690830" w:rsidR="007E7DD4" w:rsidRDefault="00C607CA">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C607CA">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00340465" w:rsidR="002B68B5" w:rsidRDefault="00C607CA">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77777777" w:rsidR="002B68B5" w:rsidRDefault="00C607CA">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168C87D9" w:rsidR="002B68B5" w:rsidRDefault="00C607CA">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6E051405" w:rsidR="002B68B5" w:rsidRPr="002B68B5" w:rsidRDefault="00C607CA">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C607CA">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77777777" w:rsidR="00943EDA" w:rsidRDefault="00C607CA">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C607CA">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C607CA">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77777777" w:rsidR="002B68B5" w:rsidRDefault="00C607CA">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C607CA">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B7FE961" w:rsidR="00EB61EE" w:rsidRDefault="00C607CA">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413"/>
        <w:gridCol w:w="2880"/>
        <w:gridCol w:w="5400"/>
        <w:gridCol w:w="3870"/>
      </w:tblGrid>
      <w:tr w:rsidR="00167FC3" w:rsidRPr="009203EA" w14:paraId="7FF2EB92" w14:textId="77777777" w:rsidTr="009B7EB6">
        <w:trPr>
          <w:cantSplit/>
          <w:tblHeader/>
        </w:trPr>
        <w:tc>
          <w:tcPr>
            <w:tcW w:w="675" w:type="dxa"/>
            <w:tcBorders>
              <w:bottom w:val="single" w:sz="4" w:space="0" w:color="000000"/>
            </w:tcBorders>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tcBorders>
              <w:bottom w:val="single" w:sz="4" w:space="0" w:color="000000"/>
            </w:tcBorders>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tcBorders>
              <w:bottom w:val="single" w:sz="4" w:space="0" w:color="000000"/>
            </w:tcBorders>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tcBorders>
              <w:bottom w:val="single" w:sz="4" w:space="0" w:color="000000"/>
            </w:tcBorders>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tcBorders>
              <w:bottom w:val="single" w:sz="4" w:space="0" w:color="000000"/>
            </w:tcBorders>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BF5C23">
        <w:trPr>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1" w:name="Generalcomments"/>
            <w:bookmarkEnd w:id="1"/>
            <w:r>
              <w:rPr>
                <w:rFonts w:ascii="Calibri" w:hAnsi="Calibri"/>
                <w:b/>
                <w:sz w:val="22"/>
                <w:szCs w:val="22"/>
              </w:rPr>
              <w:t>General Comments</w:t>
            </w:r>
          </w:p>
        </w:tc>
      </w:tr>
      <w:tr w:rsidR="00167FC3" w:rsidRPr="009203EA" w14:paraId="6D13D2AD" w14:textId="77777777" w:rsidTr="009B7EB6">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9"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9B7EB6">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9B7EB6">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John Laprise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77777777" w:rsidR="00A20759" w:rsidRPr="009203EA" w:rsidRDefault="00165F37" w:rsidP="00DA3FF4">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1"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T</w:t>
            </w:r>
            <w:r w:rsidR="00884395">
              <w:rPr>
                <w:rFonts w:ascii="Calibri" w:hAnsi="Calibri"/>
                <w:b/>
                <w:i/>
                <w:sz w:val="22"/>
              </w:rPr>
              <w:t>he CWG</w:t>
            </w:r>
            <w:r w:rsidR="00DA3FF4">
              <w:rPr>
                <w:rFonts w:ascii="Calibri" w:hAnsi="Calibri"/>
                <w:b/>
                <w:i/>
                <w:sz w:val="22"/>
              </w:rPr>
              <w:t>-Stewardship will consider community feedback</w:t>
            </w:r>
            <w:r w:rsidR="00884395">
              <w:rPr>
                <w:rFonts w:ascii="Calibri" w:hAnsi="Calibri"/>
                <w:b/>
                <w:i/>
                <w:sz w:val="22"/>
              </w:rPr>
              <w:t xml:space="preserve"> in the final phase of its work. </w:t>
            </w:r>
          </w:p>
        </w:tc>
      </w:tr>
      <w:tr w:rsidR="00495745" w:rsidRPr="009203EA" w14:paraId="5D098D66" w14:textId="77777777" w:rsidTr="009B7EB6">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restricted timeframe. auDA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9B7EB6">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9B7EB6">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77777777" w:rsidR="00495745" w:rsidRPr="0041316E" w:rsidRDefault="00B74932" w:rsidP="0041316E">
            <w:pPr>
              <w:contextualSpacing/>
              <w:rPr>
                <w:rFonts w:ascii="Calibri" w:hAnsi="Calibri"/>
                <w:b/>
                <w:i/>
                <w:sz w:val="22"/>
              </w:rPr>
            </w:pPr>
            <w:r w:rsidRPr="0041316E">
              <w:rPr>
                <w:rFonts w:ascii="Calibri" w:hAnsi="Calibri"/>
                <w:b/>
                <w:i/>
                <w:sz w:val="22"/>
              </w:rPr>
              <w:t>The CWG</w:t>
            </w:r>
            <w:r w:rsidR="00DA3FF4">
              <w:rPr>
                <w:rFonts w:ascii="Calibri" w:hAnsi="Calibri"/>
                <w:b/>
                <w:i/>
                <w:sz w:val="22"/>
              </w:rPr>
              <w:t>-Stewardship</w:t>
            </w:r>
            <w:r w:rsidRPr="0041316E">
              <w:rPr>
                <w:rFonts w:ascii="Calibri" w:hAnsi="Calibri"/>
                <w:b/>
                <w:i/>
                <w:sz w:val="22"/>
              </w:rPr>
              <w:t xml:space="preserve"> agrees with </w:t>
            </w:r>
            <w:r w:rsidR="0041316E" w:rsidRPr="0041316E">
              <w:rPr>
                <w:rFonts w:ascii="Calibri" w:hAnsi="Calibri"/>
                <w:b/>
                <w:i/>
                <w:sz w:val="22"/>
              </w:rPr>
              <w:t xml:space="preserve">this perspective and is of the view that its proposal meets these criteria. </w:t>
            </w:r>
          </w:p>
        </w:tc>
      </w:tr>
      <w:tr w:rsidR="009B7EB6" w:rsidRPr="009203EA" w14:paraId="619C984F" w14:textId="77777777" w:rsidTr="009B7EB6">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9B7EB6">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2"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3"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9B7EB6">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4"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9B7EB6">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5"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9B7EB6">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9B7EB6">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77777777" w:rsidR="004B545E" w:rsidRPr="00BF5C23" w:rsidRDefault="004B545E" w:rsidP="0064339D">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4B545E" w:rsidRPr="009203EA" w14:paraId="4DFAAF8A" w14:textId="77777777" w:rsidTr="009B7EB6">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ICANN has not dealt fairly with the applicants especially in the controversial application where issues such as the conflict of interest within the ICANN board has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9B7EB6">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9B7EB6">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77777777" w:rsidR="0048245D" w:rsidRPr="00B74932" w:rsidRDefault="00220383" w:rsidP="00220383">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6"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9B7EB6">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77777777" w:rsidR="000A04C9" w:rsidRPr="00BF5C23" w:rsidRDefault="000A04C9" w:rsidP="00C76586">
            <w:pPr>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7"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9B7EB6">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9B7EB6">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8"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9B7EB6">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significant issues. The dead-end of a so-called “internal solution” has again been rejected by the CWG, and important principles of separability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judgement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B7EB6">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fulfils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77777777" w:rsidR="00D00D93" w:rsidRPr="00B74932" w:rsidRDefault="0075396A" w:rsidP="00D00D93">
            <w:pPr>
              <w:rPr>
                <w:rFonts w:ascii="Calibri" w:hAnsi="Calibri"/>
                <w:b/>
                <w:i/>
                <w:sz w:val="22"/>
              </w:rPr>
            </w:pPr>
            <w:r w:rsidRPr="00253268">
              <w:rPr>
                <w:rFonts w:ascii="Calibri" w:hAnsi="Calibri"/>
                <w:b/>
                <w:i/>
                <w:sz w:val="22"/>
              </w:rPr>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performance review </w:t>
            </w:r>
            <w:r w:rsidR="00D00D93" w:rsidRPr="00253268">
              <w:rPr>
                <w:rFonts w:ascii="Calibri" w:hAnsi="Calibri"/>
                <w:b/>
                <w:i/>
                <w:sz w:val="22"/>
              </w:rPr>
              <w:t>on a day-to-day basis and through a periodic review. These review mechanisms are multistakeholder and further the requirement for multistakeholder oversight of the IANA Functions.</w:t>
            </w:r>
            <w:r w:rsidR="00D00D93">
              <w:rPr>
                <w:rFonts w:ascii="Calibri" w:hAnsi="Calibri"/>
                <w:b/>
                <w:i/>
                <w:sz w:val="22"/>
              </w:rPr>
              <w:t xml:space="preserve"> </w:t>
            </w:r>
          </w:p>
          <w:p w14:paraId="024CFE06" w14:textId="77777777" w:rsidR="0075396A" w:rsidRPr="00B74932" w:rsidRDefault="0075396A" w:rsidP="00D00D93">
            <w:pPr>
              <w:rPr>
                <w:rFonts w:ascii="Calibri" w:hAnsi="Calibri"/>
                <w:b/>
                <w:i/>
                <w:sz w:val="22"/>
              </w:rPr>
            </w:pPr>
          </w:p>
        </w:tc>
      </w:tr>
      <w:tr w:rsidR="00D00D93" w:rsidRPr="009203EA" w14:paraId="552D9EF0" w14:textId="77777777" w:rsidTr="009B7EB6">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77777777"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19"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894605" w:rsidRPr="009203EA" w14:paraId="1F2CFF92" w14:textId="77777777" w:rsidTr="009B7EB6">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r w:rsidRPr="00894605">
              <w:rPr>
                <w:rFonts w:ascii="Calibri" w:eastAsia="Times New Roman" w:hAnsi="Calibri"/>
                <w:sz w:val="22"/>
                <w:szCs w:val="22"/>
              </w:rPr>
              <w:t>AmCham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given the complexity of the transition, AmCham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r w:rsidRPr="00894605">
              <w:rPr>
                <w:rFonts w:ascii="Calibri" w:eastAsia="Times New Roman" w:hAnsi="Calibri"/>
                <w:sz w:val="22"/>
                <w:szCs w:val="22"/>
              </w:rPr>
              <w:t>synchronise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0"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9B7EB6">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of the proposal AmCham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r w:rsidRPr="009D14CB">
              <w:rPr>
                <w:rFonts w:ascii="Calibri" w:eastAsia="Times New Roman" w:hAnsi="Calibri"/>
                <w:sz w:val="22"/>
                <w:szCs w:val="22"/>
              </w:rPr>
              <w:t>destabilising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77777777" w:rsidR="009D14CB" w:rsidRPr="00BF5C23" w:rsidRDefault="009D14CB" w:rsidP="00D00D93">
            <w:pPr>
              <w:rPr>
                <w:rFonts w:ascii="Calibri" w:hAnsi="Calibri"/>
                <w:b/>
                <w:i/>
                <w:sz w:val="22"/>
              </w:rPr>
            </w:pPr>
            <w:r w:rsidRPr="00BF5C23">
              <w:rPr>
                <w:rFonts w:ascii="Calibri" w:hAnsi="Calibri"/>
                <w:b/>
                <w:i/>
                <w:sz w:val="22"/>
              </w:rPr>
              <w:t>The CWG-Stewardship appreciates your feedback but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C76586" w:rsidRPr="009203EA" w14:paraId="04750A77" w14:textId="77777777" w:rsidTr="009B7EB6">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9B7EB6">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9B7EB6">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F109F7">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CENTR is concerned that the amount of time needed to complete the proposal and add crucial elements such as the SLE, the time needed to finalise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1"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F109F7">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F109F7">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therefore  begin by expressing strong support for the basic idea of a legally separate  Post-Transition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F109F7">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F109F7">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favourable,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F109F7">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organisational structure that forms the oversight of the PTI like the the proposed CSC, IFR, etc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F109F7">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F109F7">
        <w:tc>
          <w:tcPr>
            <w:tcW w:w="675" w:type="dxa"/>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conditioned on the outcomes of the CCWG process related to broader ICANN accountability, work that may not achieve a reasonable level of stability in its recommendations until after the date by which the SO/ACs will be asked to approve the CWG’s final proposal. This may present a challenge, as the SO/ACs will be asked to approve the CWG’s proposal in the absence of key aspects that a number of the aforementioned mechanisms are contingent upon. </w:t>
            </w:r>
          </w:p>
        </w:tc>
        <w:tc>
          <w:tcPr>
            <w:tcW w:w="3870" w:type="dxa"/>
          </w:tcPr>
          <w:p w14:paraId="5AB48CC1" w14:textId="77777777" w:rsidR="002C4F57" w:rsidRDefault="002C4F57" w:rsidP="002C4F57">
            <w:pPr>
              <w:contextualSpacing/>
              <w:rPr>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2"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33D7F548"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3" w:history="1">
              <w:r w:rsidRPr="00017C49">
                <w:rPr>
                  <w:rStyle w:val="Hyperlink"/>
                  <w:rFonts w:ascii="Calibri" w:hAnsi="Calibri"/>
                  <w:b/>
                  <w:i/>
                  <w:sz w:val="22"/>
                </w:rPr>
                <w:t>http://forum.icann.org/lists/comments-cwg-stewardship-draft-proposal-22apr15/msg00017.html</w:t>
              </w:r>
            </w:hyperlink>
          </w:p>
        </w:tc>
      </w:tr>
      <w:tr w:rsidR="00021B63" w:rsidRPr="009203EA" w14:paraId="1496DE7B" w14:textId="77777777" w:rsidTr="00F109F7">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organisation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F109F7">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r>
              <w:rPr>
                <w:rFonts w:ascii="Calibri" w:hAnsi="Calibri"/>
                <w:sz w:val="22"/>
              </w:rPr>
              <w:t>Eberhard Lisse</w:t>
            </w:r>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The CWG-Stewardship Proposal is convoluted and as it is    presented in a pre-set format it is difficult to read, especially    for non native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F109F7">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This document is, from Afnic’s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F109F7">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F109F7">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Cross­Community</w:t>
            </w:r>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CWG­Stewardship’s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r w:rsidRPr="00312E81">
              <w:rPr>
                <w:rFonts w:asciiTheme="majorHAnsi" w:hAnsiTheme="majorHAnsi"/>
                <w:sz w:val="22"/>
                <w:szCs w:val="22"/>
              </w:rPr>
              <w:t>post­transition</w:t>
            </w:r>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F109F7">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F109F7">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453918A0" w:rsidR="00436DB0" w:rsidRDefault="00436DB0" w:rsidP="00436DB0">
            <w:pPr>
              <w:rPr>
                <w:rFonts w:ascii="Calibri" w:hAnsi="Calibri"/>
                <w:b/>
                <w:i/>
                <w:sz w:val="22"/>
              </w:rPr>
            </w:pPr>
            <w:r>
              <w:rPr>
                <w:rFonts w:ascii="Calibri" w:hAnsi="Calibri"/>
                <w:b/>
                <w:i/>
                <w:sz w:val="22"/>
              </w:rPr>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F109F7">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r>
              <w:rPr>
                <w:rFonts w:ascii="Calibri" w:hAnsi="Calibri"/>
                <w:sz w:val="22"/>
              </w:rPr>
              <w:t>Nominet</w:t>
            </w:r>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We believe that the current proposal shows significant progress from the first draft and addresses many of our concerns with the initial work. We recognise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F109F7">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!CANN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77777777" w:rsidR="004C12D4" w:rsidRDefault="004C12D4" w:rsidP="00B118F0">
            <w:pPr>
              <w:rPr>
                <w:rFonts w:ascii="Calibri" w:hAnsi="Calibri"/>
                <w:b/>
                <w:i/>
                <w:sz w:val="22"/>
              </w:rPr>
            </w:pPr>
            <w:r>
              <w:rPr>
                <w:rFonts w:ascii="Calibri" w:hAnsi="Calibri"/>
                <w:b/>
                <w:i/>
                <w:sz w:val="22"/>
              </w:rPr>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F109F7">
        <w:tc>
          <w:tcPr>
            <w:tcW w:w="675" w:type="dxa"/>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
          <w:p w14:paraId="1E18C9B2" w14:textId="48E15119" w:rsidR="00DF5B53" w:rsidRDefault="00DF5B53" w:rsidP="00DF5B53">
            <w:pPr>
              <w:rPr>
                <w:rFonts w:ascii="Calibri" w:hAnsi="Calibri"/>
                <w:b/>
                <w:i/>
                <w:sz w:val="22"/>
              </w:rPr>
            </w:pPr>
            <w:r>
              <w:rPr>
                <w:rFonts w:ascii="Calibri" w:hAnsi="Calibri"/>
                <w:b/>
                <w:i/>
                <w:sz w:val="22"/>
              </w:rPr>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F847F2" w:rsidRPr="009203EA" w14:paraId="1F30167A" w14:textId="77777777" w:rsidTr="00F109F7">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external models proposed to </w:t>
            </w:r>
            <w:r w:rsidR="00E576B7">
              <w:rPr>
                <w:rFonts w:asciiTheme="majorHAnsi" w:eastAsia="ＭＳ 明朝" w:hAnsiTheme="majorHAnsi" w:cs="Times New Roman"/>
                <w:sz w:val="22"/>
                <w:szCs w:val="22"/>
              </w:rPr>
              <w:t xml:space="preserve">date. </w:t>
            </w:r>
            <w:r w:rsidRPr="00E576B7">
              <w:rPr>
                <w:rFonts w:asciiTheme="majorHAnsi" w:eastAsia="ＭＳ 明朝" w:hAnsiTheme="majorHAnsi" w:cs="Times New Roman"/>
                <w:sz w:val="22"/>
                <w:szCs w:val="22"/>
              </w:rPr>
              <w:t>It also strengthens the separation between the policy making and IANA functions and allows for separability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t>The CWG-Stewardship appreciates your feedback.</w:t>
            </w:r>
          </w:p>
        </w:tc>
      </w:tr>
      <w:tr w:rsidR="00DD2B80" w:rsidRPr="009203EA" w14:paraId="6BAE0B9F" w14:textId="77777777" w:rsidTr="00F109F7">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DD2B80">
            <w:pPr>
              <w:pStyle w:val="normal0"/>
              <w:contextualSpacing w:val="0"/>
              <w:rPr>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DD2B80">
            <w:pPr>
              <w:pStyle w:val="normal0"/>
              <w:contextualSpacing w:val="0"/>
              <w:rPr>
                <w:sz w:val="22"/>
                <w:szCs w:val="22"/>
              </w:rPr>
            </w:pPr>
          </w:p>
          <w:p w14:paraId="40298719" w14:textId="77777777" w:rsidR="00DD2B80" w:rsidRPr="00DD2B80" w:rsidRDefault="00DD2B80" w:rsidP="00DD2B80">
            <w:pPr>
              <w:pStyle w:val="normal0"/>
              <w:contextualSpacing w:val="0"/>
              <w:rPr>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It strengthens the separation of ICANN’s policy making role from the IANA functions operator. Such 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1"/>
            </w:r>
          </w:p>
          <w:p w14:paraId="2AAB53C9"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The potential to change IANA functions operators is an essential feature of the post-transition accountability mechanisms. Separability is a principle accepted by the CWG and specifically proposed by both the protocols and numbers communities. Unless the assets, staff and operations associated with IANA are already separated from the rest of ICANN, separability is not a feasible option. Thus, PTI removes one of the potential barriers to a change in IANA functions operators.</w:t>
            </w:r>
          </w:p>
          <w:p w14:paraId="09BA0D6E"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0"/>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00F852F6" w:rsidR="00DD2B80" w:rsidRDefault="00DD2B80" w:rsidP="00DF5B53">
            <w:pPr>
              <w:rPr>
                <w:rFonts w:ascii="Calibri" w:hAnsi="Calibri"/>
                <w:b/>
                <w:i/>
                <w:sz w:val="22"/>
              </w:rPr>
            </w:pPr>
            <w:r>
              <w:rPr>
                <w:rFonts w:ascii="Calibri" w:hAnsi="Calibri"/>
                <w:b/>
                <w:i/>
                <w:sz w:val="22"/>
              </w:rPr>
              <w:t>The CWG-Stewardship appreciates your feedback.</w:t>
            </w:r>
          </w:p>
        </w:tc>
      </w:tr>
      <w:tr w:rsidR="00C607CA" w:rsidRPr="009203EA" w14:paraId="0137D3CE" w14:textId="77777777" w:rsidTr="00F109F7">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DD2B80">
            <w:pPr>
              <w:pStyle w:val="normal0"/>
              <w:rPr>
                <w:rFonts w:ascii="Calibri" w:eastAsia="Calibri" w:hAnsi="Calibri" w:cs="Calibri"/>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F109F7">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III.A.i.a,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DD2B80">
            <w:pPr>
              <w:pStyle w:val="normal0"/>
              <w:rPr>
                <w:rFonts w:ascii="Calibri" w:eastAsia="Calibri" w:hAnsi="Calibri" w:cs="Calibri"/>
                <w:sz w:val="22"/>
                <w:szCs w:val="22"/>
              </w:rPr>
            </w:pPr>
          </w:p>
          <w:p w14:paraId="4B6FEFB5" w14:textId="71D57E25"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We do have: </w:t>
            </w:r>
          </w:p>
          <w:p w14:paraId="1698B908"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a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F109F7">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DD2B80">
            <w:pPr>
              <w:pStyle w:val="normal0"/>
              <w:rPr>
                <w:rFonts w:ascii="Calibri" w:eastAsia="Calibri" w:hAnsi="Calibri" w:cs="Calibri"/>
                <w:sz w:val="22"/>
                <w:szCs w:val="22"/>
              </w:rPr>
            </w:pPr>
            <w:r w:rsidRPr="00202FEE">
              <w:rPr>
                <w:rFonts w:ascii="Calibri" w:eastAsia="Calibri" w:hAnsi="Calibri" w:cs="Calibri"/>
                <w:sz w:val="22"/>
                <w:szCs w:val="22"/>
              </w:rPr>
              <w:t>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endeavour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DD2B80">
            <w:pPr>
              <w:pStyle w:val="normal0"/>
              <w:rPr>
                <w:rFonts w:ascii="Calibri" w:eastAsia="Calibri" w:hAnsi="Calibri" w:cs="Calibri"/>
                <w:sz w:val="22"/>
                <w:szCs w:val="22"/>
              </w:rPr>
            </w:pPr>
          </w:p>
          <w:p w14:paraId="469F488D" w14:textId="5BDBBC14" w:rsidR="00CB1A11" w:rsidRPr="00590214" w:rsidRDefault="00CB1A11" w:rsidP="00DD2B80">
            <w:pPr>
              <w:pStyle w:val="normal0"/>
              <w:rPr>
                <w:rFonts w:ascii="Calibri" w:eastAsia="Calibri" w:hAnsi="Calibri" w:cs="Calibri"/>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F109F7">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5299B0D0" w:rsidR="00CB1A11" w:rsidRDefault="00CB1A11" w:rsidP="00312E81">
            <w:pPr>
              <w:contextualSpacing/>
              <w:rPr>
                <w:rFonts w:ascii="Calibri" w:hAnsi="Calibri"/>
                <w:sz w:val="22"/>
              </w:rPr>
            </w:pPr>
            <w:r>
              <w:rPr>
                <w:rFonts w:ascii="Calibri" w:hAnsi="Calibri"/>
                <w:sz w:val="22"/>
              </w:rPr>
              <w:t>Julie Cong ZHU</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F109F7">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0268FE7E" w:rsidR="0032013C" w:rsidRDefault="0032013C" w:rsidP="00312E81">
            <w:pPr>
              <w:contextualSpacing/>
              <w:rPr>
                <w:rFonts w:ascii="Calibri" w:hAnsi="Calibri"/>
                <w:sz w:val="22"/>
              </w:rPr>
            </w:pPr>
            <w:r>
              <w:rPr>
                <w:rFonts w:ascii="Calibri" w:hAnsi="Calibri"/>
                <w:sz w:val="22"/>
              </w:rPr>
              <w:t>Julie Cong ZHU</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E52EDA" w:rsidRPr="009203EA" w14:paraId="2384C371" w14:textId="77777777" w:rsidTr="00BF5C23">
        <w:tc>
          <w:tcPr>
            <w:tcW w:w="14238" w:type="dxa"/>
            <w:gridSpan w:val="5"/>
            <w:shd w:val="clear" w:color="auto" w:fill="F79646"/>
          </w:tcPr>
          <w:p w14:paraId="6F5B7AD9" w14:textId="77777777" w:rsidR="00E52EDA" w:rsidRPr="009203EA" w:rsidRDefault="00E52EDA" w:rsidP="000779F4">
            <w:pPr>
              <w:contextualSpacing/>
              <w:rPr>
                <w:rFonts w:ascii="Calibri" w:hAnsi="Calibri"/>
                <w:b/>
                <w:sz w:val="22"/>
                <w:szCs w:val="22"/>
              </w:rPr>
            </w:pPr>
            <w:bookmarkStart w:id="2" w:name="SectionI"/>
            <w:bookmarkEnd w:id="2"/>
            <w:r>
              <w:rPr>
                <w:rFonts w:ascii="Calibri" w:hAnsi="Calibri"/>
                <w:b/>
                <w:sz w:val="22"/>
                <w:szCs w:val="22"/>
              </w:rPr>
              <w:t>Section I – The Community’s Use of IANA</w:t>
            </w:r>
          </w:p>
        </w:tc>
      </w:tr>
      <w:tr w:rsidR="00167FC3" w:rsidRPr="009203EA" w14:paraId="60B1312F" w14:textId="77777777" w:rsidTr="009B7EB6">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9B7EB6">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The IANA functions are currently managed and maintained effectively. In thinking through the evolution of the stewardship role over the IANA functions, we emphasize three key points: (1) that ICANN and its partners perform the IANA functions well; (2) that future stewardship arrangements should prioritize simplicity; and (3) that broader accountability improvements are needed but should be addressed primarily through the cross­community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We have advocated for a simple and straightforward framework for post­transition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9B7EB6">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A06526">
            <w:pPr>
              <w:pStyle w:val="normal0"/>
              <w:contextualSpacing w:val="0"/>
              <w:rPr>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A06526">
            <w:pPr>
              <w:pStyle w:val="normal0"/>
              <w:contextualSpacing w:val="0"/>
              <w:rPr>
                <w:sz w:val="22"/>
                <w:szCs w:val="22"/>
              </w:rPr>
            </w:pPr>
          </w:p>
          <w:p w14:paraId="576A7BD2" w14:textId="6DC9646E" w:rsidR="00A06526" w:rsidRPr="00AD764D" w:rsidRDefault="00A06526" w:rsidP="00AD764D">
            <w:pPr>
              <w:pStyle w:val="normal0"/>
              <w:contextualSpacing w:val="0"/>
              <w:rPr>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E52EDA" w:rsidRPr="009203EA" w14:paraId="2186C1C5" w14:textId="77777777" w:rsidTr="00BF5C23">
        <w:tc>
          <w:tcPr>
            <w:tcW w:w="14238" w:type="dxa"/>
            <w:gridSpan w:val="5"/>
            <w:shd w:val="clear" w:color="auto" w:fill="F79646"/>
          </w:tcPr>
          <w:p w14:paraId="08C25014" w14:textId="77777777" w:rsidR="00E52EDA" w:rsidRPr="009203EA" w:rsidRDefault="00E52EDA" w:rsidP="009203EA">
            <w:pPr>
              <w:contextualSpacing/>
              <w:rPr>
                <w:rFonts w:ascii="Calibri" w:hAnsi="Calibri"/>
                <w:b/>
                <w:sz w:val="22"/>
                <w:szCs w:val="22"/>
              </w:rPr>
            </w:pPr>
            <w:bookmarkStart w:id="3" w:name="SectionII"/>
            <w:r>
              <w:rPr>
                <w:rFonts w:ascii="Calibri" w:hAnsi="Calibri"/>
                <w:b/>
                <w:sz w:val="22"/>
                <w:szCs w:val="22"/>
              </w:rPr>
              <w:t>Section II – Existing Pre-Transition Arrangements</w:t>
            </w:r>
            <w:bookmarkEnd w:id="3"/>
          </w:p>
        </w:tc>
      </w:tr>
      <w:tr w:rsidR="00F21FF2" w:rsidRPr="009203EA" w14:paraId="44DEAACB" w14:textId="77777777" w:rsidTr="00F21FF2">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In relation to section II.B.i.a,</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F21FF2">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r>
              <w:rPr>
                <w:rFonts w:ascii="Calibri" w:hAnsi="Calibri"/>
                <w:sz w:val="22"/>
              </w:rPr>
              <w:t>Eberhard Lisse</w:t>
            </w:r>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388875AD" w:rsidR="00322755" w:rsidRDefault="00322755" w:rsidP="00F21FF2">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EE6957" w:rsidRPr="009203EA" w14:paraId="51AC1ABA" w14:textId="77777777" w:rsidTr="00F21FF2">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AC198E" w:rsidRPr="009203EA" w14:paraId="3171E28C" w14:textId="77777777" w:rsidTr="00BF5C23">
        <w:tc>
          <w:tcPr>
            <w:tcW w:w="14238" w:type="dxa"/>
            <w:gridSpan w:val="5"/>
            <w:shd w:val="clear" w:color="auto" w:fill="F79646"/>
          </w:tcPr>
          <w:p w14:paraId="2D4B00FE" w14:textId="374DA269" w:rsidR="00AC198E" w:rsidRPr="009203EA" w:rsidRDefault="00AC198E" w:rsidP="00AC198E">
            <w:pPr>
              <w:contextualSpacing/>
              <w:rPr>
                <w:rFonts w:ascii="Calibri" w:hAnsi="Calibri"/>
                <w:b/>
                <w:sz w:val="22"/>
                <w:szCs w:val="22"/>
              </w:rPr>
            </w:pPr>
            <w:bookmarkStart w:id="4" w:name="SectionIIIElementsofthisproposal"/>
            <w:bookmarkEnd w:id="4"/>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9B7EB6">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9B7EB6">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5"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9B7EB6">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9B7EB6">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9B7EB6">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77777777" w:rsidR="00EF2F4C" w:rsidRPr="0041316E" w:rsidRDefault="00EF2F4C" w:rsidP="00C95D6E">
            <w:pPr>
              <w:rPr>
                <w:rFonts w:ascii="Calibri" w:hAnsi="Calibri"/>
                <w:b/>
                <w:i/>
                <w:sz w:val="22"/>
              </w:rPr>
            </w:pPr>
            <w:r>
              <w:rPr>
                <w:rFonts w:ascii="Calibri" w:hAnsi="Calibri"/>
                <w:b/>
                <w:i/>
                <w:sz w:val="22"/>
              </w:rPr>
              <w:t xml:space="preserve">The CWG-Stewardship appreciates your response and thanks you for your coordination efforts. </w:t>
            </w:r>
          </w:p>
        </w:tc>
      </w:tr>
      <w:tr w:rsidR="00F755D4" w:rsidRPr="009203EA" w14:paraId="334338D1" w14:textId="77777777" w:rsidTr="009B7EB6">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50D7DD38" w:rsidR="00F755D4" w:rsidRDefault="008D7496" w:rsidP="00C95D6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6"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05194" w:rsidRPr="009203EA" w14:paraId="47FB89D9" w14:textId="77777777" w:rsidTr="009B7EB6">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9B7EB6">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The possibility of 'separation': This option has animated the CWG debates to a large degree and is now reflected in the proposal that the IANA function should be re-assigned to the Post-Transition IANA (PTI), initially within the ICANN organisation,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materialise,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9B7EB6">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9B7EB6">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9B7EB6">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396A30BA" w:rsidR="00CB1A11" w:rsidRDefault="00CB1A11" w:rsidP="00AC198E">
            <w:pPr>
              <w:pStyle w:val="ListParagraph"/>
              <w:ind w:left="0"/>
              <w:rPr>
                <w:rFonts w:ascii="Calibri" w:eastAsia="Times New Roman" w:hAnsi="Calibri"/>
                <w:sz w:val="22"/>
                <w:szCs w:val="22"/>
              </w:rPr>
            </w:pPr>
            <w:r>
              <w:rPr>
                <w:rFonts w:ascii="Calibri" w:eastAsia="Times New Roman" w:hAnsi="Calibri"/>
                <w:sz w:val="22"/>
                <w:szCs w:val="22"/>
              </w:rPr>
              <w:t>Julie Cong ZHU</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AC198E" w:rsidRPr="009203EA" w14:paraId="158124EB" w14:textId="77777777" w:rsidTr="00BF5C23">
        <w:tc>
          <w:tcPr>
            <w:tcW w:w="14238" w:type="dxa"/>
            <w:gridSpan w:val="5"/>
            <w:shd w:val="clear" w:color="auto" w:fill="F79646"/>
          </w:tcPr>
          <w:p w14:paraId="3C293FCB" w14:textId="77777777" w:rsidR="00AC198E" w:rsidRPr="009203EA" w:rsidRDefault="00AC198E" w:rsidP="00AC198E">
            <w:pPr>
              <w:contextualSpacing/>
              <w:rPr>
                <w:rFonts w:ascii="Calibri" w:hAnsi="Calibri"/>
                <w:b/>
                <w:sz w:val="22"/>
                <w:szCs w:val="22"/>
              </w:rPr>
            </w:pPr>
            <w:bookmarkStart w:id="5" w:name="SectionIIIproposedposttransitionstructur"/>
            <w:bookmarkEnd w:id="5"/>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9B7EB6">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Supports that IANA should remain the IFO and principles of community involvement but questions whether these 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community is satisfied with ICANN’s IANA department performance and that ICANN should remain the IANA Functions Operator. Noting this, any changes to the 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However, auDA questions the CWG's interpretation that these goals can only be delivered through the establishment of a distinct legal entity (whether as a subsidiary of ICANN or otherwise). auDA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2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A1F77" w:rsidRPr="009203EA" w14:paraId="76193E60" w14:textId="77777777" w:rsidTr="009B7EB6">
        <w:tc>
          <w:tcPr>
            <w:tcW w:w="675" w:type="dxa"/>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domainers,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
          <w:p w14:paraId="37C19F51" w14:textId="77777777" w:rsidR="00E32738" w:rsidRPr="00E32738" w:rsidRDefault="00E32738" w:rsidP="00E32738">
            <w:pPr>
              <w:rPr>
                <w:rFonts w:ascii="Calibri" w:eastAsia="Times New Roman" w:hAnsi="Calibri"/>
                <w:b/>
                <w:i/>
                <w:sz w:val="22"/>
                <w:szCs w:val="22"/>
              </w:rPr>
            </w:pPr>
            <w:r w:rsidRPr="00E32738">
              <w:rPr>
                <w:rFonts w:ascii="Calibri" w:eastAsia="Times New Roman" w:hAnsi="Calibri"/>
                <w:b/>
                <w:i/>
                <w:sz w:val="22"/>
                <w:szCs w:val="22"/>
              </w:rPr>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77777777" w:rsidR="006A1F77" w:rsidRPr="00C814DA" w:rsidRDefault="00C814DA" w:rsidP="00C814DA">
            <w:pPr>
              <w:pStyle w:val="Default"/>
              <w:rPr>
                <w:rFonts w:ascii="Arial" w:eastAsia="ＭＳ 明朝"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tc>
      </w:tr>
      <w:tr w:rsidR="0077792A" w:rsidRPr="009203EA" w14:paraId="38C3C6C1" w14:textId="77777777" w:rsidTr="009B7EB6">
        <w:tc>
          <w:tcPr>
            <w:tcW w:w="675" w:type="dxa"/>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2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9B7EB6">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clerical/authorising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those functions and their delivery provides no basis for judgement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operator </w:t>
            </w:r>
            <w:r>
              <w:rPr>
                <w:rFonts w:ascii="Calibri" w:hAnsi="Calibri"/>
                <w:sz w:val="22"/>
              </w:rPr>
              <w:t xml:space="preserve"> s</w:t>
            </w:r>
            <w:r w:rsidRPr="00C45336">
              <w:rPr>
                <w:rFonts w:ascii="Calibri" w:hAnsi="Calibri"/>
                <w:sz w:val="22"/>
              </w:rPr>
              <w:t>hould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r w:rsidRPr="00C45336">
              <w:rPr>
                <w:rFonts w:ascii="Calibri" w:hAnsi="Calibri"/>
                <w:sz w:val="22"/>
              </w:rPr>
              <w:t>the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29"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9B7EB6">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9B7EB6">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B7EB6">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43E067CE"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by the parent corporation. There is no exposition of legal advice relating to this separation</w:t>
            </w:r>
            <w:r>
              <w:rPr>
                <w:rFonts w:ascii="Calibri" w:hAnsi="Calibri"/>
                <w:sz w:val="22"/>
              </w:rPr>
              <w:t xml:space="preserve"> </w:t>
            </w:r>
            <w:r w:rsidRPr="003A518B">
              <w:rPr>
                <w:rFonts w:ascii="Calibri" w:hAnsi="Calibri"/>
                <w:sz w:val="22"/>
              </w:rPr>
              <w:t>annexed to the report. If the goal is functional separation, what is the need to 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12D088E9" w14:textId="5851B2EB"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A653CA" w:rsidRPr="009203EA" w14:paraId="4F1DF3BC" w14:textId="77777777" w:rsidTr="009B7EB6">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Separability”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9B7EB6">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9B17D75" w:rsidR="00AF36C0" w:rsidRPr="00A653CA" w:rsidRDefault="00AF36C0" w:rsidP="00A653CA">
            <w:pPr>
              <w:contextualSpacing/>
              <w:rPr>
                <w:rFonts w:ascii="Calibri" w:hAnsi="Calibri"/>
                <w:sz w:val="22"/>
              </w:rPr>
            </w:pPr>
            <w:r w:rsidRPr="00AF36C0">
              <w:rPr>
                <w:rFonts w:ascii="Calibri" w:hAnsi="Calibri"/>
                <w:sz w:val="22"/>
              </w:rPr>
              <w:t>Oversight: The economic and social importance of the Internet today is such that no public authority, large organisation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world wide. I would submit in conclusion that it behoves the whole ICG/CWG/CCWG nexus to think in terms, not of their respective structures and interests, but in terms of how the process and the outcome as a whole will appear globally. Will the results contribute to confidence in the Internet, world-wide?</w:t>
            </w:r>
          </w:p>
        </w:tc>
        <w:tc>
          <w:tcPr>
            <w:tcW w:w="3870" w:type="dxa"/>
          </w:tcPr>
          <w:p w14:paraId="07B4D6D3" w14:textId="3926D6F5" w:rsidR="00AF36C0" w:rsidRDefault="00AF36C0" w:rsidP="003A518B">
            <w:pPr>
              <w:rPr>
                <w:rFonts w:ascii="Calibri" w:hAnsi="Calibri"/>
                <w:b/>
                <w:i/>
                <w:sz w:val="22"/>
              </w:rPr>
            </w:pPr>
            <w:r>
              <w:rPr>
                <w:rFonts w:ascii="Calibri" w:hAnsi="Calibri"/>
                <w:b/>
                <w:i/>
                <w:sz w:val="22"/>
              </w:rPr>
              <w:t>The CWG-Stewardship appreciates your feedback.</w:t>
            </w:r>
          </w:p>
        </w:tc>
      </w:tr>
      <w:tr w:rsidR="00322755" w:rsidRPr="009203EA" w14:paraId="419E20C2" w14:textId="77777777" w:rsidTr="009B7EB6">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r>
              <w:rPr>
                <w:rFonts w:ascii="Calibri" w:hAnsi="Calibri"/>
                <w:sz w:val="22"/>
              </w:rPr>
              <w:t>Eberhard Lisse</w:t>
            </w:r>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of </w:t>
            </w:r>
            <w:r w:rsidRPr="00322755">
              <w:rPr>
                <w:rFonts w:ascii="Calibri" w:hAnsi="Calibri"/>
                <w:sz w:val="22"/>
              </w:rPr>
              <w:t xml:space="preserve"> bureaucracy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9B7EB6">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We note the reference in III.A.i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 .”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506C2372" w:rsidR="00E576B7" w:rsidRPr="00322755" w:rsidRDefault="00E576B7" w:rsidP="00E576B7">
            <w:pPr>
              <w:contextualSpacing/>
              <w:rPr>
                <w:rFonts w:ascii="Calibri" w:hAnsi="Calibri"/>
                <w:sz w:val="22"/>
              </w:rPr>
            </w:pPr>
            <w:r w:rsidRPr="00E576B7">
              <w:rPr>
                <w:rFonts w:ascii="Calibri" w:hAnsi="Calibri"/>
                <w:sz w:val="22"/>
              </w:rPr>
              <w:t>CDT supports all the component parts of the transition model as listed in III.A.i.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p>
        </w:tc>
        <w:tc>
          <w:tcPr>
            <w:tcW w:w="3870" w:type="dxa"/>
          </w:tcPr>
          <w:p w14:paraId="61886C6F" w14:textId="3D098BDC" w:rsidR="00E576B7" w:rsidRDefault="00E576B7" w:rsidP="003A518B">
            <w:pPr>
              <w:rPr>
                <w:rFonts w:ascii="Calibri" w:hAnsi="Calibri"/>
                <w:b/>
                <w:i/>
                <w:sz w:val="22"/>
              </w:rPr>
            </w:pPr>
            <w:r>
              <w:rPr>
                <w:rFonts w:ascii="Calibri" w:hAnsi="Calibri"/>
                <w:b/>
                <w:i/>
                <w:sz w:val="22"/>
              </w:rPr>
              <w:t>The CWG-Stewardship appreciates your feedback.</w:t>
            </w:r>
          </w:p>
        </w:tc>
      </w:tr>
      <w:tr w:rsidR="00C607CA" w:rsidRPr="009203EA" w14:paraId="756714CE" w14:textId="77777777" w:rsidTr="009B7EB6">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B7EB6">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accountable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9B7EB6">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77777777" w:rsidR="00C8148D" w:rsidRDefault="00C8148D" w:rsidP="00C8148D">
            <w:pPr>
              <w:contextualSpacing/>
              <w:rPr>
                <w:rFonts w:ascii="Calibri" w:hAnsi="Calibri"/>
                <w:sz w:val="22"/>
              </w:rPr>
            </w:pPr>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separability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r w:rsidRPr="00C8148D">
              <w:rPr>
                <w:rFonts w:ascii="Calibri" w:hAnsi="Calibri"/>
                <w:sz w:val="22"/>
              </w:rPr>
              <w:t xml:space="preserve">o Advocacy and adherence to open, interoperable standards. </w:t>
            </w:r>
          </w:p>
          <w:p w14:paraId="425E2F70" w14:textId="77777777" w:rsidR="00C8148D" w:rsidRDefault="00C8148D" w:rsidP="00C8148D">
            <w:pPr>
              <w:contextualSpacing/>
              <w:rPr>
                <w:rFonts w:ascii="Calibri" w:hAnsi="Calibri"/>
                <w:sz w:val="22"/>
              </w:rPr>
            </w:pPr>
            <w:r w:rsidRPr="00C8148D">
              <w:rPr>
                <w:rFonts w:ascii="Calibri" w:hAnsi="Calibri"/>
                <w:sz w:val="22"/>
              </w:rPr>
              <w:t xml:space="preserve">o Each party is responsible for what they contribute to the Internet. </w:t>
            </w:r>
          </w:p>
          <w:p w14:paraId="0EC8028A" w14:textId="77777777" w:rsidR="00C8148D" w:rsidRDefault="00C8148D" w:rsidP="00C8148D">
            <w:pPr>
              <w:contextualSpacing/>
              <w:rPr>
                <w:rFonts w:ascii="Calibri" w:hAnsi="Calibri"/>
                <w:sz w:val="22"/>
              </w:rPr>
            </w:pPr>
            <w:r w:rsidRPr="00C8148D">
              <w:rPr>
                <w:rFonts w:ascii="Calibri" w:hAnsi="Calibri"/>
                <w:sz w:val="22"/>
              </w:rPr>
              <w:t xml:space="preserve">o Decision-making should be open to all, and based on merit. </w:t>
            </w:r>
          </w:p>
          <w:p w14:paraId="2ECECE98" w14:textId="77777777" w:rsidR="00C8148D" w:rsidRDefault="00C8148D" w:rsidP="00C8148D">
            <w:pPr>
              <w:contextualSpacing/>
              <w:rPr>
                <w:rFonts w:ascii="Calibri" w:hAnsi="Calibri"/>
                <w:sz w:val="22"/>
              </w:rPr>
            </w:pPr>
            <w:r w:rsidRPr="00C8148D">
              <w:rPr>
                <w:rFonts w:ascii="Calibri" w:hAnsi="Calibri"/>
                <w:sz w:val="22"/>
              </w:rPr>
              <w:t xml:space="preserve">o Adherence to the Principle of Least Surprise. o Stability at the core of the Internet. </w:t>
            </w:r>
          </w:p>
          <w:p w14:paraId="03C6F0DA" w14:textId="5DFB130C" w:rsidR="00C8148D" w:rsidRPr="001E29C1" w:rsidRDefault="00C8148D" w:rsidP="00E576B7">
            <w:pPr>
              <w:contextualSpacing/>
              <w:rPr>
                <w:rFonts w:ascii="Calibri" w:hAnsi="Calibri"/>
                <w:sz w:val="22"/>
              </w:rPr>
            </w:pPr>
            <w:r w:rsidRPr="00C8148D">
              <w:rPr>
                <w:rFonts w:ascii="Calibri" w:hAnsi="Calibri"/>
                <w:sz w:val="22"/>
              </w:rPr>
              <w:t>o Permission-less innovation at the edge of the Internet.</w:t>
            </w:r>
          </w:p>
        </w:tc>
        <w:tc>
          <w:tcPr>
            <w:tcW w:w="3870" w:type="dxa"/>
          </w:tcPr>
          <w:p w14:paraId="02129E7C" w14:textId="3E2B672E" w:rsidR="00C8148D" w:rsidRPr="0041316E" w:rsidRDefault="00C8148D" w:rsidP="001E29C1">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CB1A11" w:rsidRPr="009203EA" w14:paraId="0D0B4C9B" w14:textId="77777777" w:rsidTr="009B7EB6">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9B7EB6">
        <w:tc>
          <w:tcPr>
            <w:tcW w:w="675" w:type="dxa"/>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
          <w:p w14:paraId="4B133BA4" w14:textId="22BDC08D" w:rsidR="003A780E" w:rsidRDefault="003A780E" w:rsidP="00C23C85">
            <w:pPr>
              <w:contextualSpacing/>
              <w:rPr>
                <w:rFonts w:ascii="Calibri" w:hAnsi="Calibri"/>
                <w:sz w:val="22"/>
              </w:rPr>
            </w:pPr>
            <w:r>
              <w:rPr>
                <w:rFonts w:ascii="Calibri" w:hAnsi="Calibri"/>
                <w:sz w:val="22"/>
              </w:rPr>
              <w:t>Julie Cong ZHU</w:t>
            </w:r>
          </w:p>
        </w:tc>
        <w:tc>
          <w:tcPr>
            <w:tcW w:w="2880" w:type="dxa"/>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
          <w:p w14:paraId="2E863250" w14:textId="787C5274"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countries and multistakeholders to take an active part in global Internet governance</w:t>
            </w:r>
            <w:r>
              <w:rPr>
                <w:rFonts w:ascii="Calibri" w:hAnsi="Calibri"/>
                <w:sz w:val="22"/>
              </w:rPr>
              <w:t xml:space="preserve"> </w:t>
            </w:r>
            <w:r w:rsidRPr="003A780E">
              <w:rPr>
                <w:rFonts w:ascii="Calibri" w:hAnsi="Calibri"/>
                <w:sz w:val="22"/>
              </w:rPr>
              <w:t>and cooperation. Besides, 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
          <w:p w14:paraId="6D44F7D5" w14:textId="47576717" w:rsidR="003A780E" w:rsidRPr="003A780E" w:rsidRDefault="003A780E" w:rsidP="00CB1A11">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2" w:history="1">
              <w:r w:rsidRPr="00017C49">
                <w:rPr>
                  <w:rStyle w:val="Hyperlink"/>
                  <w:rFonts w:ascii="Calibri" w:hAnsi="Calibri"/>
                  <w:b/>
                  <w:i/>
                  <w:sz w:val="22"/>
                </w:rPr>
                <w:t>http://forum.icann.org/lists/comments-cwg-stewardship-draft-proposal-22apr15/msg00017.html</w:t>
              </w:r>
            </w:hyperlink>
          </w:p>
        </w:tc>
      </w:tr>
      <w:tr w:rsidR="00E52EDA" w:rsidRPr="009203EA" w14:paraId="328F4AD9" w14:textId="77777777" w:rsidTr="00CE6424">
        <w:tc>
          <w:tcPr>
            <w:tcW w:w="14238" w:type="dxa"/>
            <w:gridSpan w:val="5"/>
            <w:shd w:val="clear" w:color="auto" w:fill="F79646"/>
          </w:tcPr>
          <w:p w14:paraId="4867009C" w14:textId="4646BC53" w:rsidR="00E52EDA" w:rsidRPr="009203EA" w:rsidRDefault="00E52EDA" w:rsidP="009203EA">
            <w:pPr>
              <w:contextualSpacing/>
              <w:rPr>
                <w:rFonts w:ascii="Calibri" w:hAnsi="Calibri"/>
                <w:b/>
                <w:sz w:val="22"/>
                <w:szCs w:val="22"/>
              </w:rPr>
            </w:pPr>
            <w:bookmarkStart w:id="6" w:name="SectionIIIPTI"/>
            <w:bookmarkEnd w:id="6"/>
            <w:r>
              <w:rPr>
                <w:rFonts w:ascii="Calibri" w:hAnsi="Calibri"/>
                <w:b/>
                <w:sz w:val="22"/>
                <w:szCs w:val="22"/>
              </w:rPr>
              <w:t>Section III – Proposed Post-Transition Oversight and Accountability - PTI</w:t>
            </w:r>
          </w:p>
        </w:tc>
      </w:tr>
      <w:tr w:rsidR="00167FC3" w:rsidRPr="009203EA" w14:paraId="1514D0B7" w14:textId="77777777" w:rsidTr="009B7EB6">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9B7EB6">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9B7EB6">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Vanda Scartezini</w:t>
            </w:r>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r w:rsidRPr="008E373A">
              <w:rPr>
                <w:rFonts w:ascii="Calibri" w:hAnsi="Calibri"/>
                <w:sz w:val="22"/>
              </w:rPr>
              <w:t>IANA's  independence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IANA nowadays? Part of ICANN and  financially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9B7EB6">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3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9B7EB6">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AC198E" w:rsidRPr="009203EA" w14:paraId="051E2E1A" w14:textId="77777777" w:rsidTr="009B7EB6">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notes that the structure proposed by the CWG is designed to maintain a distinct level of separation (and separability) between ICANN and the PTI. auDA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a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Further, auDA believes that the establishment of a distinct legal entity runs counter to the CWG's acknowledgement of the community's support for minimising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believes that suitable safeguards and accountability 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3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9B7EB6">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r w:rsidRPr="00F90761">
              <w:rPr>
                <w:rFonts w:ascii="Calibri" w:hAnsi="Calibri" w:cs="PØˆø?±-5'38pó†Å•'3F"/>
                <w:sz w:val="22"/>
                <w:szCs w:val="22"/>
              </w:rPr>
              <w:t>Sivasubra-manian M</w:t>
            </w:r>
          </w:p>
        </w:tc>
        <w:tc>
          <w:tcPr>
            <w:tcW w:w="2880" w:type="dxa"/>
          </w:tcPr>
          <w:p w14:paraId="2C9AE322" w14:textId="77777777" w:rsidR="000B7571" w:rsidRDefault="000B7571" w:rsidP="00AC198E">
            <w:pPr>
              <w:contextualSpacing/>
              <w:rPr>
                <w:rFonts w:ascii="Calibri" w:hAnsi="Calibri"/>
                <w:sz w:val="22"/>
              </w:rPr>
            </w:pPr>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c.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5B5FDF" w:rsidRPr="009203EA" w14:paraId="29E635E4" w14:textId="77777777" w:rsidTr="009B7EB6">
        <w:tc>
          <w:tcPr>
            <w:tcW w:w="675" w:type="dxa"/>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
          <w:p w14:paraId="17B83E1F" w14:textId="77777777"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38"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62252C" w:rsidRPr="009203EA" w14:paraId="5A0A7592" w14:textId="77777777" w:rsidTr="009B7EB6">
        <w:tc>
          <w:tcPr>
            <w:tcW w:w="675" w:type="dxa"/>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
          <w:p w14:paraId="47C7E0DE" w14:textId="77777777" w:rsidR="00FF3403" w:rsidRPr="00B74932" w:rsidRDefault="00FF3403" w:rsidP="00FF3403">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ICANN 53 meeting in Buenos Ai</w:t>
            </w:r>
            <w:r>
              <w:rPr>
                <w:rFonts w:ascii="Calibri" w:hAnsi="Calibri"/>
                <w:b/>
                <w:i/>
                <w:sz w:val="22"/>
              </w:rPr>
              <w:t xml:space="preserve">res. This does not allow for another </w:t>
            </w:r>
            <w:r w:rsidRPr="00BF5C23">
              <w:rPr>
                <w:rFonts w:ascii="Calibri" w:hAnsi="Calibri"/>
                <w:b/>
                <w:i/>
                <w:sz w:val="22"/>
              </w:rPr>
              <w:t>public comment period</w:t>
            </w:r>
            <w:r>
              <w:rPr>
                <w:rFonts w:ascii="Calibri" w:hAnsi="Calibri"/>
                <w:b/>
                <w:i/>
                <w:sz w:val="22"/>
              </w:rPr>
              <w:t xml:space="preserve">. However, </w:t>
            </w:r>
            <w:r w:rsidRPr="00BF5C23">
              <w:rPr>
                <w:rFonts w:ascii="Calibri" w:hAnsi="Calibri"/>
                <w:b/>
                <w:i/>
                <w:sz w:val="22"/>
              </w:rPr>
              <w:t xml:space="preserve">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w:t>
            </w:r>
            <w:r>
              <w:rPr>
                <w:rFonts w:ascii="Calibri" w:hAnsi="Calibri"/>
                <w:b/>
                <w:i/>
                <w:sz w:val="22"/>
              </w:rPr>
              <w:t xml:space="preserve">, </w:t>
            </w:r>
            <w:r w:rsidRPr="00BF5C23">
              <w:rPr>
                <w:rFonts w:ascii="Calibri" w:hAnsi="Calibri"/>
                <w:b/>
                <w:i/>
                <w:sz w:val="22"/>
              </w:rPr>
              <w:t xml:space="preserve"> which will include further opportunities for public comment.</w:t>
            </w:r>
          </w:p>
        </w:tc>
      </w:tr>
      <w:tr w:rsidR="00C95D6E" w:rsidRPr="009203EA" w14:paraId="19EAA013" w14:textId="77777777" w:rsidTr="009B7EB6">
        <w:tc>
          <w:tcPr>
            <w:tcW w:w="675" w:type="dxa"/>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hyperlink r:id="rId39" w:history="1">
              <w:r w:rsidRPr="00253268">
                <w:rPr>
                  <w:rStyle w:val="Hyperlink"/>
                  <w:rFonts w:ascii="Calibri" w:hAnsi="Calibri"/>
                  <w:b/>
                  <w:i/>
                  <w:sz w:val="22"/>
                </w:rPr>
                <w:t>https://www.icann.org/en/system/files/files/legal-counsel-memo-post-transition-structure-faq-08may15-en.pdf</w:t>
              </w:r>
            </w:hyperlink>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9B7EB6">
        <w:tc>
          <w:tcPr>
            <w:tcW w:w="675" w:type="dxa"/>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hyperlink r:id="rId40" w:history="1">
              <w:r w:rsidRPr="00D836CF">
                <w:rPr>
                  <w:rStyle w:val="Hyperlink"/>
                  <w:rFonts w:ascii="Calibri" w:hAnsi="Calibri"/>
                  <w:b/>
                  <w:i/>
                  <w:sz w:val="22"/>
                </w:rPr>
                <w:t>https://www.icann.org/en/system/files/files/legal-counsel-memo-post-transition-structure-faq-08may15-en.pdf</w:t>
              </w:r>
            </w:hyperlink>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9B7EB6">
        <w:tc>
          <w:tcPr>
            <w:tcW w:w="675" w:type="dxa"/>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
          <w:p w14:paraId="0E8BA34B" w14:textId="77777777" w:rsidR="005F67DE" w:rsidRPr="005F48A9" w:rsidRDefault="005F67DE" w:rsidP="005F67DE">
            <w:pPr>
              <w:rPr>
                <w:rFonts w:ascii="Calibri" w:hAnsi="Calibri"/>
                <w:sz w:val="22"/>
              </w:rPr>
            </w:pPr>
            <w:r w:rsidRPr="005F48A9">
              <w:rPr>
                <w:rFonts w:ascii="Calibri" w:hAnsi="Calibri"/>
                <w:sz w:val="22"/>
              </w:rPr>
              <w:t>Mikhail Medrish</w:t>
            </w:r>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9B7EB6">
        <w:tc>
          <w:tcPr>
            <w:tcW w:w="675" w:type="dxa"/>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
          <w:p w14:paraId="5FA8817C" w14:textId="77777777" w:rsidR="009E3D68" w:rsidRPr="009E3D68" w:rsidRDefault="009E3D68" w:rsidP="009E3D68">
            <w:pPr>
              <w:contextualSpacing/>
              <w:rPr>
                <w:rFonts w:ascii="Calibri" w:hAnsi="Calibri"/>
                <w:sz w:val="22"/>
              </w:rPr>
            </w:pPr>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
          <w:p w14:paraId="194CB7E2" w14:textId="77777777"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hyperlink r:id="rId41" w:history="1">
              <w:r w:rsidR="009E3D68" w:rsidRPr="00A969A1">
                <w:rPr>
                  <w:rStyle w:val="Hyperlink"/>
                  <w:rFonts w:ascii="Calibri" w:hAnsi="Calibri"/>
                  <w:b/>
                  <w:i/>
                  <w:sz w:val="22"/>
                </w:rPr>
                <w:t>https://www.icann.org/en/system/files/files/legal-counsel-memo-post-transition-structure-faq-08may15-en.pdf</w:t>
              </w:r>
            </w:hyperlink>
            <w:r w:rsidR="009E3D68">
              <w:rPr>
                <w:rFonts w:ascii="Calibri" w:hAnsi="Calibri"/>
                <w:b/>
                <w:i/>
                <w:sz w:val="22"/>
              </w:rPr>
              <w:t>)</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42" w:history="1">
              <w:r w:rsidRPr="00017C49">
                <w:rPr>
                  <w:rStyle w:val="Hyperlink"/>
                  <w:rFonts w:ascii="Calibri" w:hAnsi="Calibri"/>
                  <w:b/>
                  <w:i/>
                  <w:sz w:val="22"/>
                </w:rPr>
                <w:t>http://forum.icann.org/lists/comments-cwg-stewardship-draft-proposal-22apr15/msg00017.html</w:t>
              </w:r>
            </w:hyperlink>
          </w:p>
        </w:tc>
      </w:tr>
      <w:tr w:rsidR="00C07A96" w:rsidRPr="009203EA" w14:paraId="74ACAF78" w14:textId="77777777" w:rsidTr="009B7EB6">
        <w:tc>
          <w:tcPr>
            <w:tcW w:w="675" w:type="dxa"/>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B7EB6">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organisation legally structured as an Incorporated Society) has operated the .nz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enforceably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t xml:space="preserve">The CWG-Stewardship </w:t>
            </w:r>
            <w:r>
              <w:rPr>
                <w:rFonts w:ascii="Calibri" w:hAnsi="Calibri"/>
                <w:b/>
                <w:i/>
                <w:sz w:val="22"/>
              </w:rPr>
              <w:t>appreciates your 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43"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9B7EB6">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r>
              <w:rPr>
                <w:rFonts w:ascii="Calibri" w:hAnsi="Calibri"/>
                <w:sz w:val="22"/>
              </w:rPr>
              <w:t>AmCham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r w:rsidRPr="009D14CB">
              <w:rPr>
                <w:rFonts w:ascii="Calibri" w:hAnsi="Calibri"/>
                <w:sz w:val="22"/>
              </w:rPr>
              <w:t xml:space="preserve">AmCham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77777777" w:rsidR="009D14CB" w:rsidRDefault="009D14CB" w:rsidP="009E3D68">
            <w:pPr>
              <w:contextualSpacing/>
              <w:rPr>
                <w:rFonts w:ascii="Calibri" w:hAnsi="Calibri"/>
                <w:sz w:val="22"/>
              </w:rPr>
            </w:pPr>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p>
        </w:tc>
        <w:tc>
          <w:tcPr>
            <w:tcW w:w="3870" w:type="dxa"/>
          </w:tcPr>
          <w:p w14:paraId="72A1AB08" w14:textId="77777777" w:rsidR="009D14CB" w:rsidRPr="0061767C" w:rsidRDefault="009D14CB" w:rsidP="009D14CB">
            <w:pPr>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EB6D0A" w:rsidRPr="009203EA" w14:paraId="7173F4EA" w14:textId="77777777" w:rsidTr="009B7EB6">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FB78F8" w:rsidRPr="009203EA" w14:paraId="660B8EF4" w14:textId="77777777" w:rsidTr="00516E8A">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written in the Proposal, the PTI will go into the contract with </w:t>
            </w:r>
            <w:r w:rsidRPr="00533170">
              <w:rPr>
                <w:rFonts w:ascii="Calibri" w:eastAsia="宋体" w:hAnsi="Calibri"/>
                <w:sz w:val="22"/>
                <w:szCs w:val="22"/>
                <w:lang w:eastAsia="zh-CN"/>
              </w:rPr>
              <w:t>ICANN and</w:t>
            </w:r>
            <w:r w:rsidRPr="00533170">
              <w:rPr>
                <w:rFonts w:ascii="Calibri" w:eastAsia="宋体"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宋体" w:hAnsi="Calibri" w:hint="eastAsia"/>
                <w:sz w:val="22"/>
                <w:szCs w:val="22"/>
                <w:lang w:eastAsia="zh-CN"/>
              </w:rPr>
              <w:t xml:space="preserve">. If </w:t>
            </w:r>
            <w:r w:rsidRPr="00533170">
              <w:rPr>
                <w:rFonts w:ascii="Calibri" w:eastAsia="宋体" w:hAnsi="Calibri"/>
                <w:sz w:val="22"/>
                <w:szCs w:val="22"/>
                <w:lang w:eastAsia="zh-CN"/>
              </w:rPr>
              <w:t>unfortunately</w:t>
            </w:r>
            <w:r w:rsidRPr="00533170">
              <w:rPr>
                <w:rFonts w:ascii="Calibri" w:eastAsia="宋体" w:hAnsi="Calibri" w:hint="eastAsia"/>
                <w:sz w:val="22"/>
                <w:szCs w:val="22"/>
                <w:lang w:eastAsia="zh-CN"/>
              </w:rPr>
              <w:t xml:space="preserve"> </w:t>
            </w:r>
            <w:r w:rsidRPr="00533170">
              <w:rPr>
                <w:rFonts w:ascii="Calibri" w:eastAsia="宋体" w:hAnsi="Calibri"/>
                <w:sz w:val="22"/>
                <w:szCs w:val="22"/>
                <w:lang w:eastAsia="zh-CN"/>
              </w:rPr>
              <w:t>bankruptcy</w:t>
            </w:r>
            <w:r w:rsidRPr="00533170">
              <w:rPr>
                <w:rFonts w:ascii="Calibri" w:eastAsia="宋体" w:hAnsi="Calibri" w:hint="eastAsia"/>
                <w:sz w:val="22"/>
                <w:szCs w:val="22"/>
                <w:lang w:eastAsia="zh-CN"/>
              </w:rPr>
              <w:t xml:space="preserve"> happens to ICANN or fails to maintain its operation</w:t>
            </w:r>
            <w:r w:rsidRPr="00533170">
              <w:rPr>
                <w:rFonts w:ascii="Calibri" w:eastAsia="宋体" w:hAnsi="Calibri"/>
                <w:sz w:val="22"/>
                <w:szCs w:val="22"/>
                <w:lang w:eastAsia="zh-CN"/>
              </w:rPr>
              <w:t>, how</w:t>
            </w:r>
            <w:r w:rsidRPr="00533170">
              <w:rPr>
                <w:rFonts w:ascii="Calibri" w:eastAsia="宋体" w:hAnsi="Calibri" w:hint="eastAsia"/>
                <w:sz w:val="22"/>
                <w:szCs w:val="22"/>
                <w:lang w:eastAsia="zh-CN"/>
              </w:rPr>
              <w:t xml:space="preserve"> to ensure the </w:t>
            </w:r>
            <w:r w:rsidRPr="00533170">
              <w:rPr>
                <w:rFonts w:ascii="Calibri" w:eastAsia="宋体" w:hAnsi="Calibri"/>
                <w:sz w:val="22"/>
                <w:szCs w:val="22"/>
                <w:lang w:eastAsia="zh-CN"/>
              </w:rPr>
              <w:t>continuing</w:t>
            </w:r>
            <w:r w:rsidRPr="00533170">
              <w:rPr>
                <w:rFonts w:ascii="Calibri" w:eastAsia="宋体" w:hAnsi="Calibri" w:hint="eastAsia"/>
                <w:sz w:val="22"/>
                <w:szCs w:val="22"/>
                <w:lang w:eastAsia="zh-CN"/>
              </w:rPr>
              <w:t xml:space="preserve"> running of PTI?  In this regard,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that PTI and ICANN be two equal independent legal entities, or be put into two different jurisdiction </w:t>
            </w:r>
            <w:r w:rsidRPr="00533170">
              <w:rPr>
                <w:rFonts w:ascii="Calibri" w:eastAsia="宋体" w:hAnsi="Calibri"/>
                <w:sz w:val="22"/>
                <w:szCs w:val="22"/>
                <w:lang w:eastAsia="zh-CN"/>
              </w:rPr>
              <w:t>territories</w:t>
            </w:r>
            <w:r w:rsidRPr="00533170">
              <w:rPr>
                <w:rFonts w:ascii="Calibri" w:eastAsia="宋体" w:hAnsi="Calibri" w:hint="eastAsia"/>
                <w:sz w:val="22"/>
                <w:szCs w:val="22"/>
                <w:lang w:eastAsia="zh-CN"/>
              </w:rPr>
              <w:t xml:space="preserve">. And if the contract fails to meet the potential developed </w:t>
            </w:r>
            <w:r w:rsidRPr="00533170">
              <w:rPr>
                <w:rFonts w:ascii="Calibri" w:eastAsia="宋体" w:hAnsi="Calibri"/>
                <w:sz w:val="22"/>
                <w:szCs w:val="22"/>
                <w:lang w:eastAsia="zh-CN"/>
              </w:rPr>
              <w:t>business</w:t>
            </w:r>
            <w:r w:rsidRPr="00533170">
              <w:rPr>
                <w:rFonts w:ascii="Calibri" w:eastAsia="宋体"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13208242" w:rsidR="00FB78F8" w:rsidRPr="00694426" w:rsidRDefault="00FB78F8" w:rsidP="00516E8A">
            <w:pPr>
              <w:rPr>
                <w:rFonts w:ascii="Calibri" w:eastAsia="Times New Roman" w:hAnsi="Calibri"/>
                <w:b/>
                <w:i/>
                <w:sz w:val="22"/>
                <w:szCs w:val="22"/>
              </w:rPr>
            </w:pPr>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tc>
      </w:tr>
      <w:tr w:rsidR="00516E8A" w:rsidRPr="009203EA" w14:paraId="027AA89D" w14:textId="77777777" w:rsidTr="00516E8A">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analysis  by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05A57506" w14:textId="77777777" w:rsidTr="00516E8A">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Having the Post Transition IANA (PTI) as a separate legal entity and a not for profit subsidiary of ICANN allows for a stable transition while retaining the separability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separability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516E8A">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27726A1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we are not certain that it would be possible for PTI to be operated completely separate from ICANN. 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A2E903E" w14:textId="3D7EC02B" w:rsidR="007F6BA5" w:rsidRPr="00B74932" w:rsidRDefault="00084282" w:rsidP="00084282">
            <w:pPr>
              <w:contextualSpacing/>
              <w:rPr>
                <w:rFonts w:ascii="Calibri" w:hAnsi="Calibri"/>
                <w:b/>
                <w:i/>
                <w:sz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932A9" w:rsidRPr="009203EA" w14:paraId="76E86D21" w14:textId="77777777" w:rsidTr="00516E8A">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77777777" w:rsidR="006932A9" w:rsidRDefault="006932A9" w:rsidP="00516E8A">
            <w:pPr>
              <w:contextualSpacing/>
              <w:rPr>
                <w:rFonts w:ascii="Calibri" w:hAnsi="Calibri"/>
                <w:sz w:val="22"/>
              </w:rPr>
            </w:pPr>
          </w:p>
        </w:tc>
        <w:tc>
          <w:tcPr>
            <w:tcW w:w="5400" w:type="dxa"/>
          </w:tcPr>
          <w:p w14:paraId="6480CADB" w14:textId="15C0A5BA" w:rsidR="006932A9" w:rsidRPr="006932A9" w:rsidRDefault="006932A9" w:rsidP="007F6BA5">
            <w:pPr>
              <w:contextualSpacing/>
              <w:rPr>
                <w:rFonts w:ascii="Calibri" w:hAnsi="Calibri"/>
                <w:sz w:val="22"/>
              </w:rPr>
            </w:pPr>
            <w:r w:rsidRPr="006932A9">
              <w:rPr>
                <w:rFonts w:ascii="Calibri" w:hAnsi="Calibri"/>
                <w:sz w:val="22"/>
              </w:rPr>
              <w:t>PTI should perform all IANA functions currently done by ICANN</w:t>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within  ICANN.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6"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516E8A">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516E8A">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FF551F" w:rsidRPr="009203EA" w14:paraId="02FD8E64" w14:textId="77777777" w:rsidTr="00516E8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r>
              <w:rPr>
                <w:rFonts w:asciiTheme="majorHAnsi" w:hAnsiTheme="majorHAnsi" w:cs="Courier"/>
                <w:sz w:val="22"/>
                <w:szCs w:val="22"/>
              </w:rPr>
              <w:t>Digilexis</w:t>
            </w:r>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Is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7777777"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516E8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77777777" w:rsidR="00B12702" w:rsidRDefault="00B12702" w:rsidP="00B12702">
            <w:pPr>
              <w:contextualSpacing/>
              <w:rPr>
                <w:rFonts w:ascii="Calibri" w:hAnsi="Calibri"/>
                <w:b/>
                <w:i/>
                <w:sz w:val="22"/>
              </w:rPr>
            </w:pPr>
            <w:r>
              <w:rPr>
                <w:rFonts w:ascii="Calibri" w:hAnsi="Calibri"/>
                <w:b/>
                <w:i/>
                <w:sz w:val="22"/>
              </w:rPr>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8" w:history="1">
              <w:r w:rsidRPr="00A969A1">
                <w:rPr>
                  <w:rStyle w:val="Hyperlink"/>
                  <w:rFonts w:ascii="Calibri" w:hAnsi="Calibri"/>
                  <w:b/>
                  <w:i/>
                  <w:sz w:val="22"/>
                </w:rPr>
                <w:t>https://www.ianacg.org/</w:t>
              </w:r>
            </w:hyperlink>
            <w:r>
              <w:rPr>
                <w:rFonts w:ascii="Calibri" w:hAnsi="Calibri"/>
                <w:b/>
                <w:i/>
                <w:sz w:val="22"/>
              </w:rPr>
              <w:t xml:space="preserve"> for further details. </w:t>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516E8A">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However, Google 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50785A0B"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factor in feedback concerning composition</w:t>
            </w:r>
          </w:p>
        </w:tc>
      </w:tr>
      <w:tr w:rsidR="00C278D4" w:rsidRPr="009203EA" w14:paraId="5F69131A" w14:textId="77777777" w:rsidTr="00516E8A">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2E27C0">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E576B7" w:rsidRPr="009203EA" w14:paraId="6AE84B4F" w14:textId="77777777" w:rsidTr="002E27C0">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2E27C0">
        <w:tc>
          <w:tcPr>
            <w:tcW w:w="675" w:type="dxa"/>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
          <w:p w14:paraId="4B31A2D0" w14:textId="77777777" w:rsidR="00AD764D" w:rsidRDefault="00AD764D" w:rsidP="002E27C0">
            <w:pPr>
              <w:contextualSpacing/>
              <w:rPr>
                <w:rFonts w:ascii="Calibri" w:hAnsi="Calibri"/>
                <w:sz w:val="22"/>
              </w:rPr>
            </w:pPr>
          </w:p>
        </w:tc>
        <w:tc>
          <w:tcPr>
            <w:tcW w:w="5400" w:type="dxa"/>
          </w:tcPr>
          <w:p w14:paraId="16171E8E"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788CAD18" w:rsidR="00AD764D" w:rsidRPr="00AD764D" w:rsidRDefault="00AD764D" w:rsidP="00AD764D">
            <w:pPr>
              <w:pStyle w:val="normal0"/>
              <w:contextualSpacing w:val="0"/>
              <w:rPr>
                <w:sz w:val="22"/>
                <w:szCs w:val="22"/>
              </w:rPr>
            </w:pPr>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
          <w:p w14:paraId="744C7CB2" w14:textId="77777777"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607CA" w:rsidRPr="009203EA" w14:paraId="2EA83CD2" w14:textId="77777777" w:rsidTr="002E27C0">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AD764D">
            <w:pPr>
              <w:pStyle w:val="normal0"/>
              <w:rPr>
                <w:rFonts w:ascii="Calibri" w:eastAsia="Calibri" w:hAnsi="Calibri" w:cs="Calibri"/>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2E27C0">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0"/>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requisite root zone change?)</w:t>
            </w:r>
          </w:p>
        </w:tc>
        <w:tc>
          <w:tcPr>
            <w:tcW w:w="3870" w:type="dxa"/>
          </w:tcPr>
          <w:p w14:paraId="2606BCE6" w14:textId="77777777" w:rsidR="00C8148D" w:rsidRDefault="00C8148D" w:rsidP="00C8148D">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2E27C0">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C8148D">
            <w:pPr>
              <w:pStyle w:val="normal0"/>
              <w:rPr>
                <w:rFonts w:ascii="Calibri" w:eastAsia="Calibri" w:hAnsi="Calibri" w:cs="Calibri"/>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C8148D">
            <w:pPr>
              <w:pStyle w:val="normal0"/>
              <w:rPr>
                <w:rFonts w:ascii="Calibri" w:eastAsia="Calibri" w:hAnsi="Calibri" w:cs="Calibri"/>
                <w:sz w:val="22"/>
                <w:szCs w:val="22"/>
              </w:rPr>
            </w:pPr>
          </w:p>
          <w:p w14:paraId="0C88A62D" w14:textId="2FFD1B05" w:rsidR="00D75918" w:rsidRPr="00C8148D" w:rsidRDefault="00D75918" w:rsidP="00C8148D">
            <w:pPr>
              <w:pStyle w:val="normal0"/>
              <w:rPr>
                <w:rFonts w:ascii="Calibri" w:eastAsia="Calibri" w:hAnsi="Calibri" w:cs="Calibri"/>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5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2E27C0">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complexities of establishing an acceptable PTI governance plan, including its Board if there is one has so far stymied the CWG and it is unclear how to proceed. </w:t>
            </w:r>
          </w:p>
          <w:p w14:paraId="1FA12323" w14:textId="77777777" w:rsidR="00D2112D" w:rsidRDefault="00D2112D" w:rsidP="00C8148D">
            <w:pPr>
              <w:pStyle w:val="normal0"/>
              <w:rPr>
                <w:rFonts w:ascii="Calibri" w:eastAsia="Calibri" w:hAnsi="Calibri" w:cs="Calibri"/>
                <w:sz w:val="22"/>
                <w:szCs w:val="22"/>
              </w:rPr>
            </w:pPr>
          </w:p>
          <w:p w14:paraId="1ADA6E90" w14:textId="43D00D75"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C8148D">
            <w:pPr>
              <w:pStyle w:val="normal0"/>
              <w:rPr>
                <w:rFonts w:ascii="Calibri" w:eastAsia="Calibri" w:hAnsi="Calibri" w:cs="Calibri"/>
                <w:sz w:val="22"/>
                <w:szCs w:val="22"/>
              </w:rPr>
            </w:pPr>
          </w:p>
          <w:p w14:paraId="3E76A32D" w14:textId="48D05DB5" w:rsidR="00D2112D" w:rsidRPr="00D75918"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77777777" w:rsidR="00D2112D" w:rsidRDefault="00D2112D" w:rsidP="00D2112D">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CB1A11" w:rsidRPr="009203EA" w14:paraId="5956E810" w14:textId="77777777" w:rsidTr="002E27C0">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CB1A11">
            <w:pPr>
              <w:pStyle w:val="normal0"/>
              <w:rPr>
                <w:rFonts w:ascii="Calibri" w:eastAsia="Calibri" w:hAnsi="Calibri" w:cs="Calibri"/>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CB1A11">
            <w:pPr>
              <w:pStyle w:val="normal0"/>
              <w:rPr>
                <w:rFonts w:ascii="Calibri" w:eastAsia="Calibri" w:hAnsi="Calibri" w:cs="Calibri"/>
                <w:sz w:val="22"/>
                <w:szCs w:val="22"/>
              </w:rPr>
            </w:pPr>
          </w:p>
          <w:p w14:paraId="6E380648" w14:textId="292826A8" w:rsidR="00CB1A11" w:rsidRPr="00D2112D" w:rsidRDefault="00CB1A11" w:rsidP="00C8148D">
            <w:pPr>
              <w:pStyle w:val="normal0"/>
              <w:rPr>
                <w:rFonts w:ascii="Calibri" w:eastAsia="Calibri" w:hAnsi="Calibri" w:cs="Calibri"/>
                <w:sz w:val="22"/>
                <w:szCs w:val="22"/>
              </w:rPr>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E52EDA" w:rsidRPr="009203EA" w14:paraId="57C43B6F" w14:textId="77777777" w:rsidTr="00BF5C23">
        <w:tc>
          <w:tcPr>
            <w:tcW w:w="14238" w:type="dxa"/>
            <w:gridSpan w:val="5"/>
            <w:shd w:val="clear" w:color="auto" w:fill="F79646"/>
          </w:tcPr>
          <w:p w14:paraId="0887AB53" w14:textId="18B845DB" w:rsidR="00E52EDA" w:rsidRPr="009203EA" w:rsidRDefault="00E52EDA" w:rsidP="0037197A">
            <w:pPr>
              <w:contextualSpacing/>
              <w:rPr>
                <w:rFonts w:ascii="Calibri" w:hAnsi="Calibri"/>
                <w:b/>
                <w:sz w:val="22"/>
                <w:szCs w:val="22"/>
              </w:rPr>
            </w:pPr>
            <w:bookmarkStart w:id="7" w:name="SectionIIIPTIBoard"/>
            <w:bookmarkEnd w:id="7"/>
            <w:r>
              <w:rPr>
                <w:rFonts w:ascii="Calibri" w:hAnsi="Calibri"/>
                <w:b/>
                <w:sz w:val="22"/>
                <w:szCs w:val="22"/>
              </w:rPr>
              <w:t>Section III – Proposed Post-Transition Oversight and Accountability – PTI Board</w:t>
            </w:r>
          </w:p>
        </w:tc>
      </w:tr>
      <w:tr w:rsidR="000F376E" w:rsidRPr="009203EA" w14:paraId="048693CE" w14:textId="77777777" w:rsidTr="009B7EB6">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35F27CC" w14:textId="77777777" w:rsidR="000F376E"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3F5CF1" w:rsidRPr="009203EA" w14:paraId="41BC8009" w14:textId="77777777" w:rsidTr="009B7EB6">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9B7EB6">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auDA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r w:rsidRPr="00F90761">
              <w:rPr>
                <w:rFonts w:ascii="Calibri" w:hAnsi="Calibri"/>
                <w:sz w:val="22"/>
                <w:szCs w:val="22"/>
              </w:rPr>
              <w:t>auDA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responsibili</w:t>
            </w:r>
            <w:r w:rsidR="000B6A08" w:rsidRPr="00F90761">
              <w:rPr>
                <w:rFonts w:ascii="Calibri" w:hAnsi="Calibri"/>
                <w:sz w:val="22"/>
                <w:szCs w:val="22"/>
              </w:rPr>
              <w:t xml:space="preserve">ties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r w:rsidRPr="00F90761">
              <w:rPr>
                <w:rFonts w:ascii="Calibri" w:hAnsi="Calibri"/>
                <w:sz w:val="22"/>
                <w:szCs w:val="22"/>
              </w:rPr>
              <w:t>auDA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21FF2" w:rsidRPr="009203EA" w14:paraId="64227F26" w14:textId="77777777" w:rsidTr="009B7EB6">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 xml:space="preserve">organization;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9B7EB6">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7777777"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Notwithstanding the foregoing, we recognize that if an organization is created that is a subsidiary to ICANN,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p>
        </w:tc>
        <w:tc>
          <w:tcPr>
            <w:tcW w:w="3870" w:type="dxa"/>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02492F" w:rsidRPr="009203EA" w14:paraId="7772A0FF" w14:textId="77777777" w:rsidTr="009B7EB6">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9B7EB6">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9B7EB6">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7777777" w:rsidR="009E3D68" w:rsidRDefault="009E3D68" w:rsidP="00773455">
            <w:pPr>
              <w:contextualSpacing/>
              <w:rPr>
                <w:rFonts w:ascii="Calibri" w:hAnsi="Calibri"/>
                <w:sz w:val="22"/>
              </w:rPr>
            </w:pPr>
          </w:p>
        </w:tc>
        <w:tc>
          <w:tcPr>
            <w:tcW w:w="5400" w:type="dxa"/>
          </w:tcPr>
          <w:p w14:paraId="277D0AFA" w14:textId="77777777" w:rsidR="009E3D68" w:rsidRPr="009E3D68" w:rsidRDefault="009E3D68" w:rsidP="009E3D68">
            <w:pPr>
              <w:widowControl w:val="0"/>
              <w:autoSpaceDE w:val="0"/>
              <w:autoSpaceDN w:val="0"/>
              <w:adjustRightInd w:val="0"/>
              <w:rPr>
                <w:rFonts w:ascii="Calibri" w:hAnsi="Calibri"/>
                <w:sz w:val="22"/>
              </w:rPr>
            </w:pPr>
            <w:r w:rsidRPr="009E3D68">
              <w:rPr>
                <w:rFonts w:ascii="Calibri" w:hAnsi="Calibri"/>
                <w:sz w:val="22"/>
              </w:rPr>
              <w:t xml:space="preserve">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who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792ED780" w14:textId="77777777"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Action: CWG-Stewardship to consider hybrid composition as suggested.</w:t>
            </w:r>
            <w:r>
              <w:rPr>
                <w:rFonts w:ascii="Calibri" w:hAnsi="Calibri"/>
                <w:b/>
                <w:i/>
                <w:sz w:val="22"/>
              </w:rPr>
              <w:t xml:space="preserve"> </w:t>
            </w:r>
          </w:p>
        </w:tc>
      </w:tr>
      <w:tr w:rsidR="009D6FFD" w:rsidRPr="009203EA" w14:paraId="14C2D872" w14:textId="77777777" w:rsidTr="009B7EB6">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9D14CB" w:rsidRPr="009203EA" w14:paraId="5A60D9F0" w14:textId="77777777" w:rsidTr="009B7EB6">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r>
              <w:rPr>
                <w:rFonts w:ascii="Calibri" w:eastAsia="Times New Roman" w:hAnsi="Calibri"/>
                <w:sz w:val="22"/>
                <w:szCs w:val="22"/>
              </w:rPr>
              <w:t>AmCham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F109F7">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concering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F109F7">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F109F7">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222118A9"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2"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F109F7">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F109F7">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F109F7">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r w:rsidRPr="009F1D7A">
              <w:rPr>
                <w:rFonts w:ascii="Calibri" w:hAnsi="Calibri"/>
                <w:sz w:val="22"/>
              </w:rPr>
              <w:t>Afnic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F109F7">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The RySG and RrSG consider that the PTI Board should be no more than five members, given our strong preference for the PTI Board having a very limited roles and responsibilities consistent with maintaining the current day-to-day operation of the IANA Department. The 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16218F47" w:rsidR="00B12702" w:rsidRDefault="00B12702" w:rsidP="00B12702">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Action: CWG-Stewardship to consider the suggestion to limit role of PTI Board through a ‘fundamental bylaw’</w:t>
            </w:r>
          </w:p>
        </w:tc>
      </w:tr>
      <w:tr w:rsidR="00B12702" w:rsidRPr="009203EA" w14:paraId="08A2128B" w14:textId="77777777" w:rsidTr="00F109F7">
        <w:tc>
          <w:tcPr>
            <w:tcW w:w="675" w:type="dxa"/>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strong technical understanding of the IANA functions. Limiting 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F109F7">
        <w:tc>
          <w:tcPr>
            <w:tcW w:w="675" w:type="dxa"/>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 !CANN.</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r w:rsidRPr="00B0536D">
              <w:rPr>
                <w:rFonts w:ascii="Calibri" w:hAnsi="Calibri"/>
                <w:sz w:val="22"/>
              </w:rPr>
              <w:t>The !CANN Board should be held responsible for the operation of its subsidiary (affiliate).</w:t>
            </w:r>
            <w:r>
              <w:rPr>
                <w:rFonts w:ascii="Calibri" w:hAnsi="Calibri"/>
                <w:sz w:val="22"/>
              </w:rPr>
              <w:t xml:space="preserve"> </w:t>
            </w:r>
            <w:r w:rsidRPr="00B0536D">
              <w:rPr>
                <w:rFonts w:ascii="Calibri" w:hAnsi="Calibri"/>
                <w:sz w:val="22"/>
              </w:rPr>
              <w:t>We believe that it would be difficult to separate authority between a multi-stakeholder board for the PTI and the multi-stakeholder KANN Board, with the risk of dispute over their relative roles. Multi-stakeholder engagement and accountability should be at the !CANN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F109F7">
        <w:tc>
          <w:tcPr>
            <w:tcW w:w="675" w:type="dxa"/>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
          <w:p w14:paraId="58C1334B" w14:textId="173B7F05" w:rsidR="00B0536D" w:rsidRDefault="00B0536D" w:rsidP="00F109F7">
            <w:pPr>
              <w:rPr>
                <w:rFonts w:ascii="Calibri" w:hAnsi="Calibri"/>
                <w:sz w:val="22"/>
              </w:rPr>
            </w:pPr>
            <w:r>
              <w:rPr>
                <w:rFonts w:ascii="Calibri" w:hAnsi="Calibri"/>
                <w:sz w:val="22"/>
              </w:rPr>
              <w:t>Nominet</w:t>
            </w:r>
          </w:p>
        </w:tc>
        <w:tc>
          <w:tcPr>
            <w:tcW w:w="2880" w:type="dxa"/>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the  </w:t>
            </w:r>
            <w:r>
              <w:rPr>
                <w:rFonts w:ascii="Calibri" w:hAnsi="Calibri"/>
                <w:sz w:val="22"/>
              </w:rPr>
              <w:t>I</w:t>
            </w:r>
            <w:r w:rsidRPr="00B0536D">
              <w:rPr>
                <w:rFonts w:ascii="Calibri" w:hAnsi="Calibri"/>
                <w:sz w:val="22"/>
              </w:rPr>
              <w:t>ANA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F109F7">
        <w:tc>
          <w:tcPr>
            <w:tcW w:w="675" w:type="dxa"/>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
          <w:p w14:paraId="79526C0D" w14:textId="77777777" w:rsidR="00E576B7" w:rsidRDefault="00E576B7" w:rsidP="00F109F7">
            <w:pPr>
              <w:contextualSpacing/>
              <w:rPr>
                <w:rFonts w:ascii="Calibri" w:hAnsi="Calibri"/>
                <w:sz w:val="22"/>
              </w:rPr>
            </w:pPr>
          </w:p>
        </w:tc>
        <w:tc>
          <w:tcPr>
            <w:tcW w:w="5400" w:type="dxa"/>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F109F7">
        <w:tc>
          <w:tcPr>
            <w:tcW w:w="675" w:type="dxa"/>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
          <w:p w14:paraId="6000D07C" w14:textId="2A7EC5F1" w:rsidR="001327E3" w:rsidRPr="006C7CAE" w:rsidRDefault="001327E3" w:rsidP="001327E3">
            <w:pPr>
              <w:pStyle w:val="normal0"/>
              <w:contextualSpacing w:val="0"/>
              <w:rPr>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1327E3">
            <w:pPr>
              <w:pStyle w:val="normal0"/>
              <w:contextualSpacing w:val="0"/>
              <w:rPr>
                <w:sz w:val="22"/>
                <w:szCs w:val="22"/>
              </w:rPr>
            </w:pPr>
            <w:r w:rsidRPr="006C7CAE">
              <w:rPr>
                <w:rFonts w:ascii="Calibri" w:eastAsia="Calibri" w:hAnsi="Calibri" w:cs="Calibri"/>
                <w:sz w:val="22"/>
                <w:szCs w:val="22"/>
              </w:rPr>
              <w:t>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F109F7">
        <w:tc>
          <w:tcPr>
            <w:tcW w:w="675" w:type="dxa"/>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0B6A08" w:rsidRPr="009203EA" w14:paraId="1748D524" w14:textId="77777777" w:rsidTr="00BF5C23">
        <w:tc>
          <w:tcPr>
            <w:tcW w:w="14238" w:type="dxa"/>
            <w:gridSpan w:val="5"/>
            <w:shd w:val="clear" w:color="auto" w:fill="F79646"/>
          </w:tcPr>
          <w:p w14:paraId="5095A0DB" w14:textId="77777777" w:rsidR="000B6A08" w:rsidRPr="009203EA" w:rsidRDefault="000B6A08" w:rsidP="000B6A08">
            <w:pPr>
              <w:contextualSpacing/>
              <w:rPr>
                <w:rFonts w:ascii="Calibri" w:hAnsi="Calibri"/>
                <w:b/>
                <w:sz w:val="22"/>
                <w:szCs w:val="22"/>
              </w:rPr>
            </w:pPr>
            <w:bookmarkStart w:id="8" w:name="SectionIIIIANAstatementofwork"/>
            <w:bookmarkEnd w:id="8"/>
            <w:r>
              <w:rPr>
                <w:rFonts w:ascii="Calibri" w:hAnsi="Calibri"/>
                <w:b/>
                <w:sz w:val="22"/>
                <w:szCs w:val="22"/>
              </w:rPr>
              <w:t>Section III – Proposed Post-Transition Oversight and Accountability – IANA Statement of Work</w:t>
            </w:r>
          </w:p>
        </w:tc>
      </w:tr>
      <w:tr w:rsidR="000B6A08" w:rsidRPr="009203EA" w14:paraId="70D23669" w14:textId="77777777" w:rsidTr="009B7EB6">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appropriate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auDA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9B7EB6">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9B7EB6">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3"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9B7EB6">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6D5CBB6D"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We regard the existence of a contract including a statement of work between IANA and PTI as an advantage of the proposed affiliate model and support all of the identified carryover provisions being incorporated into the statement of work. 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4"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9B7EB6">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9001A0" w:rsidRPr="009203EA" w14:paraId="3EA3A3FE" w14:textId="77777777" w:rsidTr="00BF5C23">
        <w:tc>
          <w:tcPr>
            <w:tcW w:w="14238" w:type="dxa"/>
            <w:gridSpan w:val="5"/>
            <w:shd w:val="clear" w:color="auto" w:fill="F79646"/>
          </w:tcPr>
          <w:p w14:paraId="27C4A967" w14:textId="77777777" w:rsidR="009001A0" w:rsidRPr="009203EA" w:rsidRDefault="009001A0" w:rsidP="009001A0">
            <w:pPr>
              <w:contextualSpacing/>
              <w:rPr>
                <w:rFonts w:ascii="Calibri" w:hAnsi="Calibri"/>
                <w:b/>
                <w:sz w:val="22"/>
                <w:szCs w:val="22"/>
              </w:rPr>
            </w:pPr>
            <w:bookmarkStart w:id="9" w:name="SectionIIIIFR"/>
            <w:bookmarkEnd w:id="9"/>
            <w:r>
              <w:rPr>
                <w:rFonts w:ascii="Calibri" w:hAnsi="Calibri"/>
                <w:b/>
                <w:sz w:val="22"/>
                <w:szCs w:val="22"/>
              </w:rPr>
              <w:t>Section III – Proposed Post-Transition Oversight and Accountability – IANA Function Review</w:t>
            </w:r>
          </w:p>
        </w:tc>
      </w:tr>
      <w:tr w:rsidR="009001A0" w:rsidRPr="009203EA" w14:paraId="0BB4516B" w14:textId="77777777" w:rsidTr="009B7EB6">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auDA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"nonccNSO"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transition. auDA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77777777" w:rsidR="009001A0"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55"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9B7EB6">
        <w:tc>
          <w:tcPr>
            <w:tcW w:w="675" w:type="dxa"/>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74DEF1CB" w14:textId="77777777" w:rsidR="005B5FDF" w:rsidRDefault="005B5FDF" w:rsidP="00783EE6">
            <w:pPr>
              <w:contextualSpacing/>
              <w:rPr>
                <w:rFonts w:ascii="Calibri" w:hAnsi="Calibri"/>
                <w:sz w:val="22"/>
              </w:rPr>
            </w:pPr>
          </w:p>
        </w:tc>
        <w:tc>
          <w:tcPr>
            <w:tcW w:w="5400" w:type="dxa"/>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9B7EB6">
        <w:tc>
          <w:tcPr>
            <w:tcW w:w="675" w:type="dxa"/>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9B7EB6">
        <w:tc>
          <w:tcPr>
            <w:tcW w:w="675" w:type="dxa"/>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9B7EB6">
        <w:tc>
          <w:tcPr>
            <w:tcW w:w="675" w:type="dxa"/>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9B7EB6">
        <w:tc>
          <w:tcPr>
            <w:tcW w:w="675" w:type="dxa"/>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9B7EB6">
        <w:tc>
          <w:tcPr>
            <w:tcW w:w="675" w:type="dxa"/>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9B7EB6">
        <w:tc>
          <w:tcPr>
            <w:tcW w:w="675" w:type="dxa"/>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516E8A">
        <w:tc>
          <w:tcPr>
            <w:tcW w:w="675" w:type="dxa"/>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1AE3B652" w14:textId="77777777" w:rsidR="00FB78F8" w:rsidRDefault="00FB78F8" w:rsidP="00516E8A">
            <w:pPr>
              <w:contextualSpacing/>
              <w:rPr>
                <w:rFonts w:ascii="Calibri" w:hAnsi="Calibri"/>
                <w:sz w:val="22"/>
              </w:rPr>
            </w:pPr>
          </w:p>
        </w:tc>
        <w:tc>
          <w:tcPr>
            <w:tcW w:w="5400" w:type="dxa"/>
          </w:tcPr>
          <w:p w14:paraId="7B15411B"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It is suggested that a</w:t>
            </w:r>
            <w:r w:rsidRPr="00533170">
              <w:rPr>
                <w:rFonts w:ascii="Calibri" w:eastAsia="宋体" w:hAnsi="Calibri"/>
                <w:sz w:val="22"/>
                <w:szCs w:val="22"/>
                <w:lang w:eastAsia="zh-CN"/>
              </w:rPr>
              <w:t>fter the initial review</w:t>
            </w:r>
            <w:r w:rsidRPr="00533170">
              <w:rPr>
                <w:rFonts w:ascii="Calibri" w:eastAsia="宋体" w:hAnsi="Calibri" w:hint="eastAsia"/>
                <w:sz w:val="22"/>
                <w:szCs w:val="22"/>
                <w:lang w:eastAsia="zh-CN"/>
              </w:rPr>
              <w:t>,</w:t>
            </w:r>
            <w:r w:rsidRPr="00533170">
              <w:rPr>
                <w:rFonts w:ascii="Calibri" w:eastAsia="宋体" w:hAnsi="Calibri"/>
                <w:sz w:val="22"/>
                <w:szCs w:val="22"/>
                <w:lang w:eastAsia="zh-CN"/>
              </w:rPr>
              <w:t xml:space="preserve"> the IFR occur every </w:t>
            </w:r>
            <w:r w:rsidRPr="00533170">
              <w:rPr>
                <w:rFonts w:ascii="Calibri" w:eastAsia="宋体" w:hAnsi="Calibri" w:hint="eastAsia"/>
                <w:sz w:val="22"/>
                <w:szCs w:val="22"/>
                <w:lang w:eastAsia="zh-CN"/>
              </w:rPr>
              <w:t>1-2</w:t>
            </w:r>
            <w:r w:rsidRPr="00533170">
              <w:rPr>
                <w:rFonts w:ascii="Calibri" w:eastAsia="宋体" w:hAnsi="Calibri"/>
                <w:sz w:val="22"/>
                <w:szCs w:val="22"/>
                <w:lang w:eastAsia="zh-CN"/>
              </w:rPr>
              <w:t xml:space="preserve"> years</w:t>
            </w:r>
            <w:r w:rsidRPr="00533170">
              <w:rPr>
                <w:rFonts w:ascii="Calibri" w:eastAsia="宋体" w:hAnsi="Calibri" w:hint="eastAsia"/>
                <w:sz w:val="22"/>
                <w:szCs w:val="22"/>
                <w:lang w:eastAsia="zh-CN"/>
              </w:rPr>
              <w:t>, as 5 years is a long time</w:t>
            </w:r>
            <w:r w:rsidRPr="00533170">
              <w:rPr>
                <w:rFonts w:ascii="Calibri" w:eastAsia="宋体"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F109F7">
        <w:tc>
          <w:tcPr>
            <w:tcW w:w="675" w:type="dxa"/>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
          <w:p w14:paraId="3490D3B2" w14:textId="77777777" w:rsidR="00A06922" w:rsidRDefault="00A06922" w:rsidP="00F109F7">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宋体" w:hAnsi="Calibri"/>
                <w:sz w:val="22"/>
                <w:szCs w:val="22"/>
                <w:lang w:eastAsia="zh-CN"/>
              </w:rPr>
            </w:pPr>
          </w:p>
          <w:p w14:paraId="40E0C01F" w14:textId="03A5F4F6" w:rsidR="00A76EF3" w:rsidRPr="00351546" w:rsidRDefault="00A76EF3" w:rsidP="00F109F7">
            <w:pPr>
              <w:rPr>
                <w:rFonts w:ascii="Calibri" w:eastAsia="宋体" w:hAnsi="Calibri"/>
                <w:sz w:val="22"/>
                <w:szCs w:val="22"/>
                <w:lang w:eastAsia="zh-CN"/>
              </w:rPr>
            </w:pPr>
            <w:r w:rsidRPr="00A76EF3">
              <w:rPr>
                <w:rFonts w:ascii="Calibri" w:eastAsia="宋体"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宋体" w:hAnsi="Calibri"/>
                <w:sz w:val="22"/>
                <w:szCs w:val="22"/>
                <w:lang w:eastAsia="zh-CN"/>
              </w:rPr>
              <w:t xml:space="preserve"> </w:t>
            </w:r>
            <w:r w:rsidRPr="00A76EF3">
              <w:rPr>
                <w:rFonts w:ascii="Calibri" w:eastAsia="宋体" w:hAnsi="Calibri"/>
                <w:sz w:val="22"/>
                <w:szCs w:val="22"/>
                <w:lang w:eastAsia="zh-CN"/>
              </w:rPr>
              <w:t>We understand that it is assumed that the IFO will provide the IFRT with the necessary support and resources. This however could undermine IFRT independence from the subject of their review.</w:t>
            </w:r>
          </w:p>
        </w:tc>
        <w:tc>
          <w:tcPr>
            <w:tcW w:w="3870" w:type="dxa"/>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516E8A">
        <w:tc>
          <w:tcPr>
            <w:tcW w:w="675" w:type="dxa"/>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
          <w:p w14:paraId="4AC223E8" w14:textId="3855F5E7" w:rsidR="00A06922" w:rsidRPr="00533170" w:rsidRDefault="009201AF" w:rsidP="009201AF">
            <w:pPr>
              <w:rPr>
                <w:rFonts w:ascii="Calibri" w:eastAsia="宋体" w:hAnsi="Calibri"/>
                <w:sz w:val="22"/>
                <w:szCs w:val="22"/>
                <w:lang w:eastAsia="zh-CN"/>
              </w:rPr>
            </w:pPr>
            <w:r w:rsidRPr="009201AF">
              <w:rPr>
                <w:rFonts w:ascii="Calibri" w:eastAsia="宋体" w:hAnsi="Calibri"/>
                <w:sz w:val="22"/>
                <w:szCs w:val="22"/>
                <w:lang w:eastAsia="zh-CN"/>
              </w:rPr>
              <w:t>The Internet Community of Korea supports the proposed structure</w:t>
            </w:r>
            <w:r>
              <w:rPr>
                <w:rFonts w:ascii="Calibri" w:eastAsia="宋体" w:hAnsi="Calibri"/>
                <w:sz w:val="22"/>
                <w:szCs w:val="22"/>
                <w:lang w:eastAsia="zh-CN"/>
              </w:rPr>
              <w:t xml:space="preserve"> </w:t>
            </w:r>
            <w:r w:rsidRPr="009201AF">
              <w:rPr>
                <w:rFonts w:ascii="Calibri" w:eastAsia="宋体" w:hAnsi="Calibri"/>
                <w:sz w:val="22"/>
                <w:szCs w:val="22"/>
                <w:lang w:eastAsia="zh-CN"/>
              </w:rPr>
              <w:t>and composition of the IFRT(IANA Function Review Team). Aside</w:t>
            </w:r>
            <w:r>
              <w:rPr>
                <w:rFonts w:ascii="Calibri" w:eastAsia="宋体" w:hAnsi="Calibri"/>
                <w:sz w:val="22"/>
                <w:szCs w:val="22"/>
                <w:lang w:eastAsia="zh-CN"/>
              </w:rPr>
              <w:t xml:space="preserve"> </w:t>
            </w:r>
            <w:r w:rsidRPr="009201AF">
              <w:rPr>
                <w:rFonts w:ascii="Calibri" w:eastAsia="宋体" w:hAnsi="Calibri"/>
                <w:sz w:val="22"/>
                <w:szCs w:val="22"/>
                <w:lang w:eastAsia="zh-CN"/>
              </w:rPr>
              <w:t>from this, we’d like to reiterate that sufficient consideration be</w:t>
            </w:r>
            <w:r>
              <w:rPr>
                <w:rFonts w:ascii="Calibri" w:eastAsia="宋体" w:hAnsi="Calibri"/>
                <w:sz w:val="22"/>
                <w:szCs w:val="22"/>
                <w:lang w:eastAsia="zh-CN"/>
              </w:rPr>
              <w:t xml:space="preserve"> </w:t>
            </w:r>
            <w:r w:rsidRPr="009201AF">
              <w:rPr>
                <w:rFonts w:ascii="Calibri" w:eastAsia="宋体" w:hAnsi="Calibri"/>
                <w:sz w:val="22"/>
                <w:szCs w:val="22"/>
                <w:lang w:eastAsia="zh-CN"/>
              </w:rPr>
              <w:t>given to the geographical balance in the composition of IFRT. We</w:t>
            </w:r>
            <w:r>
              <w:rPr>
                <w:rFonts w:ascii="Calibri" w:eastAsia="宋体" w:hAnsi="Calibri"/>
                <w:sz w:val="22"/>
                <w:szCs w:val="22"/>
                <w:lang w:eastAsia="zh-CN"/>
              </w:rPr>
              <w:t xml:space="preserve"> </w:t>
            </w:r>
            <w:r w:rsidRPr="009201AF">
              <w:rPr>
                <w:rFonts w:ascii="Calibri" w:eastAsia="宋体" w:hAnsi="Calibri"/>
                <w:sz w:val="22"/>
                <w:szCs w:val="22"/>
                <w:lang w:eastAsia="zh-CN"/>
              </w:rPr>
              <w:t>have previously emphasized the importance of geographical</w:t>
            </w:r>
            <w:r>
              <w:rPr>
                <w:rFonts w:ascii="Calibri" w:eastAsia="宋体" w:hAnsi="Calibri"/>
                <w:sz w:val="22"/>
                <w:szCs w:val="22"/>
                <w:lang w:eastAsia="zh-CN"/>
              </w:rPr>
              <w:t xml:space="preserve"> </w:t>
            </w:r>
            <w:r w:rsidRPr="009201AF">
              <w:rPr>
                <w:rFonts w:ascii="Calibri" w:eastAsia="宋体" w:hAnsi="Calibri"/>
                <w:sz w:val="22"/>
                <w:szCs w:val="22"/>
                <w:lang w:eastAsia="zh-CN"/>
              </w:rPr>
              <w:t>balance of MRT(Multi-stakeholder Review Team) on the first draft</w:t>
            </w:r>
            <w:r>
              <w:rPr>
                <w:rFonts w:ascii="Calibri" w:eastAsia="宋体" w:hAnsi="Calibri"/>
                <w:sz w:val="22"/>
                <w:szCs w:val="22"/>
                <w:lang w:eastAsia="zh-CN"/>
              </w:rPr>
              <w:t xml:space="preserve"> </w:t>
            </w:r>
            <w:r w:rsidRPr="009201AF">
              <w:rPr>
                <w:rFonts w:ascii="Calibri" w:eastAsia="宋体" w:hAnsi="Calibri"/>
                <w:sz w:val="22"/>
                <w:szCs w:val="22"/>
                <w:lang w:eastAsia="zh-CN"/>
              </w:rPr>
              <w:t>proposal of C</w:t>
            </w:r>
            <w:r>
              <w:rPr>
                <w:rFonts w:ascii="Calibri" w:eastAsia="宋体" w:hAnsi="Calibri"/>
                <w:sz w:val="22"/>
                <w:szCs w:val="22"/>
                <w:lang w:eastAsia="zh-CN"/>
              </w:rPr>
              <w:t xml:space="preserve">WG. The members of the ICG, CWG </w:t>
            </w:r>
            <w:r w:rsidRPr="009201AF">
              <w:rPr>
                <w:rFonts w:ascii="Calibri" w:eastAsia="宋体" w:hAnsi="Calibri"/>
                <w:sz w:val="22"/>
                <w:szCs w:val="22"/>
                <w:lang w:eastAsia="zh-CN"/>
              </w:rPr>
              <w:t>Stewardship,</w:t>
            </w:r>
            <w:r>
              <w:rPr>
                <w:rFonts w:ascii="Calibri" w:eastAsia="宋体" w:hAnsi="Calibri"/>
                <w:sz w:val="22"/>
                <w:szCs w:val="22"/>
                <w:lang w:eastAsia="zh-CN"/>
              </w:rPr>
              <w:t xml:space="preserve"> </w:t>
            </w:r>
            <w:r w:rsidRPr="009201AF">
              <w:rPr>
                <w:rFonts w:ascii="Calibri" w:eastAsia="宋体" w:hAnsi="Calibri"/>
                <w:sz w:val="22"/>
                <w:szCs w:val="22"/>
                <w:lang w:eastAsia="zh-CN"/>
              </w:rPr>
              <w:t>CCWG-Accountability w</w:t>
            </w:r>
            <w:r>
              <w:rPr>
                <w:rFonts w:ascii="Calibri" w:eastAsia="宋体" w:hAnsi="Calibri"/>
                <w:sz w:val="22"/>
                <w:szCs w:val="22"/>
                <w:lang w:eastAsia="zh-CN"/>
              </w:rPr>
              <w:t xml:space="preserve">ere selected based on the multi </w:t>
            </w:r>
            <w:r w:rsidRPr="009201AF">
              <w:rPr>
                <w:rFonts w:ascii="Calibri" w:eastAsia="宋体" w:hAnsi="Calibri"/>
                <w:sz w:val="22"/>
                <w:szCs w:val="22"/>
                <w:lang w:eastAsia="zh-CN"/>
              </w:rPr>
              <w:t>stakeholder</w:t>
            </w:r>
            <w:r>
              <w:rPr>
                <w:rFonts w:ascii="Calibri" w:eastAsia="宋体" w:hAnsi="Calibri"/>
                <w:sz w:val="22"/>
                <w:szCs w:val="22"/>
                <w:lang w:eastAsia="zh-CN"/>
              </w:rPr>
              <w:t xml:space="preserve"> </w:t>
            </w:r>
            <w:r w:rsidRPr="009201AF">
              <w:rPr>
                <w:rFonts w:ascii="Calibri" w:eastAsia="宋体" w:hAnsi="Calibri"/>
                <w:sz w:val="22"/>
                <w:szCs w:val="22"/>
                <w:lang w:eastAsia="zh-CN"/>
              </w:rPr>
              <w:t>model, but we note that the selection process did not have</w:t>
            </w:r>
            <w:r>
              <w:rPr>
                <w:rFonts w:ascii="Calibri" w:eastAsia="宋体" w:hAnsi="Calibri"/>
                <w:sz w:val="22"/>
                <w:szCs w:val="22"/>
                <w:lang w:eastAsia="zh-CN"/>
              </w:rPr>
              <w:t xml:space="preserve"> </w:t>
            </w:r>
            <w:r w:rsidRPr="009201AF">
              <w:rPr>
                <w:rFonts w:ascii="Calibri" w:eastAsia="宋体" w:hAnsi="Calibri"/>
                <w:sz w:val="22"/>
                <w:szCs w:val="22"/>
                <w:lang w:eastAsia="zh-CN"/>
              </w:rPr>
              <w:t xml:space="preserve">mechanisms to </w:t>
            </w:r>
            <w:r>
              <w:rPr>
                <w:rFonts w:ascii="Calibri" w:eastAsia="宋体" w:hAnsi="Calibri"/>
                <w:sz w:val="22"/>
                <w:szCs w:val="22"/>
                <w:lang w:eastAsia="zh-CN"/>
              </w:rPr>
              <w:t xml:space="preserve">ensure a more balanced regional </w:t>
            </w:r>
            <w:r w:rsidRPr="009201AF">
              <w:rPr>
                <w:rFonts w:ascii="Calibri" w:eastAsia="宋体" w:hAnsi="Calibri"/>
                <w:sz w:val="22"/>
                <w:szCs w:val="22"/>
                <w:lang w:eastAsia="zh-CN"/>
              </w:rPr>
              <w:t>representation.</w:t>
            </w:r>
            <w:r>
              <w:rPr>
                <w:rFonts w:ascii="Calibri" w:eastAsia="宋体" w:hAnsi="Calibri"/>
                <w:sz w:val="22"/>
                <w:szCs w:val="22"/>
                <w:lang w:eastAsia="zh-CN"/>
              </w:rPr>
              <w:t xml:space="preserve"> Thus, there are </w:t>
            </w:r>
            <w:r w:rsidRPr="009201AF">
              <w:rPr>
                <w:rFonts w:ascii="Calibri" w:eastAsia="宋体" w:hAnsi="Calibri"/>
                <w:sz w:val="22"/>
                <w:szCs w:val="22"/>
                <w:lang w:eastAsia="zh-CN"/>
              </w:rPr>
              <w:t xml:space="preserve">regions </w:t>
            </w:r>
            <w:r>
              <w:rPr>
                <w:rFonts w:ascii="Calibri" w:eastAsia="宋体" w:hAnsi="Calibri"/>
                <w:sz w:val="22"/>
                <w:szCs w:val="22"/>
                <w:lang w:eastAsia="zh-CN"/>
              </w:rPr>
              <w:t xml:space="preserve">which have lower representation </w:t>
            </w:r>
            <w:r w:rsidRPr="009201AF">
              <w:rPr>
                <w:rFonts w:ascii="Calibri" w:eastAsia="宋体" w:hAnsi="Calibri"/>
                <w:sz w:val="22"/>
                <w:szCs w:val="22"/>
                <w:lang w:eastAsia="zh-CN"/>
              </w:rPr>
              <w:t>as well as</w:t>
            </w:r>
            <w:r>
              <w:rPr>
                <w:rFonts w:ascii="Calibri" w:eastAsia="宋体" w:hAnsi="Calibri"/>
                <w:sz w:val="22"/>
                <w:szCs w:val="22"/>
                <w:lang w:eastAsia="zh-CN"/>
              </w:rPr>
              <w:t xml:space="preserve"> </w:t>
            </w:r>
            <w:r w:rsidRPr="009201AF">
              <w:rPr>
                <w:rFonts w:ascii="Calibri" w:eastAsia="宋体" w:hAnsi="Calibri"/>
                <w:sz w:val="22"/>
                <w:szCs w:val="22"/>
                <w:lang w:eastAsia="zh-CN"/>
              </w:rPr>
              <w:t>regions and countries t</w:t>
            </w:r>
            <w:r>
              <w:rPr>
                <w:rFonts w:ascii="Calibri" w:eastAsia="宋体" w:hAnsi="Calibri"/>
                <w:sz w:val="22"/>
                <w:szCs w:val="22"/>
                <w:lang w:eastAsia="zh-CN"/>
              </w:rPr>
              <w:t xml:space="preserve">hat have a significantly higher </w:t>
            </w:r>
            <w:r w:rsidRPr="009201AF">
              <w:rPr>
                <w:rFonts w:ascii="Calibri" w:eastAsia="宋体" w:hAnsi="Calibri"/>
                <w:sz w:val="22"/>
                <w:szCs w:val="22"/>
                <w:lang w:eastAsia="zh-CN"/>
              </w:rPr>
              <w:t>number of</w:t>
            </w:r>
            <w:r>
              <w:rPr>
                <w:rFonts w:ascii="Calibri" w:eastAsia="宋体" w:hAnsi="Calibri"/>
                <w:sz w:val="22"/>
                <w:szCs w:val="22"/>
                <w:lang w:eastAsia="zh-CN"/>
              </w:rPr>
              <w:t xml:space="preserve"> </w:t>
            </w:r>
            <w:r w:rsidRPr="009201AF">
              <w:rPr>
                <w:rFonts w:ascii="Calibri" w:eastAsia="宋体" w:hAnsi="Calibri"/>
                <w:sz w:val="22"/>
                <w:szCs w:val="22"/>
                <w:lang w:eastAsia="zh-CN"/>
              </w:rPr>
              <w:t>members in the groups</w:t>
            </w:r>
            <w:r>
              <w:rPr>
                <w:rFonts w:ascii="Calibri" w:eastAsia="宋体" w:hAnsi="Calibri"/>
                <w:sz w:val="22"/>
                <w:szCs w:val="22"/>
                <w:lang w:eastAsia="zh-CN"/>
              </w:rPr>
              <w:t xml:space="preserve">. We understand that one of the </w:t>
            </w:r>
            <w:r w:rsidRPr="009201AF">
              <w:rPr>
                <w:rFonts w:ascii="Calibri" w:eastAsia="宋体" w:hAnsi="Calibri"/>
                <w:sz w:val="22"/>
                <w:szCs w:val="22"/>
                <w:lang w:eastAsia="zh-CN"/>
              </w:rPr>
              <w:t>more</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for th</w:t>
            </w:r>
            <w:r>
              <w:rPr>
                <w:rFonts w:ascii="Calibri" w:eastAsia="宋体" w:hAnsi="Calibri"/>
                <w:sz w:val="22"/>
                <w:szCs w:val="22"/>
                <w:lang w:eastAsia="zh-CN"/>
              </w:rPr>
              <w:t xml:space="preserve">e selection of members in those </w:t>
            </w:r>
            <w:r w:rsidRPr="009201AF">
              <w:rPr>
                <w:rFonts w:ascii="Calibri" w:eastAsia="宋体" w:hAnsi="Calibri"/>
                <w:sz w:val="22"/>
                <w:szCs w:val="22"/>
                <w:lang w:eastAsia="zh-CN"/>
              </w:rPr>
              <w:t>groups was</w:t>
            </w:r>
            <w:r>
              <w:rPr>
                <w:rFonts w:ascii="Calibri" w:eastAsia="宋体" w:hAnsi="Calibri"/>
                <w:sz w:val="22"/>
                <w:szCs w:val="22"/>
                <w:lang w:eastAsia="zh-CN"/>
              </w:rPr>
              <w:t xml:space="preserve"> </w:t>
            </w:r>
            <w:r w:rsidRPr="009201AF">
              <w:rPr>
                <w:rFonts w:ascii="Calibri" w:eastAsia="宋体" w:hAnsi="Calibri"/>
                <w:sz w:val="22"/>
                <w:szCs w:val="22"/>
                <w:lang w:eastAsia="zh-CN"/>
              </w:rPr>
              <w:t>their willingness to exert</w:t>
            </w:r>
            <w:r>
              <w:rPr>
                <w:rFonts w:ascii="Calibri" w:eastAsia="宋体" w:hAnsi="Calibri"/>
                <w:sz w:val="22"/>
                <w:szCs w:val="22"/>
                <w:lang w:eastAsia="zh-CN"/>
              </w:rPr>
              <w:t xml:space="preserve"> their time and effort and that </w:t>
            </w:r>
            <w:r w:rsidRPr="009201AF">
              <w:rPr>
                <w:rFonts w:ascii="Calibri" w:eastAsia="宋体" w:hAnsi="Calibri"/>
                <w:sz w:val="22"/>
                <w:szCs w:val="22"/>
                <w:lang w:eastAsia="zh-CN"/>
              </w:rPr>
              <w:t>may be the</w:t>
            </w:r>
            <w:r>
              <w:rPr>
                <w:rFonts w:ascii="Calibri" w:eastAsia="宋体" w:hAnsi="Calibri"/>
                <w:sz w:val="22"/>
                <w:szCs w:val="22"/>
                <w:lang w:eastAsia="zh-CN"/>
              </w:rPr>
              <w:t xml:space="preserve"> </w:t>
            </w:r>
            <w:r w:rsidRPr="009201AF">
              <w:rPr>
                <w:rFonts w:ascii="Calibri" w:eastAsia="宋体" w:hAnsi="Calibri"/>
                <w:sz w:val="22"/>
                <w:szCs w:val="22"/>
                <w:lang w:eastAsia="zh-CN"/>
              </w:rPr>
              <w:t>reason for the disproportion in regional representation. However,</w:t>
            </w:r>
            <w:r>
              <w:rPr>
                <w:rFonts w:ascii="Calibri" w:eastAsia="宋体" w:hAnsi="Calibri"/>
                <w:sz w:val="22"/>
                <w:szCs w:val="22"/>
                <w:lang w:eastAsia="zh-CN"/>
              </w:rPr>
              <w:t xml:space="preserve"> </w:t>
            </w:r>
            <w:r w:rsidRPr="009201AF">
              <w:rPr>
                <w:rFonts w:ascii="Calibri" w:eastAsia="宋体" w:hAnsi="Calibri"/>
                <w:sz w:val="22"/>
                <w:szCs w:val="22"/>
                <w:lang w:eastAsia="zh-CN"/>
              </w:rPr>
              <w:t>we strongly believe that regional balance be included as an</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in the composition of the IFRT since it will need</w:t>
            </w:r>
            <w:r>
              <w:rPr>
                <w:rFonts w:ascii="Calibri" w:eastAsia="宋体" w:hAnsi="Calibri"/>
                <w:sz w:val="22"/>
                <w:szCs w:val="22"/>
                <w:lang w:eastAsia="zh-CN"/>
              </w:rPr>
              <w:t xml:space="preserve"> </w:t>
            </w:r>
            <w:r w:rsidRPr="009201AF">
              <w:rPr>
                <w:rFonts w:ascii="Calibri" w:eastAsia="宋体" w:hAnsi="Calibri"/>
                <w:sz w:val="22"/>
                <w:szCs w:val="22"/>
                <w:lang w:eastAsia="zh-CN"/>
              </w:rPr>
              <w:t>to fully represent the global community.</w:t>
            </w:r>
          </w:p>
        </w:tc>
        <w:tc>
          <w:tcPr>
            <w:tcW w:w="3870" w:type="dxa"/>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516E8A">
        <w:tc>
          <w:tcPr>
            <w:tcW w:w="675" w:type="dxa"/>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
          <w:p w14:paraId="6E5EE9B4" w14:textId="7868076A" w:rsidR="00731161" w:rsidRDefault="00731161" w:rsidP="00FB78F8">
            <w:pPr>
              <w:rPr>
                <w:rFonts w:ascii="Calibri" w:eastAsia="宋体" w:hAnsi="Calibri"/>
                <w:sz w:val="22"/>
                <w:szCs w:val="22"/>
                <w:lang w:eastAsia="zh-CN"/>
              </w:rPr>
            </w:pPr>
            <w:r w:rsidRPr="00731161">
              <w:rPr>
                <w:rFonts w:ascii="Calibri" w:eastAsia="宋体" w:hAnsi="Calibri"/>
                <w:sz w:val="22"/>
                <w:szCs w:val="22"/>
                <w:lang w:eastAsia="zh-CN"/>
              </w:rPr>
              <w:t>Just as pre-transition ICANN was held accountabl</w:t>
            </w:r>
            <w:r>
              <w:rPr>
                <w:rFonts w:ascii="Calibri" w:eastAsia="宋体" w:hAnsi="Calibri"/>
                <w:sz w:val="22"/>
                <w:szCs w:val="22"/>
                <w:lang w:eastAsia="zh-CN"/>
              </w:rPr>
              <w:t xml:space="preserve">e by the possibility that NTIA </w:t>
            </w:r>
            <w:r w:rsidRPr="00731161">
              <w:rPr>
                <w:rFonts w:ascii="Calibri" w:eastAsia="宋体" w:hAnsi="Calibri"/>
                <w:sz w:val="22"/>
                <w:szCs w:val="22"/>
                <w:lang w:eastAsia="zh-CN"/>
              </w:rPr>
              <w:t>would not re-award it the IANA functions contrac</w:t>
            </w:r>
            <w:r>
              <w:rPr>
                <w:rFonts w:ascii="Calibri" w:eastAsia="宋体" w:hAnsi="Calibri"/>
                <w:sz w:val="22"/>
                <w:szCs w:val="22"/>
                <w:lang w:eastAsia="zh-CN"/>
              </w:rPr>
              <w:t xml:space="preserve">t, so the post-transition IANA </w:t>
            </w:r>
            <w:r w:rsidRPr="00731161">
              <w:rPr>
                <w:rFonts w:ascii="Calibri" w:eastAsia="宋体" w:hAnsi="Calibri"/>
                <w:sz w:val="22"/>
                <w:szCs w:val="22"/>
                <w:lang w:eastAsia="zh-CN"/>
              </w:rPr>
              <w:t>should be held accountable by the possibility that ICANN, acting with the  support of its broader community, would not re-a</w:t>
            </w:r>
            <w:r>
              <w:rPr>
                <w:rFonts w:ascii="Calibri" w:eastAsia="宋体" w:hAnsi="Calibri"/>
                <w:sz w:val="22"/>
                <w:szCs w:val="22"/>
                <w:lang w:eastAsia="zh-CN"/>
              </w:rPr>
              <w:t xml:space="preserve">ward it the IANA contract. For </w:t>
            </w:r>
            <w:r w:rsidRPr="00731161">
              <w:rPr>
                <w:rFonts w:ascii="Calibri" w:eastAsia="宋体" w:hAnsi="Calibri"/>
                <w:sz w:val="22"/>
                <w:szCs w:val="22"/>
                <w:lang w:eastAsia="zh-CN"/>
              </w:rPr>
              <w:t>this accountability measure to be effecti</w:t>
            </w:r>
            <w:r>
              <w:rPr>
                <w:rFonts w:ascii="Calibri" w:eastAsia="宋体" w:hAnsi="Calibri"/>
                <w:sz w:val="22"/>
                <w:szCs w:val="22"/>
                <w:lang w:eastAsia="zh-CN"/>
              </w:rPr>
              <w:t xml:space="preserve">ve, the review, re-bidding and </w:t>
            </w:r>
            <w:r w:rsidRPr="00731161">
              <w:rPr>
                <w:rFonts w:ascii="Calibri" w:eastAsia="宋体" w:hAnsi="Calibri"/>
                <w:sz w:val="22"/>
                <w:szCs w:val="22"/>
                <w:lang w:eastAsia="zh-CN"/>
              </w:rPr>
              <w:t>selection process must be quick and efficient. W</w:t>
            </w:r>
            <w:r>
              <w:rPr>
                <w:rFonts w:ascii="Calibri" w:eastAsia="宋体" w:hAnsi="Calibri"/>
                <w:sz w:val="22"/>
                <w:szCs w:val="22"/>
                <w:lang w:eastAsia="zh-CN"/>
              </w:rPr>
              <w:t xml:space="preserve">e urge the CWG to simplify and </w:t>
            </w:r>
            <w:r w:rsidRPr="00731161">
              <w:rPr>
                <w:rFonts w:ascii="Calibri" w:eastAsia="宋体" w:hAnsi="Calibri"/>
                <w:sz w:val="22"/>
                <w:szCs w:val="22"/>
                <w:lang w:eastAsia="zh-CN"/>
              </w:rPr>
              <w:t>expedite the IFR process and to develop a clearer, more efficient re-bi</w:t>
            </w:r>
            <w:r>
              <w:rPr>
                <w:rFonts w:ascii="Calibri" w:eastAsia="宋体" w:hAnsi="Calibri"/>
                <w:sz w:val="22"/>
                <w:szCs w:val="22"/>
                <w:lang w:eastAsia="zh-CN"/>
              </w:rPr>
              <w:t xml:space="preserve">dding </w:t>
            </w:r>
            <w:r w:rsidRPr="00731161">
              <w:rPr>
                <w:rFonts w:ascii="Calibri" w:eastAsia="宋体" w:hAnsi="Calibri"/>
                <w:sz w:val="22"/>
                <w:szCs w:val="22"/>
                <w:lang w:eastAsia="zh-CN"/>
              </w:rPr>
              <w:t xml:space="preserve">and selection process. </w:t>
            </w:r>
          </w:p>
        </w:tc>
        <w:tc>
          <w:tcPr>
            <w:tcW w:w="3870" w:type="dxa"/>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516E8A">
        <w:tc>
          <w:tcPr>
            <w:tcW w:w="675" w:type="dxa"/>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
          <w:p w14:paraId="259BA7BA" w14:textId="77777777" w:rsidR="00AB3316" w:rsidRDefault="00AB3316" w:rsidP="00516E8A">
            <w:pPr>
              <w:contextualSpacing/>
              <w:rPr>
                <w:rFonts w:ascii="Calibri" w:hAnsi="Calibri"/>
                <w:sz w:val="22"/>
              </w:rPr>
            </w:pPr>
          </w:p>
        </w:tc>
        <w:tc>
          <w:tcPr>
            <w:tcW w:w="5400" w:type="dxa"/>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宋体" w:hAnsi="Calibri"/>
                <w:sz w:val="22"/>
                <w:szCs w:val="22"/>
                <w:lang w:eastAsia="zh-CN"/>
              </w:rPr>
            </w:pPr>
          </w:p>
        </w:tc>
        <w:tc>
          <w:tcPr>
            <w:tcW w:w="3870" w:type="dxa"/>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516E8A">
        <w:tc>
          <w:tcPr>
            <w:tcW w:w="675" w:type="dxa"/>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essential  that the review team as suggested includes non-members of the ccNSO. It is also important the Special Reviews also can be triggered by request from non-members. This includes a need for a process that ensures that any ad hoc review must also be consulted with the ccTLD community that are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516E8A">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 and section process</w:t>
            </w:r>
            <w:r>
              <w:rPr>
                <w:rFonts w:ascii="Calibri" w:hAnsi="Calibri"/>
                <w:b/>
                <w:i/>
                <w:sz w:val="22"/>
              </w:rPr>
              <w:t>.</w:t>
            </w:r>
          </w:p>
        </w:tc>
      </w:tr>
      <w:tr w:rsidR="009F1D7A" w:rsidRPr="009203EA" w14:paraId="6FC040D3" w14:textId="77777777" w:rsidTr="00516E8A">
        <w:tc>
          <w:tcPr>
            <w:tcW w:w="675" w:type="dxa"/>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516E8A">
        <w:tc>
          <w:tcPr>
            <w:tcW w:w="675" w:type="dxa"/>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516E8A">
        <w:tc>
          <w:tcPr>
            <w:tcW w:w="675" w:type="dxa"/>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16E8A">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Functions Review team should limit its mission to evaluating the performance of the IANA Function 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516E8A">
        <w:tc>
          <w:tcPr>
            <w:tcW w:w="675" w:type="dxa"/>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
          <w:p w14:paraId="0D3CA7D8" w14:textId="77777777" w:rsidR="00C67517" w:rsidRDefault="00C67517" w:rsidP="00C67517">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mechanism by which a decision within ICANN will be taken on significant changes with regard to IANA should include opportunities for the registries to veto such changes. (to be arranged by the CCWG).</w:t>
            </w:r>
          </w:p>
        </w:tc>
        <w:tc>
          <w:tcPr>
            <w:tcW w:w="3870" w:type="dxa"/>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516E8A">
        <w:tc>
          <w:tcPr>
            <w:tcW w:w="675" w:type="dxa"/>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
          <w:p w14:paraId="661D8098" w14:textId="10CF4E16" w:rsidR="00E51F4E" w:rsidRPr="00E51F4E" w:rsidRDefault="00E51F4E" w:rsidP="00E51F4E">
            <w:pPr>
              <w:rPr>
                <w:rFonts w:ascii="Calibri" w:eastAsia="宋体" w:hAnsi="Calibri"/>
                <w:sz w:val="22"/>
                <w:szCs w:val="22"/>
                <w:lang w:eastAsia="zh-CN"/>
              </w:rPr>
            </w:pPr>
            <w:r>
              <w:rPr>
                <w:rFonts w:ascii="Calibri" w:eastAsia="宋体" w:hAnsi="Calibri"/>
                <w:sz w:val="22"/>
                <w:szCs w:val="22"/>
                <w:lang w:eastAsia="zh-CN"/>
              </w:rPr>
              <w:t>W</w:t>
            </w:r>
            <w:r w:rsidRPr="00E51F4E">
              <w:rPr>
                <w:rFonts w:ascii="Calibri" w:eastAsia="宋体"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宋体" w:hAnsi="Calibri"/>
                <w:sz w:val="22"/>
                <w:szCs w:val="22"/>
                <w:lang w:eastAsia="zh-CN"/>
              </w:rPr>
            </w:pPr>
          </w:p>
          <w:p w14:paraId="608BCAED" w14:textId="40BEE098" w:rsidR="00E51F4E" w:rsidRPr="00FA73DC" w:rsidRDefault="00E51F4E" w:rsidP="00C67517">
            <w:pPr>
              <w:rPr>
                <w:rFonts w:ascii="Calibri" w:eastAsia="宋体" w:hAnsi="Calibri"/>
                <w:sz w:val="22"/>
                <w:szCs w:val="22"/>
                <w:lang w:eastAsia="zh-CN"/>
              </w:rPr>
            </w:pPr>
            <w:r w:rsidRPr="00E51F4E">
              <w:rPr>
                <w:rFonts w:ascii="Calibri" w:eastAsia="宋体" w:hAnsi="Calibri"/>
                <w:sz w:val="22"/>
                <w:szCs w:val="22"/>
                <w:lang w:eastAsia="zh-CN"/>
              </w:rPr>
              <w:t>Given the role of the IFR to maintain operational excellence for</w:t>
            </w:r>
            <w:r>
              <w:rPr>
                <w:rFonts w:ascii="Calibri" w:eastAsia="宋体" w:hAnsi="Calibri"/>
                <w:sz w:val="22"/>
                <w:szCs w:val="22"/>
                <w:lang w:eastAsia="zh-CN"/>
              </w:rPr>
              <w:t xml:space="preserve"> </w:t>
            </w:r>
            <w:r w:rsidRPr="00E51F4E">
              <w:rPr>
                <w:rFonts w:ascii="Calibri" w:eastAsia="宋体" w:hAnsi="Calibri"/>
                <w:sz w:val="22"/>
                <w:szCs w:val="22"/>
                <w:lang w:eastAsia="zh-CN"/>
              </w:rPr>
              <w:t>IANA services, we believe that the IFRT should bring in a strong representation from operational customers. The review should be focused on</w:t>
            </w:r>
            <w:r>
              <w:rPr>
                <w:rFonts w:ascii="Calibri" w:eastAsia="宋体" w:hAnsi="Calibri"/>
                <w:sz w:val="22"/>
                <w:szCs w:val="22"/>
                <w:lang w:eastAsia="zh-CN"/>
              </w:rPr>
              <w:t xml:space="preserve"> </w:t>
            </w:r>
            <w:r w:rsidRPr="00E51F4E">
              <w:rPr>
                <w:rFonts w:ascii="Calibri" w:eastAsia="宋体"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516E8A">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宋体" w:hAnsi="Calibri"/>
                <w:sz w:val="22"/>
                <w:szCs w:val="22"/>
                <w:lang w:eastAsia="zh-CN"/>
              </w:rPr>
            </w:pPr>
          </w:p>
          <w:p w14:paraId="47DE433F" w14:textId="21526384"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宋体" w:hAnsi="Calibri"/>
                <w:sz w:val="22"/>
                <w:szCs w:val="22"/>
                <w:lang w:eastAsia="zh-CN"/>
              </w:rPr>
            </w:pPr>
          </w:p>
          <w:p w14:paraId="56A24D90" w14:textId="254B5118" w:rsid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516E8A">
        <w:tc>
          <w:tcPr>
            <w:tcW w:w="675" w:type="dxa"/>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
          <w:p w14:paraId="2CC417FA" w14:textId="29B03CF9" w:rsidR="009D45A6" w:rsidRPr="006C7CAE" w:rsidRDefault="009D45A6" w:rsidP="009D45A6">
            <w:pPr>
              <w:pStyle w:val="normal0"/>
              <w:contextualSpacing w:val="0"/>
              <w:rPr>
                <w:sz w:val="22"/>
                <w:szCs w:val="22"/>
              </w:rPr>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9D45A6">
            <w:pPr>
              <w:pStyle w:val="normal0"/>
              <w:contextualSpacing w:val="0"/>
              <w:rPr>
                <w:sz w:val="22"/>
                <w:szCs w:val="22"/>
              </w:rPr>
            </w:pPr>
          </w:p>
          <w:p w14:paraId="07A02B2F" w14:textId="62827B3B" w:rsidR="009D45A6" w:rsidRPr="006C7CAE" w:rsidRDefault="009D45A6" w:rsidP="009D45A6">
            <w:pPr>
              <w:pStyle w:val="normal0"/>
              <w:contextualSpacing w:val="0"/>
              <w:rPr>
                <w:sz w:val="22"/>
                <w:szCs w:val="22"/>
              </w:rPr>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9D45A6">
            <w:pPr>
              <w:pStyle w:val="normal0"/>
              <w:contextualSpacing w:val="0"/>
              <w:rPr>
                <w:sz w:val="22"/>
                <w:szCs w:val="22"/>
              </w:rPr>
            </w:pPr>
          </w:p>
          <w:p w14:paraId="7B70FCCC" w14:textId="6AA19744" w:rsidR="009D45A6" w:rsidRPr="009D45A6" w:rsidRDefault="009D45A6" w:rsidP="009D45A6">
            <w:pPr>
              <w:pStyle w:val="normal0"/>
              <w:contextualSpacing w:val="0"/>
              <w:rPr>
                <w:sz w:val="22"/>
                <w:szCs w:val="22"/>
              </w:rPr>
            </w:pPr>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p>
        </w:tc>
        <w:tc>
          <w:tcPr>
            <w:tcW w:w="3870" w:type="dxa"/>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516E8A">
        <w:tc>
          <w:tcPr>
            <w:tcW w:w="675" w:type="dxa"/>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
          <w:p w14:paraId="728B5402" w14:textId="662E956C" w:rsidR="00307302" w:rsidRPr="006C7CAE" w:rsidRDefault="00307302" w:rsidP="009D45A6">
            <w:pPr>
              <w:pStyle w:val="normal0"/>
              <w:rPr>
                <w:rFonts w:ascii="Calibri" w:eastAsia="Calibri" w:hAnsi="Calibri" w:cs="Calibri"/>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516E8A">
        <w:tc>
          <w:tcPr>
            <w:tcW w:w="675" w:type="dxa"/>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
          <w:p w14:paraId="4B0B4EC4"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9D45A6">
            <w:pPr>
              <w:pStyle w:val="normal0"/>
              <w:rPr>
                <w:rFonts w:ascii="Calibri" w:eastAsia="Calibri" w:hAnsi="Calibri" w:cs="Calibri"/>
                <w:sz w:val="22"/>
                <w:szCs w:val="22"/>
              </w:rPr>
            </w:pPr>
          </w:p>
          <w:p w14:paraId="5C53A60F"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9D45A6">
            <w:pPr>
              <w:pStyle w:val="normal0"/>
              <w:rPr>
                <w:rFonts w:ascii="Calibri" w:eastAsia="Calibri" w:hAnsi="Calibri" w:cs="Calibri"/>
                <w:sz w:val="22"/>
                <w:szCs w:val="22"/>
              </w:rPr>
            </w:pPr>
          </w:p>
          <w:p w14:paraId="09B71147"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9D45A6">
            <w:pPr>
              <w:pStyle w:val="normal0"/>
              <w:rPr>
                <w:rFonts w:ascii="Calibri" w:eastAsia="Calibri" w:hAnsi="Calibri" w:cs="Calibri"/>
                <w:sz w:val="22"/>
                <w:szCs w:val="22"/>
              </w:rPr>
            </w:pPr>
          </w:p>
          <w:p w14:paraId="699CC345" w14:textId="7C9907AF"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9D45A6">
            <w:pPr>
              <w:pStyle w:val="normal0"/>
              <w:rPr>
                <w:rFonts w:ascii="Calibri" w:eastAsia="Calibri" w:hAnsi="Calibri" w:cs="Calibri"/>
                <w:sz w:val="22"/>
                <w:szCs w:val="22"/>
              </w:rPr>
            </w:pPr>
          </w:p>
          <w:p w14:paraId="75EB3BE8" w14:textId="3DFC0C40" w:rsidR="004333D6" w:rsidRPr="00307302"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E52EDA" w:rsidRPr="009203EA" w14:paraId="75BECC31" w14:textId="77777777" w:rsidTr="00BF5C23">
        <w:tc>
          <w:tcPr>
            <w:tcW w:w="14238" w:type="dxa"/>
            <w:gridSpan w:val="5"/>
            <w:shd w:val="clear" w:color="auto" w:fill="F79646"/>
          </w:tcPr>
          <w:p w14:paraId="745ED92F" w14:textId="10166A83" w:rsidR="00E52EDA" w:rsidRPr="009203EA" w:rsidRDefault="00E52EDA" w:rsidP="005E7E51">
            <w:pPr>
              <w:contextualSpacing/>
              <w:rPr>
                <w:rFonts w:ascii="Calibri" w:hAnsi="Calibri"/>
                <w:b/>
                <w:sz w:val="22"/>
                <w:szCs w:val="22"/>
              </w:rPr>
            </w:pPr>
            <w:bookmarkStart w:id="10" w:name="SectionIIICSC"/>
            <w:bookmarkEnd w:id="10"/>
            <w:r>
              <w:rPr>
                <w:rFonts w:ascii="Calibri" w:hAnsi="Calibri"/>
                <w:b/>
                <w:sz w:val="22"/>
                <w:szCs w:val="22"/>
              </w:rPr>
              <w:t>Section III – Proposed Post-Transition Oversight and Accountability – CSC</w:t>
            </w:r>
          </w:p>
        </w:tc>
      </w:tr>
      <w:tr w:rsidR="000F376E" w:rsidRPr="009203EA" w14:paraId="32FFF4E0" w14:textId="77777777" w:rsidTr="009B7EB6">
        <w:tc>
          <w:tcPr>
            <w:tcW w:w="675" w:type="dxa"/>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
          <w:p w14:paraId="62F73D03" w14:textId="77777777" w:rsidR="00E8640A" w:rsidRPr="005E7E51" w:rsidRDefault="00E8640A" w:rsidP="00E8640A">
            <w:pPr>
              <w:pStyle w:val="ListParagraph"/>
              <w:ind w:left="0"/>
              <w:rPr>
                <w:rFonts w:ascii="Calibri" w:hAnsi="Calibri"/>
                <w:sz w:val="22"/>
              </w:rPr>
            </w:pPr>
            <w:r w:rsidRPr="005E7E51">
              <w:rPr>
                <w:rFonts w:ascii="Calibri" w:hAnsi="Calibri"/>
                <w:sz w:val="22"/>
              </w:rPr>
              <w:t>If the CSC is to monitor the performance of all IANA functions,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6" w:history="1">
              <w:r w:rsidRPr="00A969A1">
                <w:rPr>
                  <w:rStyle w:val="Hyperlink"/>
                  <w:rFonts w:ascii="Calibri" w:hAnsi="Calibri"/>
                  <w:b/>
                  <w:i/>
                  <w:sz w:val="22"/>
                </w:rPr>
                <w:t>https://www.ianacg.org/</w:t>
              </w:r>
            </w:hyperlink>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9B7EB6">
        <w:tc>
          <w:tcPr>
            <w:tcW w:w="675" w:type="dxa"/>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9B7EB6">
        <w:tc>
          <w:tcPr>
            <w:tcW w:w="675" w:type="dxa"/>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While, as stated above, members of the PTI Board (or alternative structure) should possess relevant management, legal and organisation</w:t>
            </w:r>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9B7EB6">
        <w:tc>
          <w:tcPr>
            <w:tcW w:w="675" w:type="dxa"/>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9B7EB6">
        <w:tc>
          <w:tcPr>
            <w:tcW w:w="675" w:type="dxa"/>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9B7EB6">
        <w:tc>
          <w:tcPr>
            <w:tcW w:w="675" w:type="dxa"/>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
          <w:p w14:paraId="1374F863" w14:textId="77777777" w:rsidR="00D836CF" w:rsidRDefault="00D836CF"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9B7EB6">
        <w:tc>
          <w:tcPr>
            <w:tcW w:w="675" w:type="dxa"/>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9B7EB6">
        <w:tc>
          <w:tcPr>
            <w:tcW w:w="675" w:type="dxa"/>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9B7EB6">
        <w:tc>
          <w:tcPr>
            <w:tcW w:w="675" w:type="dxa"/>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
          <w:p w14:paraId="09567122" w14:textId="77777777"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The proposed Customer Standing Committee (CSC) could play a useful role, by constantly reviewing the technical aspects of the naming function as performed by PTI. This, combined with the proposed periodic IANA Function Review (IFR), would act as a check on the PTI. However, this brings into greater relief the lack of similar checks and balances on the performance of the policy development role with respect to names.</w:t>
            </w:r>
          </w:p>
        </w:tc>
        <w:tc>
          <w:tcPr>
            <w:tcW w:w="3870" w:type="dxa"/>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9B7EB6">
        <w:tc>
          <w:tcPr>
            <w:tcW w:w="675" w:type="dxa"/>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proposal. It might therefore be more appropriate if this recommendation was drafted and specified directly as one of the CWG Stewardship recommendation.</w:t>
            </w:r>
          </w:p>
        </w:tc>
        <w:tc>
          <w:tcPr>
            <w:tcW w:w="3870" w:type="dxa"/>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77777777" w:rsidR="006E3462" w:rsidRDefault="006E3462" w:rsidP="006E3462">
            <w:pPr>
              <w:rPr>
                <w:rFonts w:ascii="Calibri" w:hAnsi="Calibri"/>
                <w:b/>
                <w:i/>
                <w:sz w:val="22"/>
              </w:rPr>
            </w:pPr>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516E8A">
        <w:tc>
          <w:tcPr>
            <w:tcW w:w="675" w:type="dxa"/>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
          <w:p w14:paraId="6166A1AD"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39554663" w14:textId="77777777" w:rsidR="00FB78F8" w:rsidRDefault="00FB78F8" w:rsidP="00516E8A">
            <w:pPr>
              <w:contextualSpacing/>
              <w:rPr>
                <w:rFonts w:ascii="Calibri" w:hAnsi="Calibri"/>
                <w:sz w:val="22"/>
              </w:rPr>
            </w:pPr>
          </w:p>
        </w:tc>
        <w:tc>
          <w:tcPr>
            <w:tcW w:w="5400" w:type="dxa"/>
          </w:tcPr>
          <w:p w14:paraId="12845557"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Since CSC will be set to monitor the performance of PTI, how to ensure the PTI could improve its performance according to CSC</w:t>
            </w:r>
            <w:r w:rsidRPr="00533170">
              <w:rPr>
                <w:rFonts w:ascii="Calibri" w:eastAsia="宋体" w:hAnsi="Calibri"/>
                <w:sz w:val="22"/>
                <w:szCs w:val="22"/>
                <w:lang w:eastAsia="zh-CN"/>
              </w:rPr>
              <w:t>’</w:t>
            </w:r>
            <w:r w:rsidRPr="00533170">
              <w:rPr>
                <w:rFonts w:ascii="Calibri" w:eastAsia="宋体" w:hAnsi="Calibri" w:hint="eastAsia"/>
                <w:sz w:val="22"/>
                <w:szCs w:val="22"/>
                <w:lang w:eastAsia="zh-CN"/>
              </w:rPr>
              <w:t xml:space="preserve">s </w:t>
            </w:r>
            <w:r w:rsidRPr="00533170">
              <w:rPr>
                <w:rFonts w:ascii="Calibri" w:eastAsia="宋体" w:hAnsi="Calibri"/>
                <w:sz w:val="22"/>
                <w:szCs w:val="22"/>
                <w:lang w:eastAsia="zh-CN"/>
              </w:rPr>
              <w:t>recommendation</w:t>
            </w:r>
            <w:r w:rsidRPr="00533170">
              <w:rPr>
                <w:rFonts w:ascii="Calibri" w:eastAsia="宋体" w:hAnsi="Calibri" w:hint="eastAsia"/>
                <w:sz w:val="22"/>
                <w:szCs w:val="22"/>
                <w:lang w:eastAsia="zh-CN"/>
              </w:rPr>
              <w:t>?</w:t>
            </w:r>
          </w:p>
          <w:p w14:paraId="79CAAAAA" w14:textId="09DD47C0" w:rsidR="00FB78F8" w:rsidRPr="00533170" w:rsidRDefault="00FB78F8" w:rsidP="00FB78F8">
            <w:pPr>
              <w:rPr>
                <w:rFonts w:ascii="Calibri" w:eastAsia="宋体"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9B7EB6">
        <w:tc>
          <w:tcPr>
            <w:tcW w:w="675" w:type="dxa"/>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
          <w:p w14:paraId="130B5060" w14:textId="77777777" w:rsidR="00D00D93" w:rsidRDefault="00351546" w:rsidP="00351546">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宋体" w:hAnsi="Calibri"/>
                <w:sz w:val="22"/>
                <w:szCs w:val="22"/>
                <w:lang w:eastAsia="zh-CN"/>
              </w:rPr>
            </w:pPr>
          </w:p>
          <w:p w14:paraId="082B3CFF" w14:textId="53D1ED53" w:rsidR="00A76EF3" w:rsidRPr="00351546" w:rsidRDefault="00A76EF3" w:rsidP="00351546">
            <w:pPr>
              <w:rPr>
                <w:rFonts w:ascii="Calibri" w:eastAsia="宋体" w:hAnsi="Calibri"/>
                <w:sz w:val="22"/>
                <w:szCs w:val="22"/>
                <w:lang w:eastAsia="zh-CN"/>
              </w:rPr>
            </w:pPr>
            <w:r w:rsidRPr="00A76EF3">
              <w:rPr>
                <w:rFonts w:ascii="Calibri" w:eastAsia="宋体" w:hAnsi="Calibri"/>
                <w:sz w:val="22"/>
                <w:szCs w:val="22"/>
                <w:lang w:eastAsia="zh-CN"/>
              </w:rPr>
              <w:t>We would r</w:t>
            </w:r>
            <w:r>
              <w:rPr>
                <w:rFonts w:ascii="Calibri" w:eastAsia="宋体" w:hAnsi="Calibri"/>
                <w:sz w:val="22"/>
                <w:szCs w:val="22"/>
                <w:lang w:eastAsia="zh-CN"/>
              </w:rPr>
              <w:t xml:space="preserve">ecommend further clarity on the </w:t>
            </w:r>
            <w:r w:rsidRPr="00A76EF3">
              <w:rPr>
                <w:rFonts w:ascii="Calibri" w:eastAsia="宋体" w:hAnsi="Calibri"/>
                <w:sz w:val="22"/>
                <w:szCs w:val="22"/>
                <w:lang w:eastAsia="zh-CN"/>
              </w:rPr>
              <w:t>organisational structure of the CSC, including its juridical profile – a Committee within the PTI or ICANN, and its funding mechanisms.</w:t>
            </w:r>
          </w:p>
        </w:tc>
        <w:tc>
          <w:tcPr>
            <w:tcW w:w="3870" w:type="dxa"/>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9B7EB6">
        <w:tc>
          <w:tcPr>
            <w:tcW w:w="675" w:type="dxa"/>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
          <w:p w14:paraId="6996E3FF" w14:textId="77777777" w:rsidR="00705194" w:rsidRPr="00705194"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宋体" w:hAnsi="Calibri"/>
                <w:sz w:val="22"/>
                <w:szCs w:val="22"/>
                <w:lang w:eastAsia="zh-CN"/>
              </w:rPr>
            </w:pPr>
          </w:p>
          <w:p w14:paraId="7D2246F5" w14:textId="3C2958D6" w:rsidR="00705194" w:rsidRPr="00351546"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9B7EB6">
        <w:tc>
          <w:tcPr>
            <w:tcW w:w="675" w:type="dxa"/>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
          <w:p w14:paraId="604B0AA8" w14:textId="77777777" w:rsidR="00D33131"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宋体" w:hAnsi="Calibri"/>
                <w:sz w:val="22"/>
                <w:szCs w:val="22"/>
                <w:lang w:eastAsia="zh-CN"/>
              </w:rPr>
            </w:pPr>
          </w:p>
          <w:p w14:paraId="5F0467E7" w14:textId="39E4B862" w:rsidR="00D33131" w:rsidRPr="00705194"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CIRA supports the inclusion of the Internet Architecture Board, as the operator of .ARPA, as well as liaisons from the route server community on the CSC. </w:t>
            </w:r>
          </w:p>
        </w:tc>
        <w:tc>
          <w:tcPr>
            <w:tcW w:w="3870" w:type="dxa"/>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9B7EB6">
        <w:tc>
          <w:tcPr>
            <w:tcW w:w="675" w:type="dxa"/>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
          <w:p w14:paraId="05179652"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宋体" w:hAnsi="Calibri"/>
                <w:sz w:val="22"/>
                <w:szCs w:val="22"/>
                <w:lang w:eastAsia="zh-CN"/>
              </w:rPr>
            </w:pPr>
          </w:p>
          <w:p w14:paraId="793B710F"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 xml:space="preserve">In the </w:t>
            </w:r>
            <w:r w:rsidRPr="00A653CA">
              <w:rPr>
                <w:rFonts w:ascii="Calibri" w:eastAsia="宋体" w:hAnsi="Calibri"/>
                <w:i/>
                <w:sz w:val="22"/>
                <w:szCs w:val="22"/>
                <w:lang w:eastAsia="zh-CN"/>
              </w:rPr>
              <w:t>Council Conclusion on Internet Governance</w:t>
            </w:r>
            <w:r w:rsidRPr="00A653CA">
              <w:rPr>
                <w:rFonts w:ascii="Calibri" w:eastAsia="宋体" w:hAnsi="Calibri"/>
                <w:sz w:val="22"/>
                <w:szCs w:val="22"/>
                <w:lang w:eastAsia="zh-CN"/>
              </w:rPr>
              <w:t>, agreed by European Member States on November 27</w:t>
            </w:r>
            <w:r w:rsidRPr="00A653CA">
              <w:rPr>
                <w:rFonts w:ascii="Calibri" w:eastAsia="宋体" w:hAnsi="Calibri"/>
                <w:sz w:val="22"/>
                <w:szCs w:val="22"/>
                <w:vertAlign w:val="superscript"/>
                <w:lang w:eastAsia="zh-CN"/>
              </w:rPr>
              <w:t>th</w:t>
            </w:r>
            <w:r w:rsidRPr="00A653CA">
              <w:rPr>
                <w:rFonts w:ascii="Calibri" w:eastAsia="宋体" w:hAnsi="Calibri"/>
                <w:sz w:val="22"/>
                <w:szCs w:val="22"/>
                <w:lang w:eastAsia="zh-CN"/>
              </w:rPr>
              <w:t xml:space="preserve"> 2014, it has been stated that it is important to seek </w:t>
            </w:r>
            <w:r w:rsidRPr="00A653CA">
              <w:rPr>
                <w:rFonts w:ascii="Calibri" w:eastAsia="宋体" w:hAnsi="Calibri"/>
                <w:i/>
                <w:sz w:val="22"/>
                <w:szCs w:val="22"/>
                <w:lang w:eastAsia="zh-CN"/>
              </w:rPr>
              <w:t>cooperation alongside other stakeholders with entities in charge of the Internet Protocol and other information technology specifications</w:t>
            </w:r>
            <w:r w:rsidRPr="00A653CA">
              <w:rPr>
                <w:rFonts w:ascii="Calibri" w:eastAsia="宋体"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宋体" w:hAnsi="Calibri"/>
                <w:sz w:val="22"/>
                <w:szCs w:val="22"/>
                <w:lang w:eastAsia="zh-CN"/>
              </w:rPr>
            </w:pPr>
          </w:p>
          <w:p w14:paraId="1028E233"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宋体" w:hAnsi="Calibri"/>
                <w:sz w:val="22"/>
                <w:szCs w:val="22"/>
                <w:lang w:eastAsia="zh-CN"/>
              </w:rPr>
            </w:pPr>
          </w:p>
          <w:p w14:paraId="6E5F411B" w14:textId="610BCFCF" w:rsidR="00A653CA" w:rsidRPr="00D33131" w:rsidRDefault="00A653CA" w:rsidP="00705194">
            <w:pPr>
              <w:rPr>
                <w:rFonts w:ascii="Calibri" w:eastAsia="宋体" w:hAnsi="Calibri"/>
                <w:sz w:val="22"/>
                <w:szCs w:val="22"/>
                <w:lang w:eastAsia="zh-CN"/>
              </w:rPr>
            </w:pPr>
            <w:r w:rsidRPr="00A653CA">
              <w:rPr>
                <w:rFonts w:ascii="Calibri" w:eastAsia="宋体" w:hAnsi="Calibri"/>
                <w:sz w:val="22"/>
                <w:szCs w:val="22"/>
                <w:lang w:eastAsia="zh-CN"/>
              </w:rPr>
              <w:t xml:space="preserve">In addition, one of the key principle required by NTIA is that any proposal should </w:t>
            </w:r>
            <w:r w:rsidRPr="00A653CA">
              <w:rPr>
                <w:rFonts w:ascii="Calibri" w:eastAsia="宋体" w:hAnsi="Calibri"/>
                <w:i/>
                <w:sz w:val="22"/>
                <w:szCs w:val="22"/>
                <w:lang w:eastAsia="zh-CN"/>
              </w:rPr>
              <w:t xml:space="preserve">support and enhance the multi‐stakeholder model </w:t>
            </w:r>
            <w:r w:rsidRPr="00A653CA">
              <w:rPr>
                <w:rFonts w:ascii="Calibri" w:eastAsia="宋体" w:hAnsi="Calibri"/>
                <w:sz w:val="22"/>
                <w:szCs w:val="22"/>
                <w:lang w:eastAsia="zh-CN"/>
              </w:rPr>
              <w:t xml:space="preserve">while both PTI and CSC are not multistakeholder entities. </w:t>
            </w:r>
          </w:p>
        </w:tc>
        <w:tc>
          <w:tcPr>
            <w:tcW w:w="3870" w:type="dxa"/>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hyperlink r:id="rId57" w:history="1">
              <w:r w:rsidRPr="00A969A1">
                <w:rPr>
                  <w:rStyle w:val="Hyperlink"/>
                  <w:rFonts w:ascii="Calibri" w:hAnsi="Calibri"/>
                  <w:b/>
                  <w:i/>
                  <w:sz w:val="22"/>
                </w:rPr>
                <w:t>https://www.ianacg.org/</w:t>
              </w:r>
            </w:hyperlink>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9B7EB6">
        <w:tc>
          <w:tcPr>
            <w:tcW w:w="675" w:type="dxa"/>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
          <w:p w14:paraId="5D6582AB" w14:textId="49A2E6D7" w:rsidR="009F1D7A" w:rsidRPr="00A653CA" w:rsidRDefault="009F1D7A" w:rsidP="009F1D7A">
            <w:pPr>
              <w:rPr>
                <w:rFonts w:ascii="Calibri" w:eastAsia="宋体" w:hAnsi="Calibri"/>
                <w:sz w:val="22"/>
                <w:szCs w:val="22"/>
                <w:lang w:eastAsia="zh-CN"/>
              </w:rPr>
            </w:pPr>
            <w:r w:rsidRPr="009F1D7A">
              <w:rPr>
                <w:rFonts w:ascii="Calibri" w:eastAsia="宋体" w:hAnsi="Calibri"/>
                <w:sz w:val="22"/>
                <w:szCs w:val="22"/>
                <w:lang w:eastAsia="zh-CN"/>
              </w:rPr>
              <w:t>The composition as well as the functions and responsi</w:t>
            </w:r>
            <w:r>
              <w:rPr>
                <w:rFonts w:ascii="Calibri" w:eastAsia="宋体" w:hAnsi="Calibri"/>
                <w:sz w:val="22"/>
                <w:szCs w:val="22"/>
                <w:lang w:eastAsia="zh-CN"/>
              </w:rPr>
              <w:t xml:space="preserve">bilities of the CSC are in line </w:t>
            </w:r>
            <w:r w:rsidRPr="009F1D7A">
              <w:rPr>
                <w:rFonts w:ascii="Calibri" w:eastAsia="宋体" w:hAnsi="Calibri"/>
                <w:sz w:val="22"/>
                <w:szCs w:val="22"/>
                <w:lang w:eastAsia="zh-CN"/>
              </w:rPr>
              <w:t>with Afnic’s expectations. However, we note that its secretariat would be provided</w:t>
            </w:r>
            <w:r>
              <w:rPr>
                <w:rFonts w:ascii="Calibri" w:eastAsia="宋体" w:hAnsi="Calibri"/>
                <w:sz w:val="22"/>
                <w:szCs w:val="22"/>
                <w:lang w:eastAsia="zh-CN"/>
              </w:rPr>
              <w:t xml:space="preserve"> </w:t>
            </w:r>
            <w:r w:rsidRPr="009F1D7A">
              <w:rPr>
                <w:rFonts w:ascii="Calibri" w:eastAsia="宋体" w:hAnsi="Calibri"/>
                <w:sz w:val="22"/>
                <w:szCs w:val="22"/>
                <w:lang w:eastAsia="zh-CN"/>
              </w:rPr>
              <w:t>by PTI. In order to guarantee the smooth and independent functioning of the CSC,</w:t>
            </w:r>
            <w:r>
              <w:rPr>
                <w:rFonts w:ascii="Calibri" w:eastAsia="宋体" w:hAnsi="Calibri"/>
                <w:sz w:val="22"/>
                <w:szCs w:val="22"/>
                <w:lang w:eastAsia="zh-CN"/>
              </w:rPr>
              <w:t xml:space="preserve"> </w:t>
            </w:r>
            <w:r w:rsidRPr="009F1D7A">
              <w:rPr>
                <w:rFonts w:ascii="Calibri" w:eastAsia="宋体" w:hAnsi="Calibri"/>
                <w:sz w:val="22"/>
                <w:szCs w:val="22"/>
                <w:lang w:eastAsia="zh-CN"/>
              </w:rPr>
              <w:t>Afnic would recommend that the budget al</w:t>
            </w:r>
            <w:r>
              <w:rPr>
                <w:rFonts w:ascii="Calibri" w:eastAsia="宋体" w:hAnsi="Calibri"/>
                <w:sz w:val="22"/>
                <w:szCs w:val="22"/>
                <w:lang w:eastAsia="zh-CN"/>
              </w:rPr>
              <w:t xml:space="preserve">located to it should include an </w:t>
            </w:r>
            <w:r w:rsidRPr="009F1D7A">
              <w:rPr>
                <w:rFonts w:ascii="Calibri" w:eastAsia="宋体" w:hAnsi="Calibri"/>
                <w:sz w:val="22"/>
                <w:szCs w:val="22"/>
                <w:lang w:eastAsia="zh-CN"/>
              </w:rPr>
              <w:t>independent secretariat.</w:t>
            </w:r>
          </w:p>
        </w:tc>
        <w:tc>
          <w:tcPr>
            <w:tcW w:w="3870" w:type="dxa"/>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9B7EB6">
        <w:tc>
          <w:tcPr>
            <w:tcW w:w="675" w:type="dxa"/>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
          <w:p w14:paraId="221D5B26" w14:textId="3BF6212E" w:rsidR="00153BC0" w:rsidRPr="009F1D7A" w:rsidRDefault="00306669" w:rsidP="009F1D7A">
            <w:pPr>
              <w:rPr>
                <w:rFonts w:ascii="Calibri" w:eastAsia="宋体" w:hAnsi="Calibri"/>
                <w:sz w:val="22"/>
                <w:szCs w:val="22"/>
                <w:lang w:eastAsia="zh-CN"/>
              </w:rPr>
            </w:pPr>
            <w:r w:rsidRPr="00306669">
              <w:rPr>
                <w:rFonts w:ascii="Calibri" w:eastAsia="宋体"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9B7EB6">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We agree that the multistakeholder community must assume NTIA’</w:t>
            </w:r>
            <w:r>
              <w:rPr>
                <w:rFonts w:ascii="Calibri" w:eastAsia="宋体" w:hAnsi="Calibri"/>
                <w:sz w:val="22"/>
                <w:szCs w:val="22"/>
                <w:lang w:eastAsia="zh-CN"/>
              </w:rPr>
              <w:t xml:space="preserve">s stewardship role in </w:t>
            </w:r>
            <w:r w:rsidRPr="008C7E22">
              <w:rPr>
                <w:rFonts w:ascii="Calibri" w:eastAsia="宋体" w:hAnsi="Calibri"/>
                <w:sz w:val="22"/>
                <w:szCs w:val="22"/>
                <w:lang w:eastAsia="zh-CN"/>
              </w:rPr>
              <w:t>monitoring ICANN’s performance to ensure that the IANA functions themselves are being</w:t>
            </w:r>
            <w:r>
              <w:rPr>
                <w:rFonts w:ascii="Calibri" w:eastAsia="宋体" w:hAnsi="Calibri"/>
                <w:sz w:val="22"/>
                <w:szCs w:val="22"/>
                <w:lang w:eastAsia="zh-CN"/>
              </w:rPr>
              <w:t xml:space="preserve"> c</w:t>
            </w:r>
            <w:r w:rsidRPr="008C7E22">
              <w:rPr>
                <w:rFonts w:ascii="Calibri" w:eastAsia="宋体" w:hAnsi="Calibri"/>
                <w:sz w:val="22"/>
                <w:szCs w:val="22"/>
                <w:lang w:eastAsia="zh-CN"/>
              </w:rPr>
              <w:t>arried out in an accurate and efficient ways. However, we continue to have concerns</w:t>
            </w:r>
            <w:r>
              <w:rPr>
                <w:rFonts w:ascii="Calibri" w:eastAsia="宋体" w:hAnsi="Calibri"/>
                <w:sz w:val="22"/>
                <w:szCs w:val="22"/>
                <w:lang w:eastAsia="zh-CN"/>
              </w:rPr>
              <w:t xml:space="preserve"> </w:t>
            </w:r>
            <w:r w:rsidRPr="008C7E22">
              <w:rPr>
                <w:rFonts w:ascii="Calibri" w:eastAsia="宋体" w:hAnsi="Calibri"/>
                <w:sz w:val="22"/>
                <w:szCs w:val="22"/>
                <w:lang w:eastAsia="zh-CN"/>
              </w:rPr>
              <w:t>about creating a new structure to perform these tasks — it will likely increase complexity,</w:t>
            </w:r>
            <w:r>
              <w:rPr>
                <w:rFonts w:ascii="Calibri" w:eastAsia="宋体" w:hAnsi="Calibri"/>
                <w:sz w:val="22"/>
                <w:szCs w:val="22"/>
                <w:lang w:eastAsia="zh-CN"/>
              </w:rPr>
              <w:t xml:space="preserve"> </w:t>
            </w:r>
            <w:r w:rsidRPr="008C7E22">
              <w:rPr>
                <w:rFonts w:ascii="Calibri" w:eastAsia="宋体" w:hAnsi="Calibri"/>
                <w:sz w:val="22"/>
                <w:szCs w:val="22"/>
                <w:lang w:eastAsia="zh-CN"/>
              </w:rPr>
              <w:t>bureaucracy, and further obfuscate issues of authority, governance, and dispute</w:t>
            </w:r>
            <w:r>
              <w:rPr>
                <w:rFonts w:ascii="Calibri" w:eastAsia="宋体" w:hAnsi="Calibri"/>
                <w:sz w:val="22"/>
                <w:szCs w:val="22"/>
                <w:lang w:eastAsia="zh-CN"/>
              </w:rPr>
              <w:t xml:space="preserve"> </w:t>
            </w:r>
            <w:r w:rsidRPr="008C7E22">
              <w:rPr>
                <w:rFonts w:ascii="Calibri" w:eastAsia="宋体" w:hAnsi="Calibri"/>
                <w:sz w:val="22"/>
                <w:szCs w:val="22"/>
                <w:lang w:eastAsia="zh-CN"/>
              </w:rPr>
              <w:t>resolution. Noting that there is strong support in the community for the creation of a</w:t>
            </w:r>
            <w:r>
              <w:rPr>
                <w:rFonts w:ascii="Calibri" w:eastAsia="宋体" w:hAnsi="Calibri"/>
                <w:sz w:val="22"/>
                <w:szCs w:val="22"/>
                <w:lang w:eastAsia="zh-CN"/>
              </w:rPr>
              <w:t xml:space="preserve"> </w:t>
            </w:r>
            <w:r w:rsidRPr="008C7E22">
              <w:rPr>
                <w:rFonts w:ascii="Calibri" w:eastAsia="宋体" w:hAnsi="Calibri"/>
                <w:sz w:val="22"/>
                <w:szCs w:val="22"/>
                <w:lang w:eastAsia="zh-CN"/>
              </w:rPr>
              <w:t>CSC, we offer some suggestions below for ensuring that the CSC provides useful and</w:t>
            </w:r>
            <w:r>
              <w:rPr>
                <w:rFonts w:ascii="Calibri" w:eastAsia="宋体" w:hAnsi="Calibri"/>
                <w:sz w:val="22"/>
                <w:szCs w:val="22"/>
                <w:lang w:eastAsia="zh-CN"/>
              </w:rPr>
              <w:t xml:space="preserve"> </w:t>
            </w:r>
            <w:r w:rsidRPr="008C7E22">
              <w:rPr>
                <w:rFonts w:ascii="Calibri" w:eastAsia="宋体" w:hAnsi="Calibri"/>
                <w:sz w:val="22"/>
                <w:szCs w:val="22"/>
                <w:lang w:eastAsia="zh-CN"/>
              </w:rPr>
              <w:t>meaningful oversight over the IANA functions.</w:t>
            </w:r>
          </w:p>
          <w:p w14:paraId="6FD862C1" w14:textId="07EA5BD5"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 xml:space="preserve">Specifically, this committee’s scope should be strictly </w:t>
            </w:r>
            <w:r>
              <w:rPr>
                <w:rFonts w:ascii="Calibri" w:eastAsia="宋体" w:hAnsi="Calibri"/>
                <w:sz w:val="22"/>
                <w:szCs w:val="22"/>
                <w:lang w:eastAsia="zh-CN"/>
              </w:rPr>
              <w:t xml:space="preserve">technical and include only: (1) </w:t>
            </w:r>
            <w:r w:rsidRPr="008C7E22">
              <w:rPr>
                <w:rFonts w:ascii="Calibri" w:eastAsia="宋体" w:hAnsi="Calibri"/>
                <w:sz w:val="22"/>
                <w:szCs w:val="22"/>
                <w:lang w:eastAsia="zh-CN"/>
              </w:rPr>
              <w:t>monitoring the performance of the naming functions for any technical irregularities or</w:t>
            </w:r>
            <w:r>
              <w:rPr>
                <w:rFonts w:ascii="Calibri" w:eastAsia="宋体" w:hAnsi="Calibri"/>
                <w:sz w:val="22"/>
                <w:szCs w:val="22"/>
                <w:lang w:eastAsia="zh-CN"/>
              </w:rPr>
              <w:t xml:space="preserve"> </w:t>
            </w:r>
            <w:r w:rsidRPr="008C7E22">
              <w:rPr>
                <w:rFonts w:ascii="Calibri" w:eastAsia="宋体" w:hAnsi="Calibri"/>
                <w:sz w:val="22"/>
                <w:szCs w:val="22"/>
                <w:lang w:eastAsia="zh-CN"/>
              </w:rPr>
              <w:t>issues; (2) ensuring that the IANA functions operator maintains appropriate service</w:t>
            </w:r>
            <w:r>
              <w:rPr>
                <w:rFonts w:ascii="Calibri" w:eastAsia="宋体" w:hAnsi="Calibri"/>
                <w:sz w:val="22"/>
                <w:szCs w:val="22"/>
                <w:lang w:eastAsia="zh-CN"/>
              </w:rPr>
              <w:t xml:space="preserve"> </w:t>
            </w:r>
            <w:r w:rsidRPr="008C7E22">
              <w:rPr>
                <w:rFonts w:ascii="Calibri" w:eastAsia="宋体" w:hAnsi="Calibri"/>
                <w:sz w:val="22"/>
                <w:szCs w:val="22"/>
                <w:lang w:eastAsia="zh-CN"/>
              </w:rPr>
              <w:t>levels for services associated with naming; and (3) raising and addressing any persistent</w:t>
            </w:r>
            <w:r>
              <w:rPr>
                <w:rFonts w:ascii="Calibri" w:eastAsia="宋体" w:hAnsi="Calibri"/>
                <w:sz w:val="22"/>
                <w:szCs w:val="22"/>
                <w:lang w:eastAsia="zh-CN"/>
              </w:rPr>
              <w:t xml:space="preserve"> </w:t>
            </w:r>
            <w:r w:rsidRPr="008C7E22">
              <w:rPr>
                <w:rFonts w:ascii="Calibri" w:eastAsia="宋体" w:hAnsi="Calibri"/>
                <w:sz w:val="22"/>
                <w:szCs w:val="22"/>
                <w:lang w:eastAsia="zh-CN"/>
              </w:rPr>
              <w:t>performance deficiencies related to naming.</w:t>
            </w:r>
          </w:p>
          <w:p w14:paraId="489E413A" w14:textId="50A37B11"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Because the CSC’s remit should be technical and it sh</w:t>
            </w:r>
            <w:r w:rsidR="00D13DC7">
              <w:rPr>
                <w:rFonts w:ascii="Calibri" w:eastAsia="宋体" w:hAnsi="Calibri"/>
                <w:sz w:val="22"/>
                <w:szCs w:val="22"/>
                <w:lang w:eastAsia="zh-CN"/>
              </w:rPr>
              <w:t xml:space="preserve">ould have no role in setting or </w:t>
            </w:r>
            <w:r w:rsidRPr="008C7E22">
              <w:rPr>
                <w:rFonts w:ascii="Calibri" w:eastAsia="宋体" w:hAnsi="Calibri"/>
                <w:sz w:val="22"/>
                <w:szCs w:val="22"/>
                <w:lang w:eastAsia="zh-CN"/>
              </w:rPr>
              <w:t>reevaluating</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policy, its composition should be limited to the direct customers of the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IANA naming functions (gTLD and ccTLD operators) and related experts or liaisons as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that group sees fit. Currently, the proposal does not provide clear roles and</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responsibilities between members of the CSC and liaisons to the CSC, and these roles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must be clarified before moving forward.</w:t>
            </w:r>
          </w:p>
          <w:p w14:paraId="1808471B" w14:textId="20E613FD" w:rsidR="008C7E22" w:rsidRPr="00306669"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Finally, the overall membership of the CSC should remain</w:t>
            </w:r>
            <w:r w:rsidR="00D13DC7">
              <w:rPr>
                <w:rFonts w:ascii="Calibri" w:eastAsia="宋体" w:hAnsi="Calibri"/>
                <w:sz w:val="22"/>
                <w:szCs w:val="22"/>
                <w:lang w:eastAsia="zh-CN"/>
              </w:rPr>
              <w:t xml:space="preserve"> small. It is not necessary for </w:t>
            </w:r>
            <w:r w:rsidRPr="008C7E22">
              <w:rPr>
                <w:rFonts w:ascii="Calibri" w:eastAsia="宋体" w:hAnsi="Calibri"/>
                <w:sz w:val="22"/>
                <w:szCs w:val="22"/>
                <w:lang w:eastAsia="zh-CN"/>
              </w:rPr>
              <w:t>the technical oversight over the IANA functions to be broadly representative in order for</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the group to accomplish their narrowly stated mission. Also, a smaller group is more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9B7EB6">
        <w:tc>
          <w:tcPr>
            <w:tcW w:w="675" w:type="dxa"/>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
          <w:p w14:paraId="2FC241F0" w14:textId="77777777" w:rsidR="00FA73DC" w:rsidRDefault="00FA73DC" w:rsidP="008C7E22">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宋体" w:hAnsi="Calibri"/>
                <w:sz w:val="22"/>
                <w:szCs w:val="22"/>
                <w:lang w:eastAsia="zh-CN"/>
              </w:rPr>
            </w:pPr>
            <w:r>
              <w:rPr>
                <w:rFonts w:ascii="Calibri" w:eastAsia="宋体" w:hAnsi="Calibri"/>
                <w:sz w:val="22"/>
                <w:szCs w:val="22"/>
                <w:lang w:eastAsia="zh-CN"/>
              </w:rPr>
              <w:t>T</w:t>
            </w:r>
            <w:r w:rsidRPr="00FA73DC">
              <w:rPr>
                <w:rFonts w:ascii="Calibri" w:eastAsia="宋体"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宋体" w:hAnsi="Calibri"/>
                <w:sz w:val="22"/>
                <w:szCs w:val="22"/>
                <w:lang w:eastAsia="zh-CN"/>
              </w:rPr>
              <w:t xml:space="preserve"> through </w:t>
            </w:r>
            <w:r w:rsidRPr="00FA73DC">
              <w:rPr>
                <w:rFonts w:ascii="Calibri" w:eastAsia="宋体" w:hAnsi="Calibri"/>
                <w:sz w:val="22"/>
                <w:szCs w:val="22"/>
                <w:lang w:eastAsia="zh-CN"/>
              </w:rPr>
              <w:t>their own mechanisms and taking into account the position of the non-­‐ member TLD registries/managers</w:t>
            </w:r>
          </w:p>
        </w:tc>
        <w:tc>
          <w:tcPr>
            <w:tcW w:w="3870" w:type="dxa"/>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9B7EB6">
        <w:tc>
          <w:tcPr>
            <w:tcW w:w="675" w:type="dxa"/>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
          <w:p w14:paraId="4F48F6A3" w14:textId="46F364EB" w:rsidR="005212EC" w:rsidRDefault="005212EC" w:rsidP="00D13DC7">
            <w:pPr>
              <w:contextualSpacing/>
              <w:rPr>
                <w:rFonts w:ascii="Calibri" w:hAnsi="Calibri"/>
                <w:sz w:val="22"/>
              </w:rPr>
            </w:pPr>
            <w:r>
              <w:rPr>
                <w:rFonts w:ascii="Calibri" w:hAnsi="Calibri"/>
                <w:sz w:val="22"/>
              </w:rPr>
              <w:t>Nominet</w:t>
            </w:r>
          </w:p>
        </w:tc>
        <w:tc>
          <w:tcPr>
            <w:tcW w:w="2880" w:type="dxa"/>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
          <w:p w14:paraId="027355DB" w14:textId="77777777"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宋体" w:hAnsi="Calibri"/>
                <w:sz w:val="22"/>
                <w:szCs w:val="22"/>
                <w:lang w:eastAsia="zh-CN"/>
              </w:rPr>
            </w:pPr>
          </w:p>
          <w:p w14:paraId="370F16B1" w14:textId="58739075"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As such we welcome the recommendations for a Customer Standing Committee and the role of that committee in first-level interaction with the</w:t>
            </w:r>
            <w:r>
              <w:rPr>
                <w:rFonts w:ascii="Calibri" w:eastAsia="宋体" w:hAnsi="Calibri"/>
                <w:sz w:val="22"/>
                <w:szCs w:val="22"/>
                <w:lang w:eastAsia="zh-CN"/>
              </w:rPr>
              <w:t xml:space="preserve"> </w:t>
            </w:r>
            <w:r w:rsidRPr="005212EC">
              <w:rPr>
                <w:rFonts w:ascii="Calibri" w:eastAsia="宋体" w:hAnsi="Calibri"/>
                <w:sz w:val="22"/>
                <w:szCs w:val="22"/>
                <w:lang w:eastAsia="zh-CN"/>
              </w:rPr>
              <w:t>IANA functions operator on issues related to the provision of the servi</w:t>
            </w:r>
            <w:r>
              <w:rPr>
                <w:rFonts w:ascii="Calibri" w:eastAsia="宋体" w:hAnsi="Calibri"/>
                <w:sz w:val="22"/>
                <w:szCs w:val="22"/>
                <w:lang w:eastAsia="zh-CN"/>
              </w:rPr>
              <w:t>ce. I</w:t>
            </w:r>
            <w:r w:rsidRPr="005212EC">
              <w:rPr>
                <w:rFonts w:ascii="Calibri" w:eastAsia="宋体"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宋体" w:hAnsi="Calibri"/>
                <w:sz w:val="22"/>
                <w:szCs w:val="22"/>
                <w:lang w:eastAsia="zh-CN"/>
              </w:rPr>
              <w:t>I</w:t>
            </w:r>
            <w:r w:rsidRPr="005212EC">
              <w:rPr>
                <w:rFonts w:ascii="Calibri" w:eastAsia="宋体" w:hAnsi="Calibri"/>
                <w:sz w:val="22"/>
                <w:szCs w:val="22"/>
                <w:lang w:eastAsia="zh-CN"/>
              </w:rPr>
              <w:t>ANA functions is, we believe, vital.</w:t>
            </w:r>
          </w:p>
          <w:p w14:paraId="58E64317" w14:textId="77777777" w:rsidR="005212EC" w:rsidRPr="005212EC" w:rsidRDefault="005212EC" w:rsidP="005212EC">
            <w:pPr>
              <w:rPr>
                <w:rFonts w:ascii="Calibri" w:eastAsia="宋体" w:hAnsi="Calibri"/>
                <w:sz w:val="22"/>
                <w:szCs w:val="22"/>
                <w:lang w:eastAsia="zh-CN"/>
              </w:rPr>
            </w:pPr>
          </w:p>
          <w:p w14:paraId="2AAE5D5E" w14:textId="3005BA3D" w:rsidR="005212EC" w:rsidRPr="00FA73D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Through the draft proposal,</w:t>
            </w:r>
            <w:r>
              <w:rPr>
                <w:rFonts w:ascii="Calibri" w:eastAsia="宋体" w:hAnsi="Calibri"/>
                <w:sz w:val="22"/>
                <w:szCs w:val="22"/>
                <w:lang w:eastAsia="zh-CN"/>
              </w:rPr>
              <w:t xml:space="preserve"> </w:t>
            </w:r>
            <w:r w:rsidRPr="005212EC">
              <w:rPr>
                <w:rFonts w:ascii="Calibri" w:eastAsia="宋体" w:hAnsi="Calibri"/>
                <w:sz w:val="22"/>
                <w:szCs w:val="22"/>
                <w:lang w:eastAsia="zh-CN"/>
              </w:rPr>
              <w:t>given the technical and operational nature of this committee's role, we believe that the direct customers of the service should have a major say in any key decision.</w:t>
            </w:r>
          </w:p>
        </w:tc>
        <w:tc>
          <w:tcPr>
            <w:tcW w:w="3870" w:type="dxa"/>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9B7EB6">
        <w:tc>
          <w:tcPr>
            <w:tcW w:w="675" w:type="dxa"/>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
          <w:p w14:paraId="39F382CD" w14:textId="0E79028F" w:rsidR="00E51F4E" w:rsidRDefault="00E51F4E" w:rsidP="00D13DC7">
            <w:pPr>
              <w:contextualSpacing/>
              <w:rPr>
                <w:rFonts w:ascii="Calibri" w:hAnsi="Calibri"/>
                <w:sz w:val="22"/>
              </w:rPr>
            </w:pPr>
            <w:r>
              <w:rPr>
                <w:rFonts w:ascii="Calibri" w:hAnsi="Calibri"/>
                <w:sz w:val="22"/>
              </w:rPr>
              <w:t>Nominet</w:t>
            </w:r>
          </w:p>
        </w:tc>
        <w:tc>
          <w:tcPr>
            <w:tcW w:w="2880" w:type="dxa"/>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
          <w:p w14:paraId="35A7578A" w14:textId="5363DB34" w:rsidR="00E51F4E" w:rsidRPr="005212EC" w:rsidRDefault="00E51F4E" w:rsidP="005212EC">
            <w:pPr>
              <w:rPr>
                <w:rFonts w:ascii="Calibri" w:eastAsia="宋体" w:hAnsi="Calibri"/>
                <w:sz w:val="22"/>
                <w:szCs w:val="22"/>
                <w:lang w:eastAsia="zh-CN"/>
              </w:rPr>
            </w:pPr>
            <w:r w:rsidRPr="00E51F4E">
              <w:rPr>
                <w:rFonts w:ascii="Calibri" w:eastAsia="宋体" w:hAnsi="Calibri"/>
                <w:sz w:val="22"/>
                <w:szCs w:val="22"/>
                <w:lang w:eastAsia="zh-CN"/>
              </w:rPr>
              <w:t>We do not believe that the CSC should be a separate legal entity, but should be based within existing structures.</w:t>
            </w:r>
          </w:p>
        </w:tc>
        <w:tc>
          <w:tcPr>
            <w:tcW w:w="3870" w:type="dxa"/>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9B7EB6">
        <w:tc>
          <w:tcPr>
            <w:tcW w:w="675" w:type="dxa"/>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
          <w:p w14:paraId="47F4EEAC" w14:textId="6DD7C238" w:rsidR="000B6C52" w:rsidRDefault="000B6C52" w:rsidP="00D13DC7">
            <w:pPr>
              <w:contextualSpacing/>
              <w:rPr>
                <w:rFonts w:ascii="Calibri" w:hAnsi="Calibri"/>
                <w:sz w:val="22"/>
              </w:rPr>
            </w:pPr>
            <w:r>
              <w:rPr>
                <w:rFonts w:ascii="Calibri" w:hAnsi="Calibri"/>
                <w:sz w:val="22"/>
              </w:rPr>
              <w:t>Nominet</w:t>
            </w:r>
          </w:p>
        </w:tc>
        <w:tc>
          <w:tcPr>
            <w:tcW w:w="2880" w:type="dxa"/>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
          <w:p w14:paraId="64499F39" w14:textId="611AD93E"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We welcome the approach adopted for the Customer Standing Committee. We see this as the key part of the oversight mechanism, based on working with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宋体" w:hAnsi="Calibri"/>
                <w:sz w:val="22"/>
                <w:szCs w:val="22"/>
                <w:lang w:eastAsia="zh-CN"/>
              </w:rPr>
            </w:pPr>
          </w:p>
          <w:p w14:paraId="5C5F6472" w14:textId="335CAFBC"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宋体" w:hAnsi="Calibri"/>
                <w:sz w:val="22"/>
                <w:szCs w:val="22"/>
                <w:lang w:eastAsia="zh-CN"/>
              </w:rPr>
            </w:pPr>
          </w:p>
          <w:p w14:paraId="18A439CE" w14:textId="5E660CF5" w:rsidR="000B6C52" w:rsidRPr="00E51F4E"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However, we also recognise that there will be a significant workload for members of the committee. Given the heavy demands in</w:t>
            </w:r>
            <w:r>
              <w:rPr>
                <w:rFonts w:ascii="Calibri" w:eastAsia="宋体" w:hAnsi="Calibri"/>
                <w:sz w:val="22"/>
                <w:szCs w:val="22"/>
                <w:lang w:eastAsia="zh-CN"/>
              </w:rPr>
              <w:t xml:space="preserve"> </w:t>
            </w:r>
            <w:r w:rsidRPr="000B6C52">
              <w:rPr>
                <w:rFonts w:ascii="Calibri" w:eastAsia="宋体" w:hAnsi="Calibri"/>
                <w:sz w:val="22"/>
                <w:szCs w:val="22"/>
                <w:lang w:eastAsia="zh-CN"/>
              </w:rPr>
              <w:t>ICANN on volunteer efforts, serious thought needs to be given to ensuring good level engagement in this key accountability structure.</w:t>
            </w:r>
          </w:p>
        </w:tc>
        <w:tc>
          <w:tcPr>
            <w:tcW w:w="3870" w:type="dxa"/>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9B7EB6">
        <w:tc>
          <w:tcPr>
            <w:tcW w:w="675" w:type="dxa"/>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
          <w:p w14:paraId="7A86ACE7" w14:textId="13B206E7" w:rsidR="00307302" w:rsidRPr="000B6C52" w:rsidRDefault="00307302" w:rsidP="000B6C52">
            <w:pPr>
              <w:rPr>
                <w:rFonts w:ascii="Calibri" w:eastAsia="宋体" w:hAnsi="Calibri"/>
                <w:sz w:val="22"/>
                <w:szCs w:val="22"/>
                <w:lang w:eastAsia="zh-CN"/>
              </w:rPr>
            </w:pPr>
            <w:r w:rsidRPr="00307302">
              <w:rPr>
                <w:rFonts w:ascii="Calibri" w:eastAsia="宋体" w:hAnsi="Calibri"/>
                <w:sz w:val="22"/>
                <w:szCs w:val="22"/>
                <w:lang w:eastAsia="zh-CN"/>
              </w:rPr>
              <w:t>ISPCP supports the creation as well as the proposed role of the CSC.</w:t>
            </w:r>
          </w:p>
        </w:tc>
        <w:tc>
          <w:tcPr>
            <w:tcW w:w="3870" w:type="dxa"/>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9B7EB6">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presumes that all the deliberations and output of the CSC will be completely transparent. Any exclusions must be explicitly documented. </w:t>
            </w:r>
          </w:p>
          <w:p w14:paraId="1116C269" w14:textId="77777777" w:rsidR="004333D6" w:rsidRDefault="004333D6" w:rsidP="000B6C52">
            <w:pPr>
              <w:rPr>
                <w:rFonts w:ascii="Calibri" w:eastAsia="宋体" w:hAnsi="Calibri"/>
                <w:sz w:val="22"/>
                <w:szCs w:val="22"/>
                <w:lang w:eastAsia="zh-CN"/>
              </w:rPr>
            </w:pPr>
          </w:p>
          <w:p w14:paraId="312CE4AD"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following comments here also apply to Annex J. </w:t>
            </w:r>
          </w:p>
          <w:p w14:paraId="150C10EF" w14:textId="77777777" w:rsidR="004333D6" w:rsidRDefault="004333D6" w:rsidP="000B6C52">
            <w:pPr>
              <w:rPr>
                <w:rFonts w:ascii="Calibri" w:eastAsia="宋体" w:hAnsi="Calibri"/>
                <w:sz w:val="22"/>
                <w:szCs w:val="22"/>
                <w:lang w:eastAsia="zh-CN"/>
              </w:rPr>
            </w:pPr>
          </w:p>
          <w:p w14:paraId="0AF25654"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does not believe that the ccNSO or the GNSO are the appropriate bodies to which the CSC should escalate problems. There are several reasons for this. </w:t>
            </w:r>
          </w:p>
          <w:p w14:paraId="5E35C161"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GNSO does not have the processes to investigate or otherwise address operational issues with PTI. The staff assigned to the GNSO are explicitly Policy staff. </w:t>
            </w:r>
          </w:p>
          <w:p w14:paraId="452D17EF"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This intermediate step will only delay and possible action. </w:t>
            </w:r>
          </w:p>
          <w:p w14:paraId="1B351867" w14:textId="77777777" w:rsidR="004333D6" w:rsidRDefault="004333D6" w:rsidP="000B6C52">
            <w:pPr>
              <w:rPr>
                <w:rFonts w:ascii="Calibri" w:eastAsia="宋体" w:hAnsi="Calibri"/>
                <w:sz w:val="22"/>
                <w:szCs w:val="22"/>
                <w:lang w:eastAsia="zh-CN"/>
              </w:rPr>
            </w:pPr>
          </w:p>
          <w:p w14:paraId="45A006EB" w14:textId="2EBCC743" w:rsidR="004333D6" w:rsidRPr="00307302"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The concept of the Multistakeholder Review team from the original Contract Co model indeed made sense. In this model, it would simply be the empowered group of 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2C6D5F" w:rsidRPr="009203EA" w14:paraId="6F8D8FEA" w14:textId="77777777" w:rsidTr="00BF5C23">
        <w:tc>
          <w:tcPr>
            <w:tcW w:w="14238" w:type="dxa"/>
            <w:gridSpan w:val="5"/>
            <w:shd w:val="clear" w:color="auto" w:fill="F79646"/>
          </w:tcPr>
          <w:p w14:paraId="28B62A9D" w14:textId="77777777" w:rsidR="002C6D5F" w:rsidRPr="009203EA" w:rsidRDefault="002C6D5F" w:rsidP="002C6D5F">
            <w:pPr>
              <w:contextualSpacing/>
              <w:rPr>
                <w:rFonts w:ascii="Calibri" w:hAnsi="Calibri"/>
                <w:b/>
                <w:sz w:val="22"/>
                <w:szCs w:val="22"/>
              </w:rPr>
            </w:pPr>
            <w:bookmarkStart w:id="11" w:name="SectionIIISLEs"/>
            <w:bookmarkEnd w:id="11"/>
            <w:r>
              <w:rPr>
                <w:rFonts w:ascii="Calibri" w:hAnsi="Calibri"/>
                <w:b/>
                <w:sz w:val="22"/>
                <w:szCs w:val="22"/>
              </w:rPr>
              <w:t>Section III – Proposed Post-Transition Oversight and Accountability – Service Level Expectations</w:t>
            </w:r>
          </w:p>
        </w:tc>
      </w:tr>
      <w:tr w:rsidR="002C6D5F" w:rsidRPr="009203EA" w14:paraId="217274B2" w14:textId="77777777" w:rsidTr="009B7EB6">
        <w:tc>
          <w:tcPr>
            <w:tcW w:w="675" w:type="dxa"/>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r w:rsidRPr="00F90761">
              <w:rPr>
                <w:rFonts w:ascii="Calibri" w:hAnsi="Calibri"/>
                <w:sz w:val="22"/>
                <w:szCs w:val="22"/>
              </w:rPr>
              <w:t>with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transition. auDA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9B7EB6">
        <w:tc>
          <w:tcPr>
            <w:tcW w:w="675" w:type="dxa"/>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9B7EB6">
        <w:tc>
          <w:tcPr>
            <w:tcW w:w="675" w:type="dxa"/>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9B7EB6">
        <w:tc>
          <w:tcPr>
            <w:tcW w:w="675" w:type="dxa"/>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9B7EB6">
        <w:tc>
          <w:tcPr>
            <w:tcW w:w="675" w:type="dxa"/>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9B7EB6">
        <w:tc>
          <w:tcPr>
            <w:tcW w:w="675" w:type="dxa"/>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9B7EB6">
        <w:tc>
          <w:tcPr>
            <w:tcW w:w="675" w:type="dxa"/>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9B7EB6">
        <w:tc>
          <w:tcPr>
            <w:tcW w:w="675" w:type="dxa"/>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9B7EB6">
        <w:tc>
          <w:tcPr>
            <w:tcW w:w="675" w:type="dxa"/>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9B7EB6">
        <w:tc>
          <w:tcPr>
            <w:tcW w:w="675" w:type="dxa"/>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9B7EB6">
        <w:tc>
          <w:tcPr>
            <w:tcW w:w="675" w:type="dxa"/>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ＭＳ 明朝" w:hAnsi="Calibri" w:cs="Times New Roman"/>
                <w:sz w:val="22"/>
                <w:szCs w:val="22"/>
              </w:rPr>
            </w:pPr>
            <w:r w:rsidRPr="000B6C52">
              <w:rPr>
                <w:rFonts w:ascii="Calibri" w:eastAsia="ＭＳ 明朝"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9B7EB6">
        <w:tc>
          <w:tcPr>
            <w:tcW w:w="675" w:type="dxa"/>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9B7EB6">
        <w:tc>
          <w:tcPr>
            <w:tcW w:w="675" w:type="dxa"/>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BF5C23">
        <w:tc>
          <w:tcPr>
            <w:tcW w:w="14238" w:type="dxa"/>
            <w:gridSpan w:val="5"/>
            <w:shd w:val="clear" w:color="auto" w:fill="F79646"/>
          </w:tcPr>
          <w:p w14:paraId="46A8526D" w14:textId="77777777" w:rsidR="00413D90" w:rsidRPr="009203EA" w:rsidRDefault="00413D90" w:rsidP="00413D90">
            <w:pPr>
              <w:contextualSpacing/>
              <w:rPr>
                <w:rFonts w:ascii="Calibri" w:hAnsi="Calibri"/>
                <w:b/>
                <w:sz w:val="22"/>
                <w:szCs w:val="22"/>
              </w:rPr>
            </w:pPr>
            <w:bookmarkStart w:id="12" w:name="SectionIIIEscalation"/>
            <w:bookmarkEnd w:id="12"/>
            <w:r>
              <w:rPr>
                <w:rFonts w:ascii="Calibri" w:hAnsi="Calibri"/>
                <w:b/>
                <w:sz w:val="22"/>
                <w:szCs w:val="22"/>
              </w:rPr>
              <w:t>Section III – Proposed Post-Transition Oversight and Accountability – Escalation Mechanisms</w:t>
            </w:r>
          </w:p>
        </w:tc>
      </w:tr>
      <w:tr w:rsidR="00413D90" w:rsidRPr="009203EA" w14:paraId="12913D0E" w14:textId="77777777" w:rsidTr="009B7EB6">
        <w:tc>
          <w:tcPr>
            <w:tcW w:w="675" w:type="dxa"/>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
          <w:p w14:paraId="1471758C" w14:textId="77777777" w:rsidR="00413D90" w:rsidRPr="00F90761" w:rsidRDefault="00413D90" w:rsidP="00413D90">
            <w:pPr>
              <w:widowControl w:val="0"/>
              <w:autoSpaceDE w:val="0"/>
              <w:autoSpaceDN w:val="0"/>
              <w:adjustRightInd w:val="0"/>
              <w:rPr>
                <w:rFonts w:ascii="Calibri" w:hAnsi="Calibri"/>
                <w:sz w:val="22"/>
                <w:szCs w:val="22"/>
              </w:rPr>
            </w:pPr>
            <w:r w:rsidRPr="00F90761">
              <w:rPr>
                <w:rFonts w:ascii="Calibri" w:hAnsi="Calibri"/>
                <w:sz w:val="22"/>
                <w:szCs w:val="22"/>
              </w:rPr>
              <w:t>auDA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9B7EB6">
        <w:tc>
          <w:tcPr>
            <w:tcW w:w="675" w:type="dxa"/>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9B7EB6">
        <w:tc>
          <w:tcPr>
            <w:tcW w:w="675" w:type="dxa"/>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b) More detail should be provided before the proposal is finalised, than that</w:t>
            </w:r>
            <w:r>
              <w:rPr>
                <w:rFonts w:ascii="Calibri" w:hAnsi="Calibri"/>
                <w:sz w:val="22"/>
                <w:szCs w:val="22"/>
              </w:rPr>
              <w:t xml:space="preserve"> </w:t>
            </w:r>
            <w:r w:rsidRPr="00FD3427">
              <w:rPr>
                <w:rFonts w:ascii="Calibri" w:hAnsi="Calibri"/>
                <w:sz w:val="22"/>
                <w:szCs w:val="22"/>
              </w:rPr>
              <w:t>set out in Annexes I, J and K.</w:t>
            </w:r>
          </w:p>
          <w:p w14:paraId="192DD535" w14:textId="16BD3901" w:rsidR="00FD3427" w:rsidRPr="00D836CF"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does not waste everyone’s time and money. 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516E8A">
        <w:tc>
          <w:tcPr>
            <w:tcW w:w="675" w:type="dxa"/>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
          <w:p w14:paraId="36EEE6DA"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061AF751" w14:textId="77777777" w:rsidR="00FB78F8" w:rsidRDefault="00FB78F8" w:rsidP="00516E8A">
            <w:pPr>
              <w:contextualSpacing/>
              <w:rPr>
                <w:rFonts w:ascii="Calibri" w:hAnsi="Calibri"/>
                <w:sz w:val="22"/>
              </w:rPr>
            </w:pPr>
          </w:p>
        </w:tc>
        <w:tc>
          <w:tcPr>
            <w:tcW w:w="5400" w:type="dxa"/>
          </w:tcPr>
          <w:p w14:paraId="1D161866"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the Proposal, a </w:t>
            </w:r>
            <w:r w:rsidRPr="00533170">
              <w:rPr>
                <w:rFonts w:ascii="Calibri" w:eastAsia="宋体" w:hAnsi="Calibri"/>
                <w:sz w:val="22"/>
                <w:szCs w:val="22"/>
                <w:lang w:eastAsia="zh-CN"/>
              </w:rPr>
              <w:t>series</w:t>
            </w:r>
            <w:r w:rsidRPr="00533170">
              <w:rPr>
                <w:rFonts w:ascii="Calibri" w:eastAsia="宋体" w:hAnsi="Calibri" w:hint="eastAsia"/>
                <w:sz w:val="22"/>
                <w:szCs w:val="22"/>
                <w:lang w:eastAsia="zh-CN"/>
              </w:rPr>
              <w:t xml:space="preserve"> of issue resolution </w:t>
            </w:r>
            <w:r w:rsidRPr="00533170">
              <w:rPr>
                <w:rFonts w:ascii="Calibri" w:eastAsia="宋体" w:hAnsi="Calibri"/>
                <w:sz w:val="22"/>
                <w:szCs w:val="22"/>
                <w:lang w:eastAsia="zh-CN"/>
              </w:rPr>
              <w:t>mechanism</w:t>
            </w:r>
            <w:r w:rsidRPr="00533170">
              <w:rPr>
                <w:rFonts w:ascii="Calibri" w:eastAsia="宋体" w:hAnsi="Calibri" w:hint="eastAsia"/>
                <w:sz w:val="22"/>
                <w:szCs w:val="22"/>
                <w:lang w:eastAsia="zh-CN"/>
              </w:rPr>
              <w:t xml:space="preserve"> will be set. We are wondering whether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to draw into the third-party </w:t>
            </w:r>
            <w:r w:rsidRPr="00533170">
              <w:rPr>
                <w:rFonts w:ascii="Calibri" w:eastAsia="宋体" w:hAnsi="Calibri"/>
                <w:sz w:val="22"/>
                <w:szCs w:val="22"/>
                <w:lang w:eastAsia="zh-CN"/>
              </w:rPr>
              <w:t xml:space="preserve">arbitration </w:t>
            </w:r>
            <w:r w:rsidRPr="00533170">
              <w:rPr>
                <w:rFonts w:ascii="Calibri" w:eastAsia="宋体"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516E8A">
        <w:tc>
          <w:tcPr>
            <w:tcW w:w="675" w:type="dxa"/>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
          <w:p w14:paraId="271D5681" w14:textId="2D499773" w:rsidR="00270E4C" w:rsidRPr="00533170" w:rsidRDefault="00270E4C" w:rsidP="00FB78F8">
            <w:pPr>
              <w:rPr>
                <w:rFonts w:ascii="Calibri" w:eastAsia="宋体" w:hAnsi="Calibri"/>
                <w:sz w:val="22"/>
                <w:szCs w:val="22"/>
                <w:lang w:eastAsia="zh-CN"/>
              </w:rPr>
            </w:pPr>
            <w:r w:rsidRPr="00270E4C">
              <w:rPr>
                <w:rFonts w:ascii="Calibri" w:eastAsia="宋体" w:hAnsi="Calibri"/>
                <w:sz w:val="22"/>
                <w:szCs w:val="22"/>
                <w:lang w:eastAsia="zh-CN"/>
              </w:rPr>
              <w:t>The proposed escalation process requires timelines to be meaningful</w:t>
            </w:r>
          </w:p>
        </w:tc>
        <w:tc>
          <w:tcPr>
            <w:tcW w:w="3870" w:type="dxa"/>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516E8A">
        <w:tc>
          <w:tcPr>
            <w:tcW w:w="675" w:type="dxa"/>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
          <w:p w14:paraId="3C01D878" w14:textId="77777777" w:rsidR="0038742D" w:rsidRPr="0038742D" w:rsidRDefault="0038742D" w:rsidP="0038742D">
            <w:pPr>
              <w:rPr>
                <w:rFonts w:ascii="Calibri" w:eastAsia="宋体" w:hAnsi="Calibri"/>
                <w:sz w:val="22"/>
                <w:szCs w:val="22"/>
                <w:lang w:eastAsia="zh-CN"/>
              </w:rPr>
            </w:pPr>
            <w:r w:rsidRPr="0038742D">
              <w:rPr>
                <w:rFonts w:ascii="Calibri" w:eastAsia="宋体"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宋体" w:hAnsi="Calibri"/>
                <w:sz w:val="22"/>
                <w:szCs w:val="22"/>
                <w:lang w:eastAsia="zh-CN"/>
              </w:rPr>
            </w:pPr>
          </w:p>
        </w:tc>
        <w:tc>
          <w:tcPr>
            <w:tcW w:w="3870" w:type="dxa"/>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516E8A">
        <w:tc>
          <w:tcPr>
            <w:tcW w:w="675" w:type="dxa"/>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
          <w:p w14:paraId="6EB168B7" w14:textId="3C4170AD"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516E8A">
        <w:tc>
          <w:tcPr>
            <w:tcW w:w="675" w:type="dxa"/>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
          <w:p w14:paraId="0E69380D" w14:textId="16892018"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 greater clarity and detail are required, including determining whether the ccNSO and/or the GNSO could access the IRP in this situation.  </w:t>
            </w:r>
          </w:p>
        </w:tc>
        <w:tc>
          <w:tcPr>
            <w:tcW w:w="3870" w:type="dxa"/>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516E8A">
        <w:tc>
          <w:tcPr>
            <w:tcW w:w="675" w:type="dxa"/>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
          <w:p w14:paraId="021E860E" w14:textId="4DD02EAD" w:rsidR="00306669" w:rsidRPr="00D33131" w:rsidRDefault="00306669" w:rsidP="0038742D">
            <w:pPr>
              <w:rPr>
                <w:rFonts w:ascii="Calibri" w:eastAsia="宋体" w:hAnsi="Calibri"/>
                <w:sz w:val="22"/>
                <w:szCs w:val="22"/>
                <w:lang w:eastAsia="zh-CN"/>
              </w:rPr>
            </w:pPr>
            <w:r w:rsidRPr="00306669">
              <w:rPr>
                <w:rFonts w:ascii="Calibri" w:eastAsia="宋体"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516E8A">
        <w:tc>
          <w:tcPr>
            <w:tcW w:w="675" w:type="dxa"/>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2187CA75" w14:textId="77777777" w:rsidR="00306669" w:rsidRDefault="00306669" w:rsidP="00516E8A">
            <w:pPr>
              <w:rPr>
                <w:rFonts w:ascii="Calibri" w:eastAsia="Times New Roman" w:hAnsi="Calibri"/>
                <w:sz w:val="22"/>
                <w:szCs w:val="22"/>
              </w:rPr>
            </w:pPr>
          </w:p>
        </w:tc>
        <w:tc>
          <w:tcPr>
            <w:tcW w:w="2880" w:type="dxa"/>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
          <w:p w14:paraId="3E9D8773" w14:textId="56C85EA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The CWG-Stewardship’s</w:t>
            </w:r>
            <w:r>
              <w:rPr>
                <w:rFonts w:ascii="Calibri" w:eastAsia="宋体" w:hAnsi="Calibri"/>
                <w:sz w:val="22"/>
                <w:szCs w:val="22"/>
                <w:lang w:eastAsia="zh-CN"/>
              </w:rPr>
              <w:t xml:space="preserve"> </w:t>
            </w:r>
            <w:r w:rsidRPr="00983811">
              <w:rPr>
                <w:rFonts w:ascii="Calibri" w:eastAsia="宋体" w:hAnsi="Calibri"/>
                <w:sz w:val="22"/>
                <w:szCs w:val="22"/>
                <w:lang w:eastAsia="zh-CN"/>
              </w:rPr>
              <w:t>proposal includes a variety of potential escalation mechanisms</w:t>
            </w:r>
            <w:r>
              <w:rPr>
                <w:rFonts w:ascii="Calibri" w:eastAsia="宋体" w:hAnsi="Calibri"/>
                <w:sz w:val="22"/>
                <w:szCs w:val="22"/>
                <w:lang w:eastAsia="zh-CN"/>
              </w:rPr>
              <w:t xml:space="preserve"> </w:t>
            </w:r>
            <w:r w:rsidRPr="00983811">
              <w:rPr>
                <w:rFonts w:ascii="Calibri" w:eastAsia="宋体" w:hAnsi="Calibri"/>
                <w:sz w:val="22"/>
                <w:szCs w:val="22"/>
                <w:lang w:eastAsia="zh-CN"/>
              </w:rPr>
              <w:t>for both direct and indirect customers of the IANA functions. These include the existing</w:t>
            </w:r>
            <w:r>
              <w:rPr>
                <w:rFonts w:ascii="Calibri" w:eastAsia="宋体" w:hAnsi="Calibri"/>
                <w:sz w:val="22"/>
                <w:szCs w:val="22"/>
                <w:lang w:eastAsia="zh-CN"/>
              </w:rPr>
              <w:t xml:space="preserve"> </w:t>
            </w:r>
            <w:r w:rsidRPr="00983811">
              <w:rPr>
                <w:rFonts w:ascii="Calibri" w:eastAsia="宋体" w:hAnsi="Calibri"/>
                <w:sz w:val="22"/>
                <w:szCs w:val="22"/>
                <w:lang w:eastAsia="zh-CN"/>
              </w:rPr>
              <w:t>customer service complaint resolution process, a new problem resolution process for</w:t>
            </w:r>
            <w:r>
              <w:rPr>
                <w:rFonts w:ascii="Calibri" w:eastAsia="宋体" w:hAnsi="Calibri"/>
                <w:sz w:val="22"/>
                <w:szCs w:val="22"/>
                <w:lang w:eastAsia="zh-CN"/>
              </w:rPr>
              <w:t xml:space="preserve"> </w:t>
            </w:r>
            <w:r w:rsidRPr="00983811">
              <w:rPr>
                <w:rFonts w:ascii="Calibri" w:eastAsia="宋体" w:hAnsi="Calibri"/>
                <w:sz w:val="22"/>
                <w:szCs w:val="22"/>
                <w:lang w:eastAsia="zh-CN"/>
              </w:rPr>
              <w:t>persistent performance issues and systemic problems, the existing root zone emergency</w:t>
            </w:r>
            <w:r>
              <w:rPr>
                <w:rFonts w:ascii="Calibri" w:eastAsia="宋体" w:hAnsi="Calibri"/>
                <w:sz w:val="22"/>
                <w:szCs w:val="22"/>
                <w:lang w:eastAsia="zh-CN"/>
              </w:rPr>
              <w:t xml:space="preserve"> </w:t>
            </w:r>
            <w:r w:rsidRPr="00983811">
              <w:rPr>
                <w:rFonts w:ascii="Calibri" w:eastAsia="宋体" w:hAnsi="Calibri"/>
                <w:sz w:val="22"/>
                <w:szCs w:val="22"/>
                <w:lang w:eastAsia="zh-CN"/>
              </w:rPr>
              <w:t>process, recourse to the</w:t>
            </w:r>
            <w:r>
              <w:rPr>
                <w:rFonts w:ascii="Calibri" w:eastAsia="宋体" w:hAnsi="Calibri"/>
                <w:sz w:val="22"/>
                <w:szCs w:val="22"/>
                <w:lang w:eastAsia="zh-CN"/>
              </w:rPr>
              <w:t xml:space="preserve"> </w:t>
            </w:r>
            <w:r w:rsidRPr="00983811">
              <w:rPr>
                <w:rFonts w:ascii="Calibri" w:eastAsia="宋体" w:hAnsi="Calibri"/>
                <w:sz w:val="22"/>
                <w:szCs w:val="22"/>
                <w:lang w:eastAsia="zh-CN"/>
              </w:rPr>
              <w:t>ombudsman or to mediation, and invocation of the Independent</w:t>
            </w:r>
            <w:r>
              <w:rPr>
                <w:rFonts w:ascii="Calibri" w:eastAsia="宋体" w:hAnsi="Calibri"/>
                <w:sz w:val="22"/>
                <w:szCs w:val="22"/>
                <w:lang w:eastAsia="zh-CN"/>
              </w:rPr>
              <w:t xml:space="preserve"> </w:t>
            </w:r>
            <w:r w:rsidRPr="00983811">
              <w:rPr>
                <w:rFonts w:ascii="Calibri" w:eastAsia="宋体" w:hAnsi="Calibri"/>
                <w:sz w:val="22"/>
                <w:szCs w:val="22"/>
                <w:lang w:eastAsia="zh-CN"/>
              </w:rPr>
              <w:t>Review Process being developed by the Accountability Working Group. While these</w:t>
            </w:r>
            <w:r>
              <w:rPr>
                <w:rFonts w:ascii="Calibri" w:eastAsia="宋体" w:hAnsi="Calibri"/>
                <w:sz w:val="22"/>
                <w:szCs w:val="22"/>
                <w:lang w:eastAsia="zh-CN"/>
              </w:rPr>
              <w:t xml:space="preserve"> </w:t>
            </w:r>
            <w:r w:rsidRPr="00983811">
              <w:rPr>
                <w:rFonts w:ascii="Calibri" w:eastAsia="宋体" w:hAnsi="Calibri"/>
                <w:sz w:val="22"/>
                <w:szCs w:val="22"/>
                <w:lang w:eastAsia="zh-CN"/>
              </w:rPr>
              <w:t>methods likely meet the needs of both direct and indirect customers of the IANA functions</w:t>
            </w:r>
            <w:r>
              <w:rPr>
                <w:rFonts w:ascii="Calibri" w:eastAsia="宋体" w:hAnsi="Calibri"/>
                <w:sz w:val="22"/>
                <w:szCs w:val="22"/>
                <w:lang w:eastAsia="zh-CN"/>
              </w:rPr>
              <w:t xml:space="preserve"> </w:t>
            </w:r>
            <w:r w:rsidRPr="00983811">
              <w:rPr>
                <w:rFonts w:ascii="Calibri" w:eastAsia="宋体"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prepare a comprehensive chart indicating who can seek which types</w:t>
            </w:r>
            <w:r>
              <w:rPr>
                <w:rFonts w:ascii="Calibri" w:eastAsia="宋体" w:hAnsi="Calibri"/>
                <w:sz w:val="22"/>
                <w:szCs w:val="22"/>
                <w:lang w:eastAsia="zh-CN"/>
              </w:rPr>
              <w:t xml:space="preserve"> </w:t>
            </w:r>
            <w:r w:rsidRPr="00983811">
              <w:rPr>
                <w:rFonts w:ascii="Calibri" w:eastAsia="宋体" w:hAnsi="Calibri"/>
                <w:sz w:val="22"/>
                <w:szCs w:val="22"/>
                <w:lang w:eastAsia="zh-CN"/>
              </w:rPr>
              <w:t>of redress, and whether exhaustion of any particular remedy is required either</w:t>
            </w:r>
            <w:r>
              <w:rPr>
                <w:rFonts w:ascii="Calibri" w:eastAsia="宋体" w:hAnsi="Calibri"/>
                <w:sz w:val="22"/>
                <w:szCs w:val="22"/>
                <w:lang w:eastAsia="zh-CN"/>
              </w:rPr>
              <w:t xml:space="preserve"> </w:t>
            </w:r>
            <w:r w:rsidRPr="00983811">
              <w:rPr>
                <w:rFonts w:ascii="Calibri" w:eastAsia="宋体" w:hAnsi="Calibri"/>
                <w:sz w:val="22"/>
                <w:szCs w:val="22"/>
                <w:lang w:eastAsia="zh-CN"/>
              </w:rPr>
              <w:t>by the</w:t>
            </w:r>
            <w:r>
              <w:rPr>
                <w:rFonts w:ascii="Calibri" w:eastAsia="宋体" w:hAnsi="Calibri"/>
                <w:sz w:val="22"/>
                <w:szCs w:val="22"/>
                <w:lang w:eastAsia="zh-CN"/>
              </w:rPr>
              <w:t xml:space="preserve"> </w:t>
            </w:r>
            <w:r w:rsidRPr="00983811">
              <w:rPr>
                <w:rFonts w:ascii="Calibri" w:eastAsia="宋体" w:hAnsi="Calibri"/>
                <w:sz w:val="22"/>
                <w:szCs w:val="22"/>
                <w:lang w:eastAsia="zh-CN"/>
              </w:rPr>
              <w:t>complainant,</w:t>
            </w:r>
            <w:r>
              <w:rPr>
                <w:rFonts w:ascii="Calibri" w:eastAsia="宋体" w:hAnsi="Calibri"/>
                <w:sz w:val="22"/>
                <w:szCs w:val="22"/>
                <w:lang w:eastAsia="zh-CN"/>
              </w:rPr>
              <w:t xml:space="preserve"> by ICANN, or by the CSC before </w:t>
            </w:r>
            <w:r w:rsidRPr="00983811">
              <w:rPr>
                <w:rFonts w:ascii="Calibri" w:eastAsia="宋体" w:hAnsi="Calibri"/>
                <w:sz w:val="22"/>
                <w:szCs w:val="22"/>
                <w:lang w:eastAsia="zh-CN"/>
              </w:rPr>
              <w:t>escalating to a subsequent stage of in</w:t>
            </w:r>
            <w:r>
              <w:rPr>
                <w:rFonts w:ascii="Calibri" w:eastAsia="宋体" w:hAnsi="Calibri"/>
                <w:sz w:val="22"/>
                <w:szCs w:val="22"/>
                <w:lang w:eastAsia="zh-CN"/>
              </w:rPr>
              <w:t xml:space="preserve"> </w:t>
            </w:r>
            <w:r w:rsidRPr="00983811">
              <w:rPr>
                <w:rFonts w:ascii="Calibri" w:eastAsia="宋体" w:hAnsi="Calibri"/>
                <w:sz w:val="22"/>
                <w:szCs w:val="22"/>
                <w:lang w:eastAsia="zh-CN"/>
              </w:rPr>
              <w:t>the dispute resolution process. Without such an underst</w:t>
            </w:r>
            <w:r>
              <w:rPr>
                <w:rFonts w:ascii="Calibri" w:eastAsia="宋体" w:hAnsi="Calibri"/>
                <w:sz w:val="22"/>
                <w:szCs w:val="22"/>
                <w:lang w:eastAsia="zh-CN"/>
              </w:rPr>
              <w:t xml:space="preserve">anding, parties with grievances </w:t>
            </w:r>
            <w:r w:rsidRPr="00983811">
              <w:rPr>
                <w:rFonts w:ascii="Calibri" w:eastAsia="宋体" w:hAnsi="Calibri"/>
                <w:sz w:val="22"/>
                <w:szCs w:val="22"/>
                <w:lang w:eastAsia="zh-CN"/>
              </w:rPr>
              <w:t xml:space="preserve">will not know how to navigate these processes and will be </w:t>
            </w:r>
            <w:r>
              <w:rPr>
                <w:rFonts w:ascii="Calibri" w:eastAsia="宋体" w:hAnsi="Calibri"/>
                <w:sz w:val="22"/>
                <w:szCs w:val="22"/>
                <w:lang w:eastAsia="zh-CN"/>
              </w:rPr>
              <w:t xml:space="preserve">unable to take advantage of the </w:t>
            </w:r>
            <w:r w:rsidRPr="00983811">
              <w:rPr>
                <w:rFonts w:ascii="Calibri" w:eastAsia="宋体" w:hAnsi="Calibri"/>
                <w:sz w:val="22"/>
                <w:szCs w:val="22"/>
                <w:lang w:eastAsia="zh-CN"/>
              </w:rPr>
              <w:t>dispute resolution mechanisms at their disposal. A chart will also help the Ac</w:t>
            </w:r>
            <w:r>
              <w:rPr>
                <w:rFonts w:ascii="Calibri" w:eastAsia="宋体" w:hAnsi="Calibri"/>
                <w:sz w:val="22"/>
                <w:szCs w:val="22"/>
                <w:lang w:eastAsia="zh-CN"/>
              </w:rPr>
              <w:t xml:space="preserve">countability </w:t>
            </w:r>
            <w:r w:rsidRPr="00983811">
              <w:rPr>
                <w:rFonts w:ascii="Calibri" w:eastAsia="宋体" w:hAnsi="Calibri"/>
                <w:sz w:val="22"/>
                <w:szCs w:val="22"/>
                <w:lang w:eastAsia="zh-CN"/>
              </w:rPr>
              <w:t>and Stewardship tracks make sure that the various redress mechanisms work well</w:t>
            </w:r>
            <w:r>
              <w:rPr>
                <w:rFonts w:ascii="Calibri" w:eastAsia="宋体" w:hAnsi="Calibri"/>
                <w:sz w:val="22"/>
                <w:szCs w:val="22"/>
                <w:lang w:eastAsia="zh-CN"/>
              </w:rPr>
              <w:t xml:space="preserve"> </w:t>
            </w:r>
            <w:r w:rsidRPr="00983811">
              <w:rPr>
                <w:rFonts w:ascii="Calibri" w:eastAsia="宋体" w:hAnsi="Calibri"/>
                <w:sz w:val="22"/>
                <w:szCs w:val="22"/>
                <w:lang w:eastAsia="zh-CN"/>
              </w:rPr>
              <w:t>together.</w:t>
            </w:r>
          </w:p>
          <w:p w14:paraId="3D58E4B7" w14:textId="3EDC9CA0" w:rsidR="00306669" w:rsidRPr="00306669" w:rsidRDefault="00306669" w:rsidP="00983811">
            <w:pPr>
              <w:rPr>
                <w:rFonts w:ascii="Calibri" w:eastAsia="宋体" w:hAnsi="Calibri"/>
                <w:sz w:val="22"/>
                <w:szCs w:val="22"/>
                <w:lang w:eastAsia="zh-CN"/>
              </w:rPr>
            </w:pPr>
          </w:p>
        </w:tc>
        <w:tc>
          <w:tcPr>
            <w:tcW w:w="3870" w:type="dxa"/>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A06526">
        <w:tc>
          <w:tcPr>
            <w:tcW w:w="675" w:type="dxa"/>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
          <w:p w14:paraId="5295C8DC" w14:textId="77777777" w:rsidR="00E616AD" w:rsidRPr="00E616AD"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宋体" w:hAnsi="Calibri"/>
                <w:sz w:val="22"/>
                <w:szCs w:val="22"/>
                <w:lang w:eastAsia="zh-CN"/>
              </w:rPr>
              <w:t xml:space="preserve"> </w:t>
            </w:r>
            <w:r w:rsidRPr="00E616AD">
              <w:rPr>
                <w:rFonts w:ascii="Calibri" w:eastAsia="宋体"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宋体" w:hAnsi="Calibri"/>
                <w:sz w:val="22"/>
                <w:szCs w:val="22"/>
                <w:lang w:eastAsia="zh-CN"/>
              </w:rPr>
            </w:pPr>
          </w:p>
          <w:p w14:paraId="6BE90194" w14:textId="77777777" w:rsidR="00E616AD" w:rsidRPr="000B6C52"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concerns re. step 3 and address lack of detail</w:t>
            </w:r>
            <w:r w:rsidRPr="00381EAF">
              <w:rPr>
                <w:rFonts w:ascii="Calibri" w:hAnsi="Calibri"/>
                <w:b/>
                <w:i/>
                <w:sz w:val="22"/>
                <w:highlight w:val="cyan"/>
              </w:rPr>
              <w:t>.</w:t>
            </w:r>
          </w:p>
        </w:tc>
      </w:tr>
      <w:tr w:rsidR="00306669" w:rsidRPr="009203EA" w14:paraId="7E05FE87" w14:textId="77777777" w:rsidTr="00516E8A">
        <w:tc>
          <w:tcPr>
            <w:tcW w:w="675" w:type="dxa"/>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
          <w:p w14:paraId="75CB21EB" w14:textId="1AABE419" w:rsidR="001C61BC" w:rsidRPr="006C7CAE" w:rsidRDefault="001C61BC" w:rsidP="001C61BC">
            <w:pPr>
              <w:pStyle w:val="normal0"/>
              <w:contextualSpacing w:val="0"/>
              <w:rPr>
                <w:sz w:val="22"/>
                <w:szCs w:val="22"/>
              </w:rPr>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be reviewed as a part of the IFR special review process.</w:t>
            </w:r>
          </w:p>
          <w:p w14:paraId="0CE1267E" w14:textId="77777777" w:rsidR="001C61BC" w:rsidRPr="006C7CAE" w:rsidRDefault="001C61BC" w:rsidP="001C61BC">
            <w:pPr>
              <w:pStyle w:val="normal0"/>
              <w:contextualSpacing w:val="0"/>
              <w:rPr>
                <w:sz w:val="22"/>
                <w:szCs w:val="22"/>
              </w:rPr>
            </w:pPr>
          </w:p>
          <w:p w14:paraId="677CE33B" w14:textId="348E5577" w:rsidR="00306669" w:rsidRPr="00306669" w:rsidRDefault="001C61BC" w:rsidP="001C61BC">
            <w:pPr>
              <w:rPr>
                <w:rFonts w:ascii="Calibri" w:eastAsia="宋体"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516E8A">
        <w:tc>
          <w:tcPr>
            <w:tcW w:w="675" w:type="dxa"/>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
          <w:p w14:paraId="4FEB267F" w14:textId="77777777" w:rsidR="00AA7950" w:rsidRPr="00AA7950" w:rsidRDefault="00AA7950" w:rsidP="00AA7950">
            <w:pPr>
              <w:pStyle w:val="normal0"/>
              <w:rPr>
                <w:rFonts w:ascii="Calibri" w:eastAsia="Calibri" w:hAnsi="Calibri" w:cs="Calibri"/>
                <w:sz w:val="22"/>
                <w:szCs w:val="22"/>
              </w:rPr>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rsidP="001C61BC">
            <w:pPr>
              <w:pStyle w:val="normal0"/>
              <w:contextualSpacing w:val="0"/>
              <w:rPr>
                <w:rFonts w:ascii="Calibri" w:eastAsia="Calibri" w:hAnsi="Calibri" w:cs="Calibri"/>
                <w:sz w:val="22"/>
                <w:szCs w:val="22"/>
              </w:rPr>
            </w:pPr>
          </w:p>
        </w:tc>
        <w:tc>
          <w:tcPr>
            <w:tcW w:w="3870" w:type="dxa"/>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516E8A">
        <w:tc>
          <w:tcPr>
            <w:tcW w:w="675" w:type="dxa"/>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
          <w:p w14:paraId="3B08B804" w14:textId="1A3AA7E2" w:rsidR="00CB1A11" w:rsidRPr="00AA7950" w:rsidRDefault="00CB1A11" w:rsidP="00AA7950">
            <w:pPr>
              <w:pStyle w:val="normal0"/>
              <w:rPr>
                <w:rFonts w:ascii="Calibri" w:eastAsia="Calibri" w:hAnsi="Calibri" w:cs="Calibri"/>
                <w:sz w:val="22"/>
                <w:szCs w:val="22"/>
              </w:rPr>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7A3FCA" w:rsidRPr="009203EA" w14:paraId="5E5653E2" w14:textId="77777777" w:rsidTr="00BF5C23">
        <w:tc>
          <w:tcPr>
            <w:tcW w:w="14238" w:type="dxa"/>
            <w:gridSpan w:val="5"/>
            <w:shd w:val="clear" w:color="auto" w:fill="F79646"/>
          </w:tcPr>
          <w:p w14:paraId="79B2E05D" w14:textId="77777777" w:rsidR="007A3FCA" w:rsidRPr="009203EA" w:rsidRDefault="007A3FCA" w:rsidP="007A3FCA">
            <w:pPr>
              <w:contextualSpacing/>
              <w:rPr>
                <w:rFonts w:ascii="Calibri" w:hAnsi="Calibri"/>
                <w:b/>
                <w:sz w:val="22"/>
                <w:szCs w:val="22"/>
              </w:rPr>
            </w:pPr>
            <w:bookmarkStart w:id="13" w:name="SectionIIISeparation"/>
            <w:bookmarkEnd w:id="13"/>
            <w:r>
              <w:rPr>
                <w:rFonts w:ascii="Calibri" w:hAnsi="Calibri"/>
                <w:b/>
                <w:sz w:val="22"/>
                <w:szCs w:val="22"/>
              </w:rPr>
              <w:t>Section III – Proposed Post-Transition Oversight and Accountability – Separation Review</w:t>
            </w:r>
          </w:p>
        </w:tc>
      </w:tr>
      <w:tr w:rsidR="007A3FCA" w:rsidRPr="009203EA" w14:paraId="33FD2EC9" w14:textId="77777777" w:rsidTr="009B7EB6">
        <w:tc>
          <w:tcPr>
            <w:tcW w:w="675" w:type="dxa"/>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F90761">
        <w:tc>
          <w:tcPr>
            <w:tcW w:w="675" w:type="dxa"/>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559D0BCA" w14:textId="77777777" w:rsidR="00F8198F" w:rsidRDefault="00F8198F" w:rsidP="00F90761">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F90761">
        <w:tc>
          <w:tcPr>
            <w:tcW w:w="675" w:type="dxa"/>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F90761">
        <w:tc>
          <w:tcPr>
            <w:tcW w:w="675" w:type="dxa"/>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F90761">
        <w:tc>
          <w:tcPr>
            <w:tcW w:w="675" w:type="dxa"/>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
          <w:p w14:paraId="685F1E9E" w14:textId="77777777" w:rsidR="00FD3427" w:rsidRPr="00FD3427" w:rsidRDefault="00FD3427" w:rsidP="001E0CD3">
            <w:pPr>
              <w:contextualSpacing/>
              <w:rPr>
                <w:rFonts w:ascii="Calibri" w:hAnsi="Calibri"/>
                <w:b/>
                <w:sz w:val="22"/>
              </w:rPr>
            </w:pPr>
            <w:r>
              <w:rPr>
                <w:rFonts w:ascii="Calibri" w:hAnsi="Calibri"/>
                <w:b/>
                <w:sz w:val="22"/>
              </w:rPr>
              <w:t>The CWG-Stewardship acknowledges that further details are required on the separation review and is actively working on this issue.</w:t>
            </w:r>
          </w:p>
        </w:tc>
      </w:tr>
      <w:tr w:rsidR="00C74C12" w:rsidRPr="009203EA" w14:paraId="132018A4" w14:textId="77777777" w:rsidTr="00F90761">
        <w:tc>
          <w:tcPr>
            <w:tcW w:w="675" w:type="dxa"/>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F90761">
        <w:tc>
          <w:tcPr>
            <w:tcW w:w="675" w:type="dxa"/>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F90761">
        <w:tc>
          <w:tcPr>
            <w:tcW w:w="675" w:type="dxa"/>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define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F90761">
        <w:tc>
          <w:tcPr>
            <w:tcW w:w="675" w:type="dxa"/>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F90761">
        <w:tc>
          <w:tcPr>
            <w:tcW w:w="675" w:type="dxa"/>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43B46BA5"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‘Supermajority’ needs to be defined in this context, and clarity is needed to ensure it is a supermajority of the ccNSO Council, as obtaining a supermajority of all 150+ ccNSO members (over 100 if this were by a two thirds majority) would be impossible to achieve.  </w:t>
            </w:r>
          </w:p>
        </w:tc>
        <w:tc>
          <w:tcPr>
            <w:tcW w:w="3870" w:type="dxa"/>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F90761">
        <w:tc>
          <w:tcPr>
            <w:tcW w:w="675" w:type="dxa"/>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
          <w:p w14:paraId="6B7BCE22" w14:textId="48D100CC" w:rsidR="001874D8" w:rsidRPr="0054710B" w:rsidRDefault="001874D8" w:rsidP="001874D8">
            <w:pPr>
              <w:pStyle w:val="ListParagraph"/>
              <w:ind w:left="0"/>
              <w:rPr>
                <w:rFonts w:asciiTheme="majorHAnsi" w:hAnsiTheme="majorHAnsi"/>
                <w:sz w:val="22"/>
                <w:szCs w:val="22"/>
              </w:rPr>
            </w:pPr>
            <w:r w:rsidRPr="001874D8">
              <w:rPr>
                <w:rFonts w:asciiTheme="majorHAnsi" w:hAnsiTheme="majorHAnsi"/>
                <w:sz w:val="22"/>
                <w:szCs w:val="22"/>
              </w:rPr>
              <w:t>Afnic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F90761">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F90761">
        <w:tc>
          <w:tcPr>
            <w:tcW w:w="675" w:type="dxa"/>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
          <w:p w14:paraId="3DB3E8C0" w14:textId="7777777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 xml:space="preserve">Equally </w:t>
            </w:r>
            <w:r>
              <w:rPr>
                <w:rFonts w:ascii="Calibri" w:eastAsia="宋体" w:hAnsi="Calibri"/>
                <w:sz w:val="22"/>
                <w:szCs w:val="22"/>
                <w:lang w:eastAsia="zh-CN"/>
              </w:rPr>
              <w:t xml:space="preserve">importantly, the CWG-Stewardship </w:t>
            </w:r>
            <w:r w:rsidRPr="00983811">
              <w:rPr>
                <w:rFonts w:ascii="Calibri" w:eastAsia="宋体" w:hAnsi="Calibri"/>
                <w:sz w:val="22"/>
                <w:szCs w:val="22"/>
                <w:lang w:eastAsia="zh-CN"/>
              </w:rPr>
              <w:t>must further clarify the procedures for</w:t>
            </w:r>
            <w:r>
              <w:rPr>
                <w:rFonts w:ascii="Calibri" w:eastAsia="宋体" w:hAnsi="Calibri"/>
                <w:sz w:val="22"/>
                <w:szCs w:val="22"/>
                <w:lang w:eastAsia="zh-CN"/>
              </w:rPr>
              <w:t xml:space="preserve"> </w:t>
            </w:r>
            <w:r w:rsidRPr="00983811">
              <w:rPr>
                <w:rFonts w:ascii="Calibri" w:eastAsia="宋体" w:hAnsi="Calibri"/>
                <w:sz w:val="22"/>
                <w:szCs w:val="22"/>
                <w:lang w:eastAsia="zh-CN"/>
              </w:rPr>
              <w:t>moving the IANA functions to a new operator. This process is termed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review” in the draft proposal, and some ideas for implementing a potential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are set forth in Annex L. As the group rightfully recognizes, transitioning the IANA</w:t>
            </w:r>
            <w:r>
              <w:rPr>
                <w:rFonts w:ascii="Calibri" w:eastAsia="宋体" w:hAnsi="Calibri"/>
                <w:sz w:val="22"/>
                <w:szCs w:val="22"/>
                <w:lang w:eastAsia="zh-CN"/>
              </w:rPr>
              <w:t xml:space="preserve"> </w:t>
            </w:r>
            <w:r w:rsidRPr="00983811">
              <w:rPr>
                <w:rFonts w:ascii="Calibri" w:eastAsia="宋体" w:hAnsi="Calibri"/>
                <w:sz w:val="22"/>
                <w:szCs w:val="22"/>
                <w:lang w:eastAsia="zh-CN"/>
              </w:rPr>
              <w:t>functions away from the current operator could itself create significant risks for the</w:t>
            </w:r>
            <w:r>
              <w:rPr>
                <w:rFonts w:ascii="Calibri" w:eastAsia="宋体" w:hAnsi="Calibri"/>
                <w:sz w:val="22"/>
                <w:szCs w:val="22"/>
                <w:lang w:eastAsia="zh-CN"/>
              </w:rPr>
              <w:t xml:space="preserve"> </w:t>
            </w:r>
            <w:r w:rsidRPr="00983811">
              <w:rPr>
                <w:rFonts w:ascii="Calibri" w:eastAsia="宋体" w:hAnsi="Calibri"/>
                <w:sz w:val="22"/>
                <w:szCs w:val="22"/>
                <w:lang w:eastAsia="zh-CN"/>
              </w:rPr>
              <w:t>stability and security of the DNS. As such, the community should fully understand how</w:t>
            </w:r>
            <w:r>
              <w:rPr>
                <w:rFonts w:ascii="Calibri" w:eastAsia="宋体" w:hAnsi="Calibri"/>
                <w:sz w:val="22"/>
                <w:szCs w:val="22"/>
                <w:lang w:eastAsia="zh-CN"/>
              </w:rPr>
              <w:t xml:space="preserve"> </w:t>
            </w:r>
            <w:r w:rsidRPr="00983811">
              <w:rPr>
                <w:rFonts w:ascii="Calibri" w:eastAsia="宋体"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宋体" w:hAnsi="Calibri"/>
                <w:sz w:val="22"/>
                <w:szCs w:val="22"/>
                <w:lang w:eastAsia="zh-CN"/>
              </w:rPr>
              <w:t>As currently drafted, Annex L fails to provide any meaningful detail regardi</w:t>
            </w:r>
            <w:r>
              <w:rPr>
                <w:rFonts w:ascii="Calibri" w:eastAsia="宋体" w:hAnsi="Calibri"/>
                <w:sz w:val="22"/>
                <w:szCs w:val="22"/>
                <w:lang w:eastAsia="zh-CN"/>
              </w:rPr>
              <w:t xml:space="preserve">ng these </w:t>
            </w:r>
            <w:r w:rsidRPr="00983811">
              <w:rPr>
                <w:rFonts w:ascii="Calibri" w:eastAsia="宋体" w:hAnsi="Calibri"/>
                <w:sz w:val="22"/>
                <w:szCs w:val="22"/>
                <w:lang w:eastAsia="zh-CN"/>
              </w:rPr>
              <w:t>processes. When providing additional detail, the 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should specify</w:t>
            </w:r>
            <w:r>
              <w:rPr>
                <w:rFonts w:ascii="Calibri" w:eastAsia="宋体" w:hAnsi="Calibri"/>
                <w:sz w:val="22"/>
                <w:szCs w:val="22"/>
                <w:lang w:eastAsia="zh-CN"/>
              </w:rPr>
              <w:t xml:space="preserve"> </w:t>
            </w:r>
            <w:r w:rsidRPr="00983811">
              <w:rPr>
                <w:rFonts w:ascii="Calibri" w:eastAsia="宋体" w:hAnsi="Calibri"/>
                <w:sz w:val="22"/>
                <w:szCs w:val="22"/>
                <w:lang w:eastAsia="zh-CN"/>
              </w:rPr>
              <w:t>precisely when separation procedures may be invoked, how they can be invoked, how a</w:t>
            </w:r>
            <w:r>
              <w:rPr>
                <w:rFonts w:ascii="Calibri" w:eastAsia="宋体" w:hAnsi="Calibri"/>
                <w:sz w:val="22"/>
                <w:szCs w:val="22"/>
                <w:lang w:eastAsia="zh-CN"/>
              </w:rPr>
              <w:t xml:space="preserve"> </w:t>
            </w:r>
            <w:r w:rsidRPr="00983811">
              <w:rPr>
                <w:rFonts w:ascii="Calibri" w:eastAsia="宋体" w:hAnsi="Calibri"/>
                <w:sz w:val="22"/>
                <w:szCs w:val="22"/>
                <w:lang w:eastAsia="zh-CN"/>
              </w:rPr>
              <w:t>standalone</w:t>
            </w:r>
            <w:r>
              <w:rPr>
                <w:rFonts w:ascii="Calibri" w:eastAsia="宋体" w:hAnsi="Calibri"/>
                <w:sz w:val="22"/>
                <w:szCs w:val="22"/>
                <w:lang w:eastAsia="zh-CN"/>
              </w:rPr>
              <w:t xml:space="preserve"> </w:t>
            </w:r>
            <w:r w:rsidRPr="00983811">
              <w:rPr>
                <w:rFonts w:ascii="Calibri" w:eastAsia="宋体" w:hAnsi="Calibri"/>
                <w:sz w:val="22"/>
                <w:szCs w:val="22"/>
                <w:lang w:eastAsia="zh-CN"/>
              </w:rPr>
              <w:t>would be funded, and how the proposed escalation and transition</w:t>
            </w:r>
            <w:r>
              <w:rPr>
                <w:rFonts w:ascii="Calibri" w:eastAsia="宋体" w:hAnsi="Calibri"/>
                <w:sz w:val="22"/>
                <w:szCs w:val="22"/>
                <w:lang w:eastAsia="zh-CN"/>
              </w:rPr>
              <w:t xml:space="preserve"> </w:t>
            </w:r>
            <w:r w:rsidRPr="00983811">
              <w:rPr>
                <w:rFonts w:ascii="Calibri" w:eastAsia="宋体" w:hAnsi="Calibri"/>
                <w:sz w:val="22"/>
                <w:szCs w:val="22"/>
                <w:lang w:eastAsia="zh-CN"/>
              </w:rPr>
              <w:t>mechanisms ensure the security and stability of the DNS. We recognize that the</w:t>
            </w:r>
            <w:r>
              <w:rPr>
                <w:rFonts w:ascii="Calibri" w:eastAsia="宋体" w:hAnsi="Calibri"/>
                <w:sz w:val="22"/>
                <w:szCs w:val="22"/>
                <w:lang w:eastAsia="zh-CN"/>
              </w:rPr>
              <w:t xml:space="preserve"> </w:t>
            </w: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is discussing this issue and look forward to reviewing and</w:t>
            </w:r>
            <w:r>
              <w:rPr>
                <w:rFonts w:ascii="Calibri" w:eastAsia="宋体" w:hAnsi="Calibri"/>
                <w:sz w:val="22"/>
                <w:szCs w:val="22"/>
                <w:lang w:eastAsia="zh-CN"/>
              </w:rPr>
              <w:t xml:space="preserve"> </w:t>
            </w:r>
            <w:r w:rsidRPr="00983811">
              <w:rPr>
                <w:rFonts w:ascii="Calibri" w:eastAsia="宋体" w:hAnsi="Calibri"/>
                <w:sz w:val="22"/>
                <w:szCs w:val="22"/>
                <w:lang w:eastAsia="zh-CN"/>
              </w:rPr>
              <w:t>commenting on this proposal when it is more fully developed.</w:t>
            </w:r>
          </w:p>
        </w:tc>
        <w:tc>
          <w:tcPr>
            <w:tcW w:w="3870" w:type="dxa"/>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F90761">
        <w:tc>
          <w:tcPr>
            <w:tcW w:w="675" w:type="dxa"/>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
          <w:p w14:paraId="101E1310" w14:textId="151A3C4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support the plan for a separation mechanism in the case of refusal by, or inability of, the PTI or</w:t>
            </w:r>
            <w:r>
              <w:rPr>
                <w:rFonts w:ascii="Calibri" w:eastAsia="宋体" w:hAnsi="Calibri"/>
                <w:sz w:val="22"/>
                <w:szCs w:val="22"/>
                <w:lang w:eastAsia="zh-CN"/>
              </w:rPr>
              <w:t xml:space="preserve"> </w:t>
            </w:r>
            <w:r w:rsidRPr="000B6C52">
              <w:rPr>
                <w:rFonts w:ascii="Calibri" w:eastAsia="宋体"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宋体" w:hAnsi="Calibri"/>
                <w:sz w:val="22"/>
                <w:szCs w:val="22"/>
                <w:lang w:eastAsia="zh-CN"/>
              </w:rPr>
            </w:pPr>
          </w:p>
          <w:p w14:paraId="365E0383"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宋体" w:hAnsi="Calibri"/>
                <w:sz w:val="22"/>
                <w:szCs w:val="22"/>
                <w:lang w:eastAsia="zh-CN"/>
              </w:rPr>
            </w:pPr>
          </w:p>
          <w:p w14:paraId="1C0E24D4"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宋体" w:hAnsi="Calibri"/>
                <w:sz w:val="22"/>
                <w:szCs w:val="22"/>
                <w:lang w:eastAsia="zh-CN"/>
              </w:rPr>
            </w:pPr>
          </w:p>
          <w:p w14:paraId="56452521" w14:textId="1C586BA4" w:rsidR="000B6C52" w:rsidRPr="00983811"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Having decided to go ahead with a rebid of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F90761">
        <w:tc>
          <w:tcPr>
            <w:tcW w:w="675" w:type="dxa"/>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
          <w:p w14:paraId="5895E33F" w14:textId="77777777" w:rsidR="001A12FD" w:rsidRPr="001A12FD"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宋体" w:hAnsi="Calibri"/>
                <w:sz w:val="22"/>
                <w:szCs w:val="22"/>
                <w:lang w:eastAsia="zh-CN"/>
              </w:rPr>
            </w:pPr>
          </w:p>
          <w:p w14:paraId="54C4AF2E" w14:textId="3DEB22B6" w:rsidR="001A12FD" w:rsidRPr="000B6C52"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宋体" w:hAnsi="Calibri"/>
                <w:sz w:val="22"/>
                <w:szCs w:val="22"/>
                <w:lang w:eastAsia="zh-CN"/>
              </w:rPr>
              <w:t xml:space="preserve"> </w:t>
            </w:r>
            <w:r w:rsidRPr="001A12FD">
              <w:rPr>
                <w:rFonts w:ascii="Calibri" w:eastAsia="宋体"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宋体" w:hAnsi="Calibri"/>
                <w:sz w:val="22"/>
                <w:szCs w:val="22"/>
                <w:lang w:eastAsia="zh-CN"/>
              </w:rPr>
              <w:t>.</w:t>
            </w:r>
          </w:p>
        </w:tc>
        <w:tc>
          <w:tcPr>
            <w:tcW w:w="3870" w:type="dxa"/>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F90761">
        <w:tc>
          <w:tcPr>
            <w:tcW w:w="675" w:type="dxa"/>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
          <w:p w14:paraId="09708F2A" w14:textId="77777777" w:rsidR="00BF30B7" w:rsidRPr="006C7CAE" w:rsidRDefault="00BF30B7" w:rsidP="00BF30B7">
            <w:pPr>
              <w:pStyle w:val="normal0"/>
              <w:contextualSpacing w:val="0"/>
              <w:rPr>
                <w:sz w:val="22"/>
                <w:szCs w:val="22"/>
              </w:rPr>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F30B7">
            <w:pPr>
              <w:pStyle w:val="normal0"/>
              <w:contextualSpacing w:val="0"/>
              <w:rPr>
                <w:sz w:val="22"/>
                <w:szCs w:val="22"/>
              </w:rPr>
            </w:pPr>
          </w:p>
          <w:p w14:paraId="799669DC" w14:textId="77777777" w:rsidR="00BF30B7" w:rsidRPr="006C7CAE" w:rsidRDefault="00BF30B7" w:rsidP="00BF30B7">
            <w:pPr>
              <w:pStyle w:val="normal0"/>
              <w:contextualSpacing w:val="0"/>
              <w:rPr>
                <w:sz w:val="22"/>
                <w:szCs w:val="22"/>
              </w:rPr>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rsidP="00BF30B7">
            <w:pPr>
              <w:pStyle w:val="normal0"/>
              <w:contextualSpacing w:val="0"/>
              <w:rPr>
                <w:sz w:val="22"/>
                <w:szCs w:val="22"/>
              </w:rPr>
            </w:pPr>
          </w:p>
          <w:p w14:paraId="7A097D3D" w14:textId="01BBDB6E" w:rsidR="00BF30B7" w:rsidRPr="00BF30B7" w:rsidRDefault="00BF30B7" w:rsidP="00BF30B7">
            <w:pPr>
              <w:pStyle w:val="normal0"/>
              <w:contextualSpacing w:val="0"/>
              <w:rPr>
                <w:sz w:val="22"/>
                <w:szCs w:val="22"/>
              </w:rPr>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F90761">
        <w:tc>
          <w:tcPr>
            <w:tcW w:w="675" w:type="dxa"/>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
          <w:p w14:paraId="3313C4F7" w14:textId="752506F0" w:rsidR="00AA7950" w:rsidRPr="006C7CAE" w:rsidRDefault="00AA7950" w:rsidP="00BF30B7">
            <w:pPr>
              <w:pStyle w:val="normal0"/>
              <w:rPr>
                <w:rFonts w:ascii="Calibri" w:eastAsia="Calibri" w:hAnsi="Calibri" w:cs="Calibri"/>
                <w:sz w:val="22"/>
                <w:szCs w:val="22"/>
              </w:rPr>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F90761">
        <w:tc>
          <w:tcPr>
            <w:tcW w:w="675" w:type="dxa"/>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
          <w:p w14:paraId="4691E4EE" w14:textId="1018C67B" w:rsidR="004333D6" w:rsidRPr="00AA7950" w:rsidRDefault="004333D6" w:rsidP="00BF30B7">
            <w:pPr>
              <w:pStyle w:val="normal0"/>
              <w:rPr>
                <w:rFonts w:ascii="Calibri" w:eastAsia="Calibri" w:hAnsi="Calibri" w:cs="Calibri"/>
                <w:sz w:val="22"/>
                <w:szCs w:val="22"/>
              </w:rPr>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E77C64" w:rsidRPr="009203EA" w14:paraId="208EBF99" w14:textId="77777777" w:rsidTr="00BF5C23">
        <w:tc>
          <w:tcPr>
            <w:tcW w:w="14238" w:type="dxa"/>
            <w:gridSpan w:val="5"/>
            <w:shd w:val="clear" w:color="auto" w:fill="F79646"/>
          </w:tcPr>
          <w:p w14:paraId="72256B35" w14:textId="77777777" w:rsidR="00E77C64" w:rsidRPr="009203EA" w:rsidRDefault="00E77C64" w:rsidP="00E77C64">
            <w:pPr>
              <w:contextualSpacing/>
              <w:rPr>
                <w:rFonts w:ascii="Calibri" w:hAnsi="Calibri"/>
                <w:b/>
                <w:sz w:val="22"/>
                <w:szCs w:val="22"/>
              </w:rPr>
            </w:pPr>
            <w:bookmarkStart w:id="14" w:name="SectionIIISuccessor"/>
            <w:bookmarkEnd w:id="14"/>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9B7EB6">
        <w:tc>
          <w:tcPr>
            <w:tcW w:w="675" w:type="dxa"/>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
          <w:p w14:paraId="1F26E79A" w14:textId="77777777" w:rsidR="00E77C64" w:rsidRPr="00E77C64" w:rsidRDefault="00324147" w:rsidP="00E77C64">
            <w:pPr>
              <w:widowControl w:val="0"/>
              <w:autoSpaceDE w:val="0"/>
              <w:autoSpaceDN w:val="0"/>
              <w:adjustRightInd w:val="0"/>
              <w:rPr>
                <w:rFonts w:ascii="Calibri" w:hAnsi="Calibri"/>
                <w:sz w:val="22"/>
                <w:szCs w:val="22"/>
              </w:rPr>
            </w:pPr>
            <w:r w:rsidRPr="00F90761">
              <w:rPr>
                <w:rFonts w:ascii="Calibri" w:hAnsi="Calibri"/>
                <w:sz w:val="22"/>
                <w:szCs w:val="22"/>
              </w:rPr>
              <w:t>auDA supports this position.</w:t>
            </w:r>
          </w:p>
        </w:tc>
        <w:tc>
          <w:tcPr>
            <w:tcW w:w="3870" w:type="dxa"/>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9B7EB6">
        <w:tc>
          <w:tcPr>
            <w:tcW w:w="675" w:type="dxa"/>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77777777" w:rsidR="000C7A81" w:rsidRPr="00F90761" w:rsidRDefault="000C7A81" w:rsidP="000C7A81">
            <w:pPr>
              <w:pStyle w:val="NoSpacing"/>
              <w:rPr>
                <w:rFonts w:eastAsia="Times New Roman"/>
              </w:rPr>
            </w:pPr>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30E0BAE3" w14:textId="77777777" w:rsidR="00F8198F" w:rsidRDefault="00F8198F" w:rsidP="00F8198F">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9B7EB6">
        <w:tc>
          <w:tcPr>
            <w:tcW w:w="675" w:type="dxa"/>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2AE35117" w:rsidR="008333D2" w:rsidRPr="00F90761" w:rsidRDefault="008333D2" w:rsidP="008333D2">
            <w:pPr>
              <w:pStyle w:val="NoSpacing"/>
              <w:rPr>
                <w:rStyle w:val="Strong"/>
                <w:b w:val="0"/>
                <w:iCs/>
              </w:rPr>
            </w:pPr>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p>
        </w:tc>
        <w:tc>
          <w:tcPr>
            <w:tcW w:w="3870" w:type="dxa"/>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9B7EB6">
        <w:tc>
          <w:tcPr>
            <w:tcW w:w="675" w:type="dxa"/>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
          <w:p w14:paraId="580356C8" w14:textId="3E40C512" w:rsidR="00AA7950" w:rsidRPr="008333D2" w:rsidRDefault="00AA7950" w:rsidP="008333D2">
            <w:pPr>
              <w:pStyle w:val="NoSpacing"/>
              <w:rPr>
                <w:rFonts w:eastAsia="Times New Roman"/>
              </w:rPr>
            </w:pPr>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p>
        </w:tc>
        <w:tc>
          <w:tcPr>
            <w:tcW w:w="3870" w:type="dxa"/>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E52EDA" w:rsidRPr="009203EA" w14:paraId="5AB56C60" w14:textId="77777777" w:rsidTr="00BF5C23">
        <w:tc>
          <w:tcPr>
            <w:tcW w:w="14238" w:type="dxa"/>
            <w:gridSpan w:val="5"/>
            <w:shd w:val="clear" w:color="auto" w:fill="F79646"/>
          </w:tcPr>
          <w:p w14:paraId="0ED69F99" w14:textId="77777777" w:rsidR="00E52EDA" w:rsidRPr="009203EA" w:rsidRDefault="00E52EDA" w:rsidP="00265E84">
            <w:pPr>
              <w:contextualSpacing/>
              <w:rPr>
                <w:rFonts w:ascii="Calibri" w:hAnsi="Calibri"/>
                <w:b/>
                <w:sz w:val="22"/>
                <w:szCs w:val="22"/>
              </w:rPr>
            </w:pPr>
            <w:bookmarkStart w:id="15" w:name="SectionIIIRootzonemaintainer"/>
            <w:bookmarkEnd w:id="15"/>
            <w:r>
              <w:rPr>
                <w:rFonts w:ascii="Calibri" w:hAnsi="Calibri"/>
                <w:b/>
                <w:sz w:val="22"/>
                <w:szCs w:val="22"/>
              </w:rPr>
              <w:t>Section III – Proposed Post-Transition Oversight and Accountability – Root Zone Maintainer Function</w:t>
            </w:r>
          </w:p>
        </w:tc>
      </w:tr>
      <w:tr w:rsidR="000F376E" w:rsidRPr="009203EA" w14:paraId="1B8DB1C1" w14:textId="77777777" w:rsidTr="009B7EB6">
        <w:tc>
          <w:tcPr>
            <w:tcW w:w="675" w:type="dxa"/>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9B7EB6">
        <w:tc>
          <w:tcPr>
            <w:tcW w:w="675" w:type="dxa"/>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r w:rsidRPr="00324147">
              <w:rPr>
                <w:rFonts w:ascii="Calibri" w:hAnsi="Calibri"/>
                <w:sz w:val="22"/>
              </w:rPr>
              <w:t>the RZM Administrator role.</w:t>
            </w:r>
          </w:p>
        </w:tc>
        <w:tc>
          <w:tcPr>
            <w:tcW w:w="3870" w:type="dxa"/>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9B7EB6">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in a subsequent effort as needed’</w:t>
            </w:r>
            <w:r w:rsidR="00EA0291">
              <w:rPr>
                <w:rFonts w:ascii="Calibri" w:hAnsi="Calibri"/>
                <w:b/>
                <w:i/>
                <w:sz w:val="22"/>
              </w:rPr>
              <w:t xml:space="preserve"> (see </w:t>
            </w:r>
            <w:hyperlink r:id="rId58"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59"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9B7EB6">
        <w:tc>
          <w:tcPr>
            <w:tcW w:w="675" w:type="dxa"/>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
          <w:p w14:paraId="51387577" w14:textId="77777777" w:rsidR="00C26230" w:rsidRPr="005F48A9" w:rsidRDefault="00C26230" w:rsidP="00C26230">
            <w:pPr>
              <w:rPr>
                <w:rFonts w:ascii="Calibri" w:hAnsi="Calibri"/>
                <w:sz w:val="22"/>
              </w:rPr>
            </w:pPr>
            <w:r w:rsidRPr="005F48A9">
              <w:rPr>
                <w:rFonts w:ascii="Calibri" w:hAnsi="Calibri"/>
                <w:sz w:val="22"/>
              </w:rPr>
              <w:t>Mikhail Medrish</w:t>
            </w:r>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r w:rsidRPr="005F67DE">
              <w:rPr>
                <w:rFonts w:ascii="Calibri" w:hAnsi="Calibri"/>
                <w:sz w:val="22"/>
                <w:szCs w:val="22"/>
              </w:rPr>
              <w:t xml:space="preserve">to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r w:rsidRPr="005F67DE">
              <w:rPr>
                <w:rFonts w:ascii="Calibri" w:hAnsi="Calibri"/>
                <w:sz w:val="22"/>
                <w:szCs w:val="22"/>
              </w:rPr>
              <w:t>to set a proper timeframe within which the root zone management functions should be transited to PTI, and the Cooperative Agreement between NTIA and Verisign should be terminated.</w:t>
            </w:r>
          </w:p>
        </w:tc>
        <w:tc>
          <w:tcPr>
            <w:tcW w:w="3870" w:type="dxa"/>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0"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1" w:history="1">
              <w:r w:rsidRPr="00C26230">
                <w:rPr>
                  <w:rStyle w:val="Hyperlink"/>
                  <w:rFonts w:ascii="Calibri" w:hAnsi="Calibri"/>
                  <w:b/>
                  <w:i/>
                  <w:sz w:val="22"/>
                  <w:szCs w:val="22"/>
                </w:rPr>
                <w:t>http://www.ntia.doc.gov/other-publication/2014/iana-functions-and-related-root-zone-management-transition-questions-and-answ</w:t>
              </w:r>
            </w:hyperlink>
            <w:r w:rsidRPr="00C74C12">
              <w:rPr>
                <w:rFonts w:ascii="Calibri" w:hAnsi="Calibri"/>
                <w:b/>
                <w:i/>
                <w:sz w:val="22"/>
                <w:szCs w:val="22"/>
              </w:rPr>
              <w:t xml:space="preserve"> for further details.</w:t>
            </w:r>
          </w:p>
        </w:tc>
      </w:tr>
      <w:tr w:rsidR="00C74C12" w:rsidRPr="009203EA" w14:paraId="318AF2DC" w14:textId="77777777" w:rsidTr="009B7EB6">
        <w:tc>
          <w:tcPr>
            <w:tcW w:w="675" w:type="dxa"/>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a) InternetNZ supports the ending of the Authorisation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Maintainer role in a separate company is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co-decision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2"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3"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9B7EB6">
        <w:tc>
          <w:tcPr>
            <w:tcW w:w="675" w:type="dxa"/>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comments relating to the previous draft proposal, that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4"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9B7EB6">
        <w:tc>
          <w:tcPr>
            <w:tcW w:w="675" w:type="dxa"/>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
          <w:p w14:paraId="0F0C0BDB" w14:textId="77777777" w:rsidR="00622372" w:rsidRDefault="00622372" w:rsidP="00C26230">
            <w:pPr>
              <w:rPr>
                <w:rFonts w:ascii="Calibri" w:hAnsi="Calibri"/>
                <w:sz w:val="22"/>
              </w:rPr>
            </w:pPr>
            <w:r>
              <w:rPr>
                <w:rFonts w:ascii="Calibri" w:hAnsi="Calibri"/>
                <w:sz w:val="22"/>
              </w:rPr>
              <w:t>AmCham EU</w:t>
            </w:r>
          </w:p>
        </w:tc>
        <w:tc>
          <w:tcPr>
            <w:tcW w:w="2880" w:type="dxa"/>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886E0CF" w14:textId="77777777" w:rsidR="00622372" w:rsidRPr="00622372" w:rsidRDefault="00622372" w:rsidP="00622372">
            <w:pPr>
              <w:pStyle w:val="Default"/>
              <w:rPr>
                <w:rFonts w:ascii="Calibri" w:hAnsi="Calibri"/>
                <w:sz w:val="22"/>
                <w:szCs w:val="22"/>
              </w:rPr>
            </w:pPr>
            <w:r w:rsidRPr="00622372">
              <w:rPr>
                <w:rFonts w:ascii="Calibri" w:hAnsi="Calibri"/>
                <w:sz w:val="22"/>
                <w:szCs w:val="22"/>
              </w:rPr>
              <w:t>AmCham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r w:rsidRPr="00622372">
              <w:rPr>
                <w:rFonts w:ascii="Calibri" w:hAnsi="Calibri"/>
                <w:sz w:val="22"/>
                <w:szCs w:val="22"/>
              </w:rPr>
              <w:t>AmCham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Finally AmCha</w:t>
            </w:r>
            <w:r>
              <w:rPr>
                <w:rFonts w:ascii="Calibri" w:hAnsi="Calibri"/>
                <w:sz w:val="22"/>
                <w:szCs w:val="22"/>
              </w:rPr>
              <w:t xml:space="preserve">m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5"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6"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9B7EB6">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77777777" w:rsidR="00EB6D0A" w:rsidRDefault="00EB6D0A" w:rsidP="00D00D93">
            <w:pPr>
              <w:contextualSpacing/>
              <w:rPr>
                <w:rFonts w:ascii="Calibri" w:hAnsi="Calibri"/>
                <w:sz w:val="22"/>
              </w:rPr>
            </w:pPr>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This problem can however quite easily be solved. Annex N argues for a principle of transparency and that change requests could be made public at the time of the actual 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7777777" w:rsidR="00EB6D0A" w:rsidRPr="00622372" w:rsidRDefault="00EB6D0A" w:rsidP="00622372">
            <w:pPr>
              <w:pStyle w:val="Default"/>
              <w:rPr>
                <w:rFonts w:ascii="Calibri" w:hAnsi="Calibri"/>
                <w:sz w:val="22"/>
                <w:szCs w:val="22"/>
              </w:rPr>
            </w:pPr>
            <w:r w:rsidRPr="00EB6D0A">
              <w:rPr>
                <w:rFonts w:ascii="Calibri" w:hAnsi="Calibri"/>
                <w:sz w:val="22"/>
                <w:szCs w:val="22"/>
              </w:rPr>
              <w:t>As a related comment, it is desirable that the next version of the CWG-Stewardship proposal include a flowchart for registry changes that reflect the changes suggested by the CWG-Stewardship.</w:t>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67"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9B7EB6">
        <w:tc>
          <w:tcPr>
            <w:tcW w:w="675" w:type="dxa"/>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We welcome the removal of the authorisation function for TLD change requests which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(e.g. III.A.iii.a.1.c).</w:t>
            </w:r>
          </w:p>
        </w:tc>
        <w:tc>
          <w:tcPr>
            <w:tcW w:w="3870" w:type="dxa"/>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9B7EB6">
        <w:tc>
          <w:tcPr>
            <w:tcW w:w="675" w:type="dxa"/>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9B7EB6">
        <w:tc>
          <w:tcPr>
            <w:tcW w:w="675" w:type="dxa"/>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9B7EB6">
        <w:tc>
          <w:tcPr>
            <w:tcW w:w="675" w:type="dxa"/>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
          <w:p w14:paraId="5C8A49FF" w14:textId="77777777" w:rsidR="000B2576" w:rsidRDefault="000B2576" w:rsidP="0038742D">
            <w:pPr>
              <w:pStyle w:val="Default"/>
              <w:rPr>
                <w:rFonts w:ascii="Calibri" w:hAnsi="Calibri"/>
                <w:sz w:val="22"/>
                <w:szCs w:val="22"/>
              </w:rPr>
            </w:pPr>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 xml:space="preserve">5. What were the CWG’s reasons to do away altogether with the requirement of “authorisation” to root zone changes? </w:t>
            </w:r>
          </w:p>
        </w:tc>
        <w:tc>
          <w:tcPr>
            <w:tcW w:w="3870" w:type="dxa"/>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68" w:history="1">
              <w:r w:rsidRPr="00017C49">
                <w:rPr>
                  <w:rStyle w:val="Hyperlink"/>
                  <w:rFonts w:ascii="Calibri" w:hAnsi="Calibri"/>
                  <w:b/>
                  <w:i/>
                  <w:sz w:val="22"/>
                </w:rPr>
                <w:t>http://www.ntia.doc.gov/files/ntia/publications/ntias_role_root_zone_management_12162014.pdf</w:t>
              </w:r>
            </w:hyperlink>
            <w:r>
              <w:rPr>
                <w:rFonts w:ascii="Calibri" w:hAnsi="Calibri"/>
                <w:b/>
                <w:i/>
                <w:sz w:val="22"/>
              </w:rPr>
              <w:t>.</w:t>
            </w:r>
          </w:p>
        </w:tc>
      </w:tr>
      <w:tr w:rsidR="001874D8" w:rsidRPr="009203EA" w14:paraId="2F2FF560" w14:textId="77777777" w:rsidTr="009B7EB6">
        <w:tc>
          <w:tcPr>
            <w:tcW w:w="675" w:type="dxa"/>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Afnic would like to add to c) that any major change in the software and new steps on the automation should be reviewed by CSC prior to its full implementation.</w:t>
            </w:r>
          </w:p>
        </w:tc>
        <w:tc>
          <w:tcPr>
            <w:tcW w:w="3870" w:type="dxa"/>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9B7EB6">
        <w:tc>
          <w:tcPr>
            <w:tcW w:w="675" w:type="dxa"/>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
          <w:p w14:paraId="3A81213B" w14:textId="724C4235" w:rsidR="00FF551F" w:rsidRDefault="00FF551F" w:rsidP="00C26230">
            <w:pPr>
              <w:rPr>
                <w:rFonts w:ascii="Calibri" w:hAnsi="Calibri"/>
                <w:sz w:val="22"/>
              </w:rPr>
            </w:pPr>
            <w:r>
              <w:rPr>
                <w:rFonts w:ascii="Calibri" w:hAnsi="Calibri"/>
                <w:sz w:val="22"/>
              </w:rPr>
              <w:t>Digilexis</w:t>
            </w:r>
          </w:p>
        </w:tc>
        <w:tc>
          <w:tcPr>
            <w:tcW w:w="2880" w:type="dxa"/>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9B7EB6">
        <w:tc>
          <w:tcPr>
            <w:tcW w:w="675" w:type="dxa"/>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9B7EB6">
        <w:tc>
          <w:tcPr>
            <w:tcW w:w="675" w:type="dxa"/>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
          <w:p w14:paraId="07213422" w14:textId="44F4E990" w:rsidR="00EF4BDE" w:rsidRDefault="00EF4BDE" w:rsidP="00C26230">
            <w:pPr>
              <w:rPr>
                <w:rFonts w:ascii="Calibri" w:hAnsi="Calibri"/>
                <w:sz w:val="22"/>
              </w:rPr>
            </w:pPr>
            <w:r>
              <w:rPr>
                <w:rFonts w:ascii="Calibri" w:hAnsi="Calibri"/>
                <w:sz w:val="22"/>
              </w:rPr>
              <w:t>Nominet</w:t>
            </w:r>
          </w:p>
        </w:tc>
        <w:tc>
          <w:tcPr>
            <w:tcW w:w="2880" w:type="dxa"/>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9B7EB6">
        <w:tc>
          <w:tcPr>
            <w:tcW w:w="675" w:type="dxa"/>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9B7EB6">
        <w:tc>
          <w:tcPr>
            <w:tcW w:w="675" w:type="dxa"/>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9B7EB6">
        <w:tc>
          <w:tcPr>
            <w:tcW w:w="675" w:type="dxa"/>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
          <w:p w14:paraId="75BB93D5" w14:textId="026A2AAA" w:rsidR="003A780E" w:rsidRDefault="003A780E" w:rsidP="00C26230">
            <w:pPr>
              <w:rPr>
                <w:rFonts w:ascii="Calibri" w:hAnsi="Calibri"/>
                <w:sz w:val="22"/>
              </w:rPr>
            </w:pPr>
            <w:r>
              <w:rPr>
                <w:rFonts w:ascii="Calibri" w:hAnsi="Calibri"/>
                <w:sz w:val="22"/>
              </w:rPr>
              <w:t>Julie Cong ZHU</w:t>
            </w:r>
          </w:p>
        </w:tc>
        <w:tc>
          <w:tcPr>
            <w:tcW w:w="2880" w:type="dxa"/>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9"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A73F68" w:rsidRPr="009203EA" w14:paraId="17B8CBDF" w14:textId="77777777" w:rsidTr="00BF5C23">
        <w:tc>
          <w:tcPr>
            <w:tcW w:w="14238" w:type="dxa"/>
            <w:gridSpan w:val="5"/>
            <w:shd w:val="clear" w:color="auto" w:fill="F79646"/>
          </w:tcPr>
          <w:p w14:paraId="0EBA2F64" w14:textId="3E6D3F65" w:rsidR="00A73F68" w:rsidRPr="009203EA" w:rsidRDefault="00A73F68" w:rsidP="00A73F68">
            <w:pPr>
              <w:contextualSpacing/>
              <w:rPr>
                <w:rFonts w:ascii="Calibri" w:hAnsi="Calibri"/>
                <w:b/>
                <w:sz w:val="22"/>
                <w:szCs w:val="22"/>
              </w:rPr>
            </w:pPr>
            <w:bookmarkStart w:id="16" w:name="SectionIIIccTLDappeals"/>
            <w:bookmarkEnd w:id="16"/>
            <w:r>
              <w:rPr>
                <w:rFonts w:ascii="Calibri" w:hAnsi="Calibri"/>
                <w:b/>
                <w:sz w:val="22"/>
                <w:szCs w:val="22"/>
              </w:rPr>
              <w:t>Section III – Proposed Post-Transition Oversight and Accountability – ccTLD Delegation Appeals</w:t>
            </w:r>
          </w:p>
        </w:tc>
      </w:tr>
      <w:tr w:rsidR="00A73F68" w:rsidRPr="009203EA" w14:paraId="24FA410E" w14:textId="77777777" w:rsidTr="009B7EB6">
        <w:tc>
          <w:tcPr>
            <w:tcW w:w="675" w:type="dxa"/>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
          <w:p w14:paraId="07520688" w14:textId="77777777" w:rsidR="00A73F68" w:rsidRPr="00A73F68" w:rsidRDefault="00A73F68" w:rsidP="00A73F68">
            <w:pPr>
              <w:contextualSpacing/>
              <w:rPr>
                <w:rFonts w:ascii="Calibri" w:hAnsi="Calibri"/>
                <w:sz w:val="22"/>
              </w:rPr>
            </w:pPr>
            <w:r w:rsidRPr="00A73F68">
              <w:rPr>
                <w:rFonts w:ascii="Calibri" w:hAnsi="Calibri"/>
                <w:sz w:val="22"/>
              </w:rPr>
              <w:t>auDA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9B7EB6">
        <w:tc>
          <w:tcPr>
            <w:tcW w:w="675" w:type="dxa"/>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9B7EB6">
        <w:tc>
          <w:tcPr>
            <w:tcW w:w="675" w:type="dxa"/>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9B7EB6">
        <w:tc>
          <w:tcPr>
            <w:tcW w:w="675" w:type="dxa"/>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
          <w:p w14:paraId="631781CA" w14:textId="5680B2F2" w:rsidR="001874D8" w:rsidRPr="00EF2F4C" w:rsidRDefault="001874D8" w:rsidP="00A73F68">
            <w:pPr>
              <w:contextualSpacing/>
              <w:rPr>
                <w:rFonts w:ascii="Calibri" w:hAnsi="Calibri"/>
                <w:sz w:val="22"/>
              </w:rPr>
            </w:pPr>
            <w:r w:rsidRPr="001874D8">
              <w:rPr>
                <w:rFonts w:ascii="Calibri" w:hAnsi="Calibri"/>
                <w:sz w:val="22"/>
              </w:rPr>
              <w:t>Afnic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73F68" w:rsidRPr="009203EA" w14:paraId="6C75EF00" w14:textId="77777777" w:rsidTr="00BF5C23">
        <w:tc>
          <w:tcPr>
            <w:tcW w:w="14238" w:type="dxa"/>
            <w:gridSpan w:val="5"/>
            <w:shd w:val="clear" w:color="auto" w:fill="F79646"/>
          </w:tcPr>
          <w:p w14:paraId="684CFC3F" w14:textId="77777777" w:rsidR="00A73F68" w:rsidRPr="009203EA" w:rsidRDefault="00A73F68" w:rsidP="00A73F68">
            <w:pPr>
              <w:contextualSpacing/>
              <w:rPr>
                <w:rFonts w:ascii="Calibri" w:hAnsi="Calibri"/>
                <w:b/>
                <w:sz w:val="22"/>
                <w:szCs w:val="22"/>
              </w:rPr>
            </w:pPr>
            <w:bookmarkStart w:id="17" w:name="SectionIIIIANAbudget"/>
            <w:bookmarkEnd w:id="17"/>
            <w:r>
              <w:rPr>
                <w:rFonts w:ascii="Calibri" w:hAnsi="Calibri"/>
                <w:b/>
                <w:sz w:val="22"/>
                <w:szCs w:val="22"/>
              </w:rPr>
              <w:t>Section III – Proposed Post-Transition Oversight and Accountability – IANA Budget</w:t>
            </w:r>
          </w:p>
        </w:tc>
      </w:tr>
      <w:tr w:rsidR="00A73F68" w:rsidRPr="009203EA" w14:paraId="75F15CB5" w14:textId="77777777" w:rsidTr="009B7EB6">
        <w:tc>
          <w:tcPr>
            <w:tcW w:w="675" w:type="dxa"/>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auDA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9B7EB6">
        <w:tc>
          <w:tcPr>
            <w:tcW w:w="675" w:type="dxa"/>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9B7EB6">
        <w:tc>
          <w:tcPr>
            <w:tcW w:w="675" w:type="dxa"/>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9B7EB6">
        <w:tc>
          <w:tcPr>
            <w:tcW w:w="675" w:type="dxa"/>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39D0333D" w14:textId="77777777" w:rsidR="00C74C12" w:rsidRDefault="00C74C12" w:rsidP="00495745">
            <w:pPr>
              <w:contextualSpacing/>
              <w:rPr>
                <w:rFonts w:ascii="Calibri" w:hAnsi="Calibri"/>
                <w:sz w:val="22"/>
              </w:rPr>
            </w:pPr>
          </w:p>
        </w:tc>
        <w:tc>
          <w:tcPr>
            <w:tcW w:w="5400" w:type="dxa"/>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9B7EB6">
        <w:tc>
          <w:tcPr>
            <w:tcW w:w="675" w:type="dxa"/>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
          <w:p w14:paraId="1BD9D138" w14:textId="77777777" w:rsidR="00622372" w:rsidRDefault="0062237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
          <w:p w14:paraId="30F62DED" w14:textId="77777777" w:rsidR="00622372" w:rsidRPr="00C74C12" w:rsidRDefault="00622372" w:rsidP="00C74C12">
            <w:pPr>
              <w:contextualSpacing/>
              <w:rPr>
                <w:rFonts w:ascii="Calibri" w:hAnsi="Calibri"/>
                <w:sz w:val="22"/>
              </w:rPr>
            </w:pPr>
            <w:r w:rsidRPr="00622372">
              <w:rPr>
                <w:rFonts w:ascii="Calibri" w:hAnsi="Calibri"/>
                <w:sz w:val="22"/>
              </w:rPr>
              <w:t>AmCham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9B7EB6">
        <w:tc>
          <w:tcPr>
            <w:tcW w:w="675" w:type="dxa"/>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9B7EB6">
        <w:tc>
          <w:tcPr>
            <w:tcW w:w="675" w:type="dxa"/>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9B7EB6">
        <w:tc>
          <w:tcPr>
            <w:tcW w:w="675" w:type="dxa"/>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70" w:history="1">
              <w:r w:rsidRPr="00017C49">
                <w:rPr>
                  <w:rStyle w:val="Hyperlink"/>
                  <w:rFonts w:ascii="Calibri" w:hAnsi="Calibri"/>
                  <w:b/>
                  <w:i/>
                  <w:sz w:val="22"/>
                </w:rPr>
                <w:t>http://forum.icann.org/lists/comments-cwg-stewardship-draft-proposal-22apr15/msg00017.html</w:t>
              </w:r>
            </w:hyperlink>
          </w:p>
        </w:tc>
      </w:tr>
      <w:tr w:rsidR="00E325AC" w:rsidRPr="009203EA" w14:paraId="781B3118" w14:textId="77777777" w:rsidTr="009B7EB6">
        <w:tc>
          <w:tcPr>
            <w:tcW w:w="675" w:type="dxa"/>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It is also important that the budget can ensure the community that sufficient funding is used on IANA for operational excellence, a secure and stable operation and continously development of the service.</w:t>
            </w:r>
          </w:p>
        </w:tc>
        <w:tc>
          <w:tcPr>
            <w:tcW w:w="3870" w:type="dxa"/>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9B7EB6">
        <w:tc>
          <w:tcPr>
            <w:tcW w:w="675" w:type="dxa"/>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9B7EB6">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r>
              <w:rPr>
                <w:rFonts w:ascii="Calibri" w:hAnsi="Calibri"/>
                <w:sz w:val="22"/>
              </w:rPr>
              <w:t>Suportive,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Identification of any existing IANA naming services 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within the larger ICANN organizational framework, it makes sense to create a 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transitioned to posttransition</w:t>
            </w:r>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9B7EB6">
        <w:tc>
          <w:tcPr>
            <w:tcW w:w="675" w:type="dxa"/>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
          <w:p w14:paraId="36569730" w14:textId="5A674AD7" w:rsidR="00D34EF6" w:rsidRPr="00312E81" w:rsidRDefault="00D34EF6" w:rsidP="00045257">
            <w:pPr>
              <w:contextualSpacing/>
              <w:rPr>
                <w:rFonts w:ascii="Calibri" w:hAnsi="Calibri"/>
                <w:sz w:val="22"/>
              </w:rPr>
            </w:pPr>
            <w:r>
              <w:rPr>
                <w:rFonts w:ascii="Calibri" w:hAnsi="Calibri"/>
                <w:sz w:val="22"/>
              </w:rPr>
              <w:t>Nominet</w:t>
            </w:r>
          </w:p>
        </w:tc>
        <w:tc>
          <w:tcPr>
            <w:tcW w:w="2880" w:type="dxa"/>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9B7EB6">
        <w:tc>
          <w:tcPr>
            <w:tcW w:w="675" w:type="dxa"/>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9B7EB6">
        <w:tc>
          <w:tcPr>
            <w:tcW w:w="675" w:type="dxa"/>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8B145D" w:rsidRPr="009203EA" w14:paraId="5C513152" w14:textId="77777777" w:rsidTr="00B0407B">
        <w:tc>
          <w:tcPr>
            <w:tcW w:w="14238" w:type="dxa"/>
            <w:gridSpan w:val="5"/>
            <w:shd w:val="clear" w:color="auto" w:fill="F79646"/>
          </w:tcPr>
          <w:p w14:paraId="491F9984" w14:textId="5F001AA0" w:rsidR="008B145D" w:rsidRPr="009203EA" w:rsidRDefault="008B145D" w:rsidP="008B145D">
            <w:pPr>
              <w:contextualSpacing/>
              <w:rPr>
                <w:rFonts w:ascii="Calibri" w:hAnsi="Calibri"/>
                <w:b/>
                <w:sz w:val="22"/>
                <w:szCs w:val="22"/>
              </w:rPr>
            </w:pPr>
            <w:bookmarkStart w:id="18" w:name="SectionIIIRegulatory"/>
            <w:bookmarkEnd w:id="18"/>
            <w:r>
              <w:rPr>
                <w:rFonts w:ascii="Calibri" w:hAnsi="Calibri"/>
                <w:b/>
                <w:sz w:val="22"/>
                <w:szCs w:val="22"/>
              </w:rPr>
              <w:t>Section III – Proposed Post-Transition Oversight and Accountability – Regulatory Obligations</w:t>
            </w:r>
          </w:p>
        </w:tc>
      </w:tr>
      <w:tr w:rsidR="008B145D" w:rsidRPr="009203EA" w14:paraId="4ED286CB" w14:textId="77777777" w:rsidTr="00B0407B">
        <w:tc>
          <w:tcPr>
            <w:tcW w:w="675" w:type="dxa"/>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943EDA" w:rsidRPr="009203EA" w14:paraId="0F986B35" w14:textId="77777777" w:rsidTr="00B0407B">
        <w:tc>
          <w:tcPr>
            <w:tcW w:w="14238" w:type="dxa"/>
            <w:gridSpan w:val="5"/>
            <w:shd w:val="clear" w:color="auto" w:fill="F79646"/>
          </w:tcPr>
          <w:p w14:paraId="54AD18AC" w14:textId="5C110B8D" w:rsidR="00943EDA" w:rsidRPr="009203EA" w:rsidRDefault="00943EDA" w:rsidP="00943EDA">
            <w:pPr>
              <w:contextualSpacing/>
              <w:rPr>
                <w:rFonts w:ascii="Calibri" w:hAnsi="Calibri"/>
                <w:b/>
                <w:sz w:val="22"/>
                <w:szCs w:val="22"/>
              </w:rPr>
            </w:pPr>
            <w:bookmarkStart w:id="19" w:name="SectionIIIimplications"/>
            <w:bookmarkEnd w:id="19"/>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B0407B">
        <w:tc>
          <w:tcPr>
            <w:tcW w:w="675" w:type="dxa"/>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B0407B">
        <w:tc>
          <w:tcPr>
            <w:tcW w:w="675" w:type="dxa"/>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
          <w:p w14:paraId="5444E67E" w14:textId="77777777" w:rsidR="004708E0" w:rsidRPr="006C7CAE" w:rsidRDefault="004708E0" w:rsidP="004708E0">
            <w:pPr>
              <w:pStyle w:val="normal0"/>
              <w:contextualSpacing w:val="0"/>
              <w:rPr>
                <w:sz w:val="22"/>
                <w:szCs w:val="22"/>
              </w:rPr>
            </w:pPr>
            <w:r w:rsidRPr="006C7CAE">
              <w:rPr>
                <w:rFonts w:ascii="Calibri" w:eastAsia="Calibri" w:hAnsi="Calibri" w:cs="Calibri"/>
                <w:sz w:val="22"/>
                <w:szCs w:val="22"/>
              </w:rPr>
              <w:t>The single sentence in the proposal is far from adequate nor does it reflect the importance that many of the stakeholders in ICANN’s community and outside have bestowed on this principle.</w:t>
            </w:r>
          </w:p>
          <w:p w14:paraId="724B5034" w14:textId="77777777" w:rsidR="004708E0" w:rsidRPr="006C7CAE" w:rsidRDefault="004708E0" w:rsidP="004708E0">
            <w:pPr>
              <w:pStyle w:val="normal0"/>
              <w:contextualSpacing w:val="0"/>
              <w:rPr>
                <w:sz w:val="22"/>
                <w:szCs w:val="22"/>
              </w:rPr>
            </w:pPr>
          </w:p>
          <w:p w14:paraId="587F8DA5" w14:textId="4784A155" w:rsidR="004708E0" w:rsidRPr="004708E0" w:rsidRDefault="004708E0" w:rsidP="004708E0">
            <w:pPr>
              <w:pStyle w:val="normal0"/>
              <w:contextualSpacing w:val="0"/>
              <w:rPr>
                <w:sz w:val="22"/>
                <w:szCs w:val="22"/>
              </w:rPr>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BF5C23">
        <w:tc>
          <w:tcPr>
            <w:tcW w:w="14238" w:type="dxa"/>
            <w:gridSpan w:val="5"/>
            <w:shd w:val="clear" w:color="auto" w:fill="F79646"/>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20" w:name="SectionIVtransitionimplications"/>
            <w:bookmarkEnd w:id="20"/>
            <w:r>
              <w:rPr>
                <w:rFonts w:ascii="Calibri" w:hAnsi="Calibri"/>
                <w:b/>
                <w:sz w:val="22"/>
                <w:szCs w:val="22"/>
              </w:rPr>
              <w:t xml:space="preserve"> Transition Implications</w:t>
            </w:r>
          </w:p>
        </w:tc>
      </w:tr>
      <w:tr w:rsidR="000F376E" w:rsidRPr="009203EA" w14:paraId="6C40CD91" w14:textId="77777777" w:rsidTr="009B7EB6">
        <w:tc>
          <w:tcPr>
            <w:tcW w:w="675" w:type="dxa"/>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AF401E5" w:rsidR="00B0407B" w:rsidRPr="009203EA" w:rsidRDefault="00B0407B" w:rsidP="00886303">
            <w:pPr>
              <w:contextualSpacing/>
              <w:rPr>
                <w:rFonts w:ascii="Calibri" w:hAnsi="Calibri"/>
                <w:b/>
                <w:sz w:val="22"/>
              </w:rPr>
            </w:pPr>
            <w:r w:rsidRPr="00B0407B">
              <w:rPr>
                <w:rFonts w:ascii="Calibri" w:hAnsi="Calibri"/>
                <w:b/>
                <w:i/>
                <w:sz w:val="22"/>
                <w:highlight w:val="cyan"/>
              </w:rPr>
              <w:t>Action: CWG-Stewardship to consider suggestions in relation to section IV</w:t>
            </w:r>
          </w:p>
        </w:tc>
      </w:tr>
      <w:tr w:rsidR="000F376E" w:rsidRPr="009203EA" w14:paraId="0D9FD564" w14:textId="77777777" w:rsidTr="009B7EB6">
        <w:tc>
          <w:tcPr>
            <w:tcW w:w="675" w:type="dxa"/>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
          <w:p w14:paraId="67EFAD11" w14:textId="77777777" w:rsidR="000F376E" w:rsidRPr="001D5EB5" w:rsidRDefault="000F376E" w:rsidP="00886303">
            <w:pPr>
              <w:pStyle w:val="ListParagraph"/>
              <w:ind w:left="0"/>
              <w:rPr>
                <w:rFonts w:ascii="Calibri" w:eastAsia="Times New Roman" w:hAnsi="Calibri"/>
                <w:color w:val="000000"/>
                <w:sz w:val="22"/>
                <w:szCs w:val="22"/>
              </w:rPr>
            </w:pPr>
          </w:p>
        </w:tc>
        <w:tc>
          <w:tcPr>
            <w:tcW w:w="2880" w:type="dxa"/>
          </w:tcPr>
          <w:p w14:paraId="70CF5052" w14:textId="77777777" w:rsidR="000F376E" w:rsidRDefault="000F376E" w:rsidP="00886303">
            <w:pPr>
              <w:contextualSpacing/>
              <w:rPr>
                <w:rFonts w:ascii="Calibri" w:hAnsi="Calibri"/>
                <w:sz w:val="22"/>
              </w:rPr>
            </w:pPr>
          </w:p>
        </w:tc>
        <w:tc>
          <w:tcPr>
            <w:tcW w:w="5400" w:type="dxa"/>
          </w:tcPr>
          <w:p w14:paraId="5C495040" w14:textId="77777777" w:rsidR="000F376E" w:rsidRPr="009203EA" w:rsidRDefault="000F376E" w:rsidP="00886303">
            <w:pPr>
              <w:contextualSpacing/>
              <w:rPr>
                <w:rFonts w:ascii="Calibri" w:hAnsi="Calibri"/>
                <w:sz w:val="22"/>
              </w:rPr>
            </w:pPr>
          </w:p>
        </w:tc>
        <w:tc>
          <w:tcPr>
            <w:tcW w:w="3870" w:type="dxa"/>
          </w:tcPr>
          <w:p w14:paraId="039887D6" w14:textId="77777777" w:rsidR="000F376E" w:rsidRPr="009203EA" w:rsidRDefault="000F376E" w:rsidP="00886303">
            <w:pPr>
              <w:contextualSpacing/>
              <w:rPr>
                <w:rFonts w:ascii="Calibri" w:hAnsi="Calibri"/>
                <w:b/>
                <w:sz w:val="22"/>
              </w:rPr>
            </w:pPr>
          </w:p>
        </w:tc>
      </w:tr>
      <w:tr w:rsidR="00E52EDA" w:rsidRPr="009203EA" w14:paraId="2FCAEB4D" w14:textId="77777777" w:rsidTr="00BF5C23">
        <w:tc>
          <w:tcPr>
            <w:tcW w:w="14238" w:type="dxa"/>
            <w:gridSpan w:val="5"/>
            <w:shd w:val="clear" w:color="auto" w:fill="F79646"/>
          </w:tcPr>
          <w:p w14:paraId="47CA1D18" w14:textId="77777777" w:rsidR="00E52EDA" w:rsidRPr="009203EA" w:rsidRDefault="00E52EDA" w:rsidP="00886303">
            <w:pPr>
              <w:contextualSpacing/>
              <w:rPr>
                <w:rFonts w:ascii="Calibri" w:hAnsi="Calibri"/>
                <w:b/>
                <w:sz w:val="22"/>
                <w:szCs w:val="22"/>
              </w:rPr>
            </w:pPr>
            <w:bookmarkStart w:id="21" w:name="SectionVNTIArequirements"/>
            <w:bookmarkEnd w:id="21"/>
            <w:r>
              <w:rPr>
                <w:rFonts w:ascii="Calibri" w:hAnsi="Calibri"/>
                <w:b/>
                <w:sz w:val="22"/>
                <w:szCs w:val="22"/>
              </w:rPr>
              <w:t>Section V – NTIA Requirements</w:t>
            </w:r>
          </w:p>
        </w:tc>
      </w:tr>
      <w:tr w:rsidR="000F376E" w:rsidRPr="009203EA" w14:paraId="75ACBE7C" w14:textId="77777777" w:rsidTr="009B7EB6">
        <w:tc>
          <w:tcPr>
            <w:tcW w:w="675" w:type="dxa"/>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B7EB6">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77777777" w:rsidR="000F376E" w:rsidRDefault="000F376E" w:rsidP="00886303">
            <w:pPr>
              <w:contextualSpacing/>
              <w:rPr>
                <w:rFonts w:ascii="Calibri" w:hAnsi="Calibri"/>
                <w:sz w:val="22"/>
              </w:rPr>
            </w:pPr>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E52EDA" w:rsidRPr="009203EA" w14:paraId="7632E4DC" w14:textId="77777777" w:rsidTr="00BF5C23">
        <w:tc>
          <w:tcPr>
            <w:tcW w:w="14238" w:type="dxa"/>
            <w:gridSpan w:val="5"/>
            <w:shd w:val="clear" w:color="auto" w:fill="F79646"/>
          </w:tcPr>
          <w:p w14:paraId="514F9C7A" w14:textId="77777777" w:rsidR="00E52EDA" w:rsidRPr="009203EA" w:rsidRDefault="00E52EDA" w:rsidP="0037197A">
            <w:pPr>
              <w:contextualSpacing/>
              <w:rPr>
                <w:rFonts w:ascii="Calibri" w:hAnsi="Calibri"/>
                <w:b/>
                <w:sz w:val="22"/>
                <w:szCs w:val="22"/>
              </w:rPr>
            </w:pPr>
            <w:bookmarkStart w:id="22" w:name="SectionVIcommunityprocess"/>
            <w:bookmarkEnd w:id="22"/>
            <w:r>
              <w:rPr>
                <w:rFonts w:ascii="Calibri" w:hAnsi="Calibri"/>
                <w:b/>
                <w:sz w:val="22"/>
                <w:szCs w:val="22"/>
              </w:rPr>
              <w:t>Section VI – Community Process</w:t>
            </w:r>
          </w:p>
        </w:tc>
      </w:tr>
      <w:tr w:rsidR="000F376E" w:rsidRPr="009203EA" w14:paraId="79C7C06A" w14:textId="77777777" w:rsidTr="009B7EB6">
        <w:tc>
          <w:tcPr>
            <w:tcW w:w="675" w:type="dxa"/>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We recognise that this section of the proposal will be completed toward the end of the process and hence reserve our comments until that happens.</w:t>
            </w:r>
          </w:p>
        </w:tc>
        <w:tc>
          <w:tcPr>
            <w:tcW w:w="3870" w:type="dxa"/>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9B7EB6">
        <w:tc>
          <w:tcPr>
            <w:tcW w:w="675" w:type="dxa"/>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E52EDA" w:rsidRPr="009203EA" w14:paraId="7A311652" w14:textId="77777777" w:rsidTr="00BF5C23">
        <w:tc>
          <w:tcPr>
            <w:tcW w:w="14238" w:type="dxa"/>
            <w:gridSpan w:val="5"/>
            <w:shd w:val="clear" w:color="auto" w:fill="F79646"/>
          </w:tcPr>
          <w:p w14:paraId="481F7750" w14:textId="77777777" w:rsidR="00E52EDA" w:rsidRPr="009203EA" w:rsidRDefault="00E52EDA" w:rsidP="005E18FD">
            <w:pPr>
              <w:contextualSpacing/>
              <w:rPr>
                <w:rFonts w:ascii="Calibri" w:hAnsi="Calibri"/>
                <w:b/>
                <w:sz w:val="22"/>
                <w:szCs w:val="22"/>
              </w:rPr>
            </w:pPr>
            <w:bookmarkStart w:id="23" w:name="Annexes"/>
            <w:bookmarkEnd w:id="23"/>
            <w:r>
              <w:rPr>
                <w:rFonts w:ascii="Calibri" w:hAnsi="Calibri"/>
                <w:b/>
                <w:sz w:val="22"/>
                <w:szCs w:val="22"/>
              </w:rPr>
              <w:t>Annex C – Principles and Criteria</w:t>
            </w:r>
          </w:p>
        </w:tc>
      </w:tr>
      <w:tr w:rsidR="000F376E" w:rsidRPr="009203EA" w14:paraId="541EEEBE" w14:textId="77777777" w:rsidTr="009B7EB6">
        <w:tc>
          <w:tcPr>
            <w:tcW w:w="675" w:type="dxa"/>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that, be incorporated/registered/resident in an a neutral jurisdiction, such</w:t>
            </w:r>
            <w:r w:rsidR="00260BF3">
              <w:rPr>
                <w:rFonts w:ascii="Calibri" w:hAnsi="Calibri"/>
                <w:sz w:val="22"/>
              </w:rPr>
              <w:t xml:space="preserve"> </w:t>
            </w:r>
            <w:r w:rsidRPr="00265E84">
              <w:rPr>
                <w:rFonts w:ascii="Calibri" w:hAnsi="Calibri"/>
                <w:sz w:val="22"/>
              </w:rPr>
              <w:t>as Switzerland.</w:t>
            </w:r>
          </w:p>
        </w:tc>
        <w:tc>
          <w:tcPr>
            <w:tcW w:w="3870" w:type="dxa"/>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9B7EB6">
        <w:tc>
          <w:tcPr>
            <w:tcW w:w="675" w:type="dxa"/>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“be appealed by significantly interested parties. Furthermore they must give adequate guarantees of independence through uncostly procedures”.</w:t>
            </w:r>
          </w:p>
        </w:tc>
        <w:tc>
          <w:tcPr>
            <w:tcW w:w="3870" w:type="dxa"/>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9B7EB6">
        <w:tc>
          <w:tcPr>
            <w:tcW w:w="675" w:type="dxa"/>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E52EDA" w:rsidRPr="009203EA" w14:paraId="5E225117" w14:textId="77777777" w:rsidTr="00BF5C23">
        <w:tc>
          <w:tcPr>
            <w:tcW w:w="14238" w:type="dxa"/>
            <w:gridSpan w:val="5"/>
            <w:shd w:val="clear" w:color="auto" w:fill="F79646"/>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9B7EB6">
        <w:tc>
          <w:tcPr>
            <w:tcW w:w="675" w:type="dxa"/>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9B7EB6">
        <w:tc>
          <w:tcPr>
            <w:tcW w:w="675" w:type="dxa"/>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
          <w:p w14:paraId="4B1AA2AB" w14:textId="77777777" w:rsidR="00551E9F" w:rsidRPr="001D5EB5" w:rsidRDefault="00551E9F" w:rsidP="0037197A">
            <w:pPr>
              <w:pStyle w:val="ListParagraph"/>
              <w:ind w:left="0"/>
              <w:rPr>
                <w:rFonts w:ascii="Calibri" w:eastAsia="Times New Roman" w:hAnsi="Calibri"/>
                <w:color w:val="000000"/>
                <w:sz w:val="22"/>
                <w:szCs w:val="22"/>
              </w:rPr>
            </w:pPr>
          </w:p>
        </w:tc>
        <w:tc>
          <w:tcPr>
            <w:tcW w:w="2880" w:type="dxa"/>
          </w:tcPr>
          <w:p w14:paraId="57DF5B74" w14:textId="77777777" w:rsidR="00551E9F" w:rsidRDefault="00551E9F" w:rsidP="0037197A">
            <w:pPr>
              <w:contextualSpacing/>
              <w:rPr>
                <w:rFonts w:ascii="Calibri" w:hAnsi="Calibri"/>
                <w:sz w:val="22"/>
              </w:rPr>
            </w:pPr>
          </w:p>
        </w:tc>
        <w:tc>
          <w:tcPr>
            <w:tcW w:w="5400" w:type="dxa"/>
          </w:tcPr>
          <w:p w14:paraId="2EC4491C" w14:textId="77777777" w:rsidR="00551E9F" w:rsidRPr="009203EA" w:rsidRDefault="00551E9F" w:rsidP="0037197A">
            <w:pPr>
              <w:contextualSpacing/>
              <w:rPr>
                <w:rFonts w:ascii="Calibri" w:hAnsi="Calibri"/>
                <w:sz w:val="22"/>
              </w:rPr>
            </w:pPr>
          </w:p>
        </w:tc>
        <w:tc>
          <w:tcPr>
            <w:tcW w:w="3870" w:type="dxa"/>
          </w:tcPr>
          <w:p w14:paraId="3B357417" w14:textId="77777777" w:rsidR="00551E9F" w:rsidRPr="009203EA" w:rsidRDefault="00551E9F" w:rsidP="0037197A">
            <w:pPr>
              <w:contextualSpacing/>
              <w:rPr>
                <w:rFonts w:ascii="Calibri" w:hAnsi="Calibri"/>
                <w:b/>
                <w:sz w:val="22"/>
              </w:rPr>
            </w:pPr>
          </w:p>
        </w:tc>
      </w:tr>
      <w:tr w:rsidR="00E52EDA" w:rsidRPr="009203EA" w14:paraId="07EB7A65" w14:textId="77777777" w:rsidTr="00BF5C23">
        <w:tc>
          <w:tcPr>
            <w:tcW w:w="14238" w:type="dxa"/>
            <w:gridSpan w:val="5"/>
            <w:shd w:val="clear" w:color="auto" w:fill="F79646"/>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9B7EB6">
        <w:tc>
          <w:tcPr>
            <w:tcW w:w="675" w:type="dxa"/>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9B7EB6">
        <w:tc>
          <w:tcPr>
            <w:tcW w:w="675" w:type="dxa"/>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9B7EB6">
        <w:tc>
          <w:tcPr>
            <w:tcW w:w="675" w:type="dxa"/>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ＭＳ 明朝" w:hAnsi="Calibri" w:cs="Times New Roman"/>
                <w:sz w:val="22"/>
                <w:szCs w:val="24"/>
              </w:rPr>
            </w:pPr>
            <w:r w:rsidRPr="00D34EF6">
              <w:rPr>
                <w:rFonts w:ascii="Calibri" w:eastAsia="ＭＳ 明朝" w:hAnsi="Calibri" w:cs="Times New Roman"/>
                <w:sz w:val="22"/>
                <w:szCs w:val="24"/>
              </w:rPr>
              <w:t>An alternative, if it is important to keep membership to 12,</w:t>
            </w:r>
            <w:r>
              <w:rPr>
                <w:rFonts w:ascii="Calibri" w:eastAsia="ＭＳ 明朝" w:hAnsi="Calibri" w:cs="Times New Roman"/>
                <w:sz w:val="22"/>
                <w:szCs w:val="24"/>
              </w:rPr>
              <w:t xml:space="preserve"> </w:t>
            </w:r>
            <w:r w:rsidRPr="00D34EF6">
              <w:rPr>
                <w:rFonts w:ascii="Calibri" w:eastAsia="ＭＳ 明朝"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915121" w:rsidRPr="009203EA" w14:paraId="4175B7E3" w14:textId="77777777" w:rsidTr="00915121">
        <w:tc>
          <w:tcPr>
            <w:tcW w:w="14238" w:type="dxa"/>
            <w:gridSpan w:val="5"/>
            <w:shd w:val="clear" w:color="auto" w:fill="F79646"/>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9B7EB6">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77777777" w:rsidR="00551E9F" w:rsidRDefault="00551E9F" w:rsidP="0037197A">
            <w:pPr>
              <w:contextualSpacing/>
              <w:rPr>
                <w:rFonts w:ascii="Calibri" w:hAnsi="Calibri"/>
                <w:sz w:val="22"/>
              </w:rPr>
            </w:pPr>
          </w:p>
        </w:tc>
        <w:tc>
          <w:tcPr>
            <w:tcW w:w="5400" w:type="dxa"/>
          </w:tcPr>
          <w:p w14:paraId="59DC37D6" w14:textId="77777777" w:rsidR="00915121" w:rsidRPr="00404AB3" w:rsidRDefault="00915121" w:rsidP="00915121">
            <w:pPr>
              <w:contextualSpacing/>
              <w:rPr>
                <w:rFonts w:ascii="Calibri" w:hAnsi="Calibri"/>
                <w:sz w:val="22"/>
              </w:rPr>
            </w:pPr>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Transition IANA structure. Its ownership should also thoroughly reflect the multi-stakeholder 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r w:rsidRPr="00404AB3">
              <w:rPr>
                <w:rFonts w:ascii="Calibri" w:hAnsi="Calibri"/>
                <w:sz w:val="22"/>
              </w:rPr>
              <w:t>interference,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4F02B7EC"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Multi-Stakeholder IANA Function Review should form a sort of supervisory role over</w:t>
            </w:r>
            <w:r w:rsidR="00404AB3">
              <w:rPr>
                <w:rFonts w:ascii="Calibri" w:hAnsi="Calibri"/>
                <w:sz w:val="22"/>
              </w:rPr>
              <w:t xml:space="preserve"> </w:t>
            </w:r>
            <w:r w:rsidRPr="00404AB3">
              <w:rPr>
                <w:rFonts w:ascii="Calibri" w:hAnsi="Calibri"/>
                <w:sz w:val="22"/>
              </w:rPr>
              <w:t>the CSC.</w:t>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9B7EB6">
        <w:tc>
          <w:tcPr>
            <w:tcW w:w="675" w:type="dxa"/>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9B7EB6">
        <w:tc>
          <w:tcPr>
            <w:tcW w:w="675" w:type="dxa"/>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a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3C538ABC"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p>
        </w:tc>
        <w:tc>
          <w:tcPr>
            <w:tcW w:w="3870" w:type="dxa"/>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3D7BFD" w:rsidRPr="009203EA" w14:paraId="6C8945D6" w14:textId="77777777" w:rsidTr="003D7BFD">
        <w:tc>
          <w:tcPr>
            <w:tcW w:w="14238" w:type="dxa"/>
            <w:gridSpan w:val="5"/>
            <w:shd w:val="clear" w:color="auto" w:fill="F79646"/>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3D7BFD">
        <w:tc>
          <w:tcPr>
            <w:tcW w:w="675" w:type="dxa"/>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3D7BFD">
        <w:tc>
          <w:tcPr>
            <w:tcW w:w="14238" w:type="dxa"/>
            <w:gridSpan w:val="5"/>
            <w:shd w:val="clear" w:color="auto" w:fill="F79646"/>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3D7BFD">
        <w:tc>
          <w:tcPr>
            <w:tcW w:w="675" w:type="dxa"/>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3D7BFD">
        <w:tc>
          <w:tcPr>
            <w:tcW w:w="14238" w:type="dxa"/>
            <w:gridSpan w:val="5"/>
            <w:shd w:val="clear" w:color="auto" w:fill="F79646"/>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3D7BFD">
        <w:tc>
          <w:tcPr>
            <w:tcW w:w="675" w:type="dxa"/>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5B4C29">
        <w:tc>
          <w:tcPr>
            <w:tcW w:w="14238" w:type="dxa"/>
            <w:gridSpan w:val="5"/>
            <w:shd w:val="clear" w:color="auto" w:fill="F79646"/>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5B4C29">
        <w:tc>
          <w:tcPr>
            <w:tcW w:w="675" w:type="dxa"/>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ICANN (and hence out of the general oversight structure of !CANN.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492643" w:rsidRPr="009203EA" w14:paraId="1E4845E1" w14:textId="77777777" w:rsidTr="00492643">
        <w:tc>
          <w:tcPr>
            <w:tcW w:w="14238" w:type="dxa"/>
            <w:gridSpan w:val="5"/>
            <w:shd w:val="clear" w:color="auto" w:fill="F79646"/>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492643">
        <w:tc>
          <w:tcPr>
            <w:tcW w:w="675" w:type="dxa"/>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
          <w:p w14:paraId="110AF6D0" w14:textId="517F57E0" w:rsidR="00492643" w:rsidRPr="00492643" w:rsidRDefault="00492643" w:rsidP="00492643">
            <w:pPr>
              <w:pStyle w:val="normal0"/>
              <w:contextualSpacing w:val="0"/>
              <w:rPr>
                <w:sz w:val="22"/>
                <w:szCs w:val="22"/>
              </w:rPr>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3D7BFD">
        <w:tc>
          <w:tcPr>
            <w:tcW w:w="14238" w:type="dxa"/>
            <w:gridSpan w:val="5"/>
            <w:shd w:val="clear" w:color="auto" w:fill="F79646"/>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3D7BFD">
        <w:tc>
          <w:tcPr>
            <w:tcW w:w="675" w:type="dxa"/>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BF5C23">
        <w:tc>
          <w:tcPr>
            <w:tcW w:w="14238" w:type="dxa"/>
            <w:gridSpan w:val="5"/>
            <w:shd w:val="clear" w:color="auto" w:fill="F79646"/>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t>Other Comments</w:t>
            </w:r>
          </w:p>
        </w:tc>
      </w:tr>
      <w:tr w:rsidR="00551E9F" w:rsidRPr="009203EA" w14:paraId="0D7D0111" w14:textId="77777777" w:rsidTr="009B7EB6">
        <w:tc>
          <w:tcPr>
            <w:tcW w:w="675" w:type="dxa"/>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9B7EB6">
        <w:tc>
          <w:tcPr>
            <w:tcW w:w="675" w:type="dxa"/>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9B7EB6">
        <w:tc>
          <w:tcPr>
            <w:tcW w:w="675" w:type="dxa"/>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hyperlink r:id="rId71" w:history="1">
              <w:r w:rsidR="0095420C" w:rsidRPr="00017C49">
                <w:rPr>
                  <w:rStyle w:val="Hyperlink"/>
                  <w:rFonts w:ascii="Calibri" w:hAnsi="Calibri"/>
                  <w:b/>
                  <w:i/>
                  <w:sz w:val="22"/>
                </w:rPr>
                <w:t>https://community.icann.org/x/37fhAg</w:t>
              </w:r>
            </w:hyperlink>
          </w:p>
        </w:tc>
      </w:tr>
      <w:tr w:rsidR="007C21FD" w:rsidRPr="009203EA" w14:paraId="5B449771" w14:textId="77777777" w:rsidTr="009B7EB6">
        <w:tc>
          <w:tcPr>
            <w:tcW w:w="675" w:type="dxa"/>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9B7EB6">
        <w:tc>
          <w:tcPr>
            <w:tcW w:w="675" w:type="dxa"/>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9B7EB6">
        <w:tc>
          <w:tcPr>
            <w:tcW w:w="675" w:type="dxa"/>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hyperlink r:id="rId72" w:history="1">
              <w:r w:rsidR="00B654FC" w:rsidRPr="00A969A1">
                <w:rPr>
                  <w:rStyle w:val="Hyperlink"/>
                  <w:rFonts w:ascii="Calibri" w:hAnsi="Calibri"/>
                  <w:b/>
                  <w:i/>
                  <w:sz w:val="22"/>
                </w:rPr>
                <w:t>https://www.ianacg.org/</w:t>
              </w:r>
            </w:hyperlink>
            <w:r w:rsidR="00B654FC">
              <w:rPr>
                <w:rFonts w:ascii="Calibri" w:hAnsi="Calibri"/>
                <w:b/>
                <w:i/>
                <w:sz w:val="22"/>
              </w:rPr>
              <w:t xml:space="preserve"> for further details.</w:t>
            </w:r>
          </w:p>
        </w:tc>
      </w:tr>
      <w:tr w:rsidR="00560815" w:rsidRPr="009203EA" w14:paraId="46E6AF94" w14:textId="77777777" w:rsidTr="009B7EB6">
        <w:tc>
          <w:tcPr>
            <w:tcW w:w="675" w:type="dxa"/>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
          <w:p w14:paraId="40691250" w14:textId="3561002A" w:rsidR="00560815" w:rsidRPr="00394EDE" w:rsidRDefault="00560815" w:rsidP="00394EDE">
            <w:pPr>
              <w:pStyle w:val="ListParagraph"/>
              <w:ind w:left="0"/>
              <w:rPr>
                <w:rFonts w:ascii="Calibri" w:hAnsi="Calibri"/>
                <w:sz w:val="22"/>
              </w:rPr>
            </w:pPr>
            <w:r>
              <w:rPr>
                <w:rFonts w:ascii="Calibri" w:hAnsi="Calibri"/>
                <w:sz w:val="22"/>
              </w:rPr>
              <w:t>Eberhard Lisse</w:t>
            </w:r>
          </w:p>
        </w:tc>
        <w:tc>
          <w:tcPr>
            <w:tcW w:w="2880" w:type="dxa"/>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9B7EB6">
        <w:tc>
          <w:tcPr>
            <w:tcW w:w="675" w:type="dxa"/>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
          <w:p w14:paraId="68B4F681" w14:textId="094AE818"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9B7EB6">
        <w:tc>
          <w:tcPr>
            <w:tcW w:w="675" w:type="dxa"/>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
          <w:p w14:paraId="31689C0D" w14:textId="57121636"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be corrected in the next iterations.   </w:t>
            </w:r>
          </w:p>
        </w:tc>
        <w:tc>
          <w:tcPr>
            <w:tcW w:w="3870" w:type="dxa"/>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9B7EB6">
        <w:tc>
          <w:tcPr>
            <w:tcW w:w="675" w:type="dxa"/>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73" w:history="1">
              <w:r w:rsidRPr="00A969A1">
                <w:rPr>
                  <w:rStyle w:val="Hyperlink"/>
                  <w:rFonts w:ascii="Calibri" w:hAnsi="Calibri"/>
                  <w:b/>
                  <w:i/>
                  <w:sz w:val="22"/>
                </w:rPr>
                <w:t>https://www.ianacg.org/</w:t>
              </w:r>
            </w:hyperlink>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9B7EB6">
        <w:tc>
          <w:tcPr>
            <w:tcW w:w="675" w:type="dxa"/>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0FE2F5C2" w14:textId="77777777" w:rsidR="004A6D8B" w:rsidRDefault="004A6D8B" w:rsidP="00394EDE">
            <w:pPr>
              <w:pStyle w:val="ListParagraph"/>
              <w:ind w:left="0"/>
              <w:rPr>
                <w:rFonts w:ascii="Calibri" w:hAnsi="Calibri"/>
                <w:sz w:val="22"/>
              </w:rPr>
            </w:pPr>
          </w:p>
        </w:tc>
        <w:tc>
          <w:tcPr>
            <w:tcW w:w="2880" w:type="dxa"/>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the risk of forumshopping</w:t>
            </w:r>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flaw in the process; rather,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7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4F7A2E" w:rsidRPr="009203EA" w14:paraId="5FDD0CD0" w14:textId="77777777" w:rsidTr="009B7EB6">
        <w:tc>
          <w:tcPr>
            <w:tcW w:w="675" w:type="dxa"/>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
          <w:p w14:paraId="74A66197" w14:textId="3E417F00" w:rsidR="004F7A2E" w:rsidRPr="00312E81" w:rsidRDefault="004F7A2E" w:rsidP="004A6D8B">
            <w:pPr>
              <w:contextualSpacing/>
              <w:rPr>
                <w:rFonts w:ascii="Calibri" w:hAnsi="Calibri"/>
                <w:sz w:val="22"/>
              </w:rPr>
            </w:pPr>
            <w:r>
              <w:rPr>
                <w:rFonts w:ascii="Calibri" w:hAnsi="Calibri"/>
                <w:sz w:val="22"/>
              </w:rPr>
              <w:t>Nominet</w:t>
            </w:r>
          </w:p>
        </w:tc>
        <w:tc>
          <w:tcPr>
            <w:tcW w:w="2880" w:type="dxa"/>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recognising that decisions should be closely focussed on the effective operation of theIANA    functions service.</w:t>
            </w:r>
          </w:p>
        </w:tc>
        <w:tc>
          <w:tcPr>
            <w:tcW w:w="3870" w:type="dxa"/>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9B7EB6">
        <w:tc>
          <w:tcPr>
            <w:tcW w:w="675" w:type="dxa"/>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In order to make the proposal for the IANA stewardship transition acceptable to the NTIA a clear schedule for the implementation is needed to be included. This schedule is to be coordinated with the other operational communities (CRISP, IANAPLAN) as well as with the CCWGaccountability</w:t>
            </w:r>
          </w:p>
        </w:tc>
        <w:tc>
          <w:tcPr>
            <w:tcW w:w="3870" w:type="dxa"/>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9B7EB6">
        <w:tc>
          <w:tcPr>
            <w:tcW w:w="675" w:type="dxa"/>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9B7EB6">
        <w:tc>
          <w:tcPr>
            <w:tcW w:w="675" w:type="dxa"/>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9B7EB6">
        <w:tc>
          <w:tcPr>
            <w:tcW w:w="675" w:type="dxa"/>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9B7EB6">
        <w:tc>
          <w:tcPr>
            <w:tcW w:w="675" w:type="dxa"/>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9B7EB6">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processes2 ,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a solid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9B7EB6">
        <w:tc>
          <w:tcPr>
            <w:tcW w:w="675" w:type="dxa"/>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
          <w:p w14:paraId="1A63D84C" w14:textId="4FF4744B" w:rsidR="0032013C" w:rsidRDefault="0032013C" w:rsidP="004A6D8B">
            <w:pPr>
              <w:contextualSpacing/>
              <w:rPr>
                <w:rFonts w:ascii="Calibri" w:hAnsi="Calibri"/>
                <w:sz w:val="22"/>
              </w:rPr>
            </w:pPr>
            <w:r>
              <w:rPr>
                <w:rFonts w:ascii="Calibri" w:hAnsi="Calibri"/>
                <w:sz w:val="22"/>
              </w:rPr>
              <w:t>Julie Cong ZHU</w:t>
            </w:r>
          </w:p>
        </w:tc>
        <w:tc>
          <w:tcPr>
            <w:tcW w:w="2880" w:type="dxa"/>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75" w:history="1">
              <w:r w:rsidRPr="00A969A1">
                <w:rPr>
                  <w:rStyle w:val="Hyperlink"/>
                  <w:rFonts w:ascii="Calibri" w:hAnsi="Calibri"/>
                  <w:b/>
                  <w:i/>
                  <w:sz w:val="22"/>
                </w:rPr>
                <w:t>https://www.ianacg.org/</w:t>
              </w:r>
            </w:hyperlink>
            <w:r>
              <w:rPr>
                <w:rFonts w:ascii="Calibri" w:hAnsi="Calibri"/>
                <w:b/>
                <w:i/>
                <w:sz w:val="22"/>
              </w:rPr>
              <w:t xml:space="preserve"> for further details.  </w:t>
            </w:r>
          </w:p>
        </w:tc>
      </w:tr>
    </w:tbl>
    <w:p w14:paraId="6A5619A1" w14:textId="77777777" w:rsidR="00180C4F" w:rsidRDefault="00180C4F"/>
    <w:sectPr w:rsidR="00180C4F" w:rsidSect="009203EA">
      <w:footerReference w:type="even" r:id="rId76"/>
      <w:footerReference w:type="default" r:id="rId77"/>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97CAA" w14:textId="77777777" w:rsidR="00CB1A11" w:rsidRDefault="00CB1A11" w:rsidP="0065077C">
      <w:r>
        <w:separator/>
      </w:r>
    </w:p>
  </w:endnote>
  <w:endnote w:type="continuationSeparator" w:id="0">
    <w:p w14:paraId="4744A7D1" w14:textId="77777777" w:rsidR="00CB1A11" w:rsidRDefault="00CB1A11" w:rsidP="0065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宋体">
    <w:charset w:val="50"/>
    <w:family w:val="auto"/>
    <w:pitch w:val="variable"/>
    <w:sig w:usb0="00000003" w:usb1="288F0000" w:usb2="00000016" w:usb3="00000000" w:csb0="00040001" w:csb1="00000000"/>
  </w:font>
  <w:font w:name="Calibri-Light">
    <w:altName w:val="Calibri Light"/>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CB1A11" w:rsidRDefault="00CB1A1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CB1A11" w:rsidRDefault="00CB1A1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CB1A11" w:rsidRPr="001B09B2" w:rsidRDefault="00CB1A1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B82610">
      <w:rPr>
        <w:rStyle w:val="PageNumber"/>
        <w:rFonts w:ascii="Calibri" w:hAnsi="Calibri"/>
        <w:noProof/>
        <w:sz w:val="18"/>
        <w:szCs w:val="18"/>
      </w:rPr>
      <w:t>1</w:t>
    </w:r>
    <w:r w:rsidRPr="001B09B2">
      <w:rPr>
        <w:rStyle w:val="PageNumber"/>
        <w:rFonts w:ascii="Calibri" w:hAnsi="Calibri"/>
        <w:sz w:val="18"/>
        <w:szCs w:val="18"/>
      </w:rPr>
      <w:fldChar w:fldCharType="end"/>
    </w:r>
  </w:p>
  <w:p w14:paraId="691C732B" w14:textId="77777777" w:rsidR="00CB1A11" w:rsidRDefault="00CB1A1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4377D" w14:textId="77777777" w:rsidR="00CB1A11" w:rsidRDefault="00CB1A11" w:rsidP="0065077C">
      <w:r>
        <w:separator/>
      </w:r>
    </w:p>
  </w:footnote>
  <w:footnote w:type="continuationSeparator" w:id="0">
    <w:p w14:paraId="5D747360" w14:textId="77777777" w:rsidR="00CB1A11" w:rsidRDefault="00CB1A11" w:rsidP="0065077C">
      <w:r>
        <w:continuationSeparator/>
      </w:r>
    </w:p>
  </w:footnote>
  <w:footnote w:id="1">
    <w:p w14:paraId="56B2A904" w14:textId="77777777" w:rsidR="00CB1A11" w:rsidRDefault="00CB1A11" w:rsidP="00DD2B80">
      <w:pPr>
        <w:pStyle w:val="normal0"/>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14768"/>
    <w:rsid w:val="00021B63"/>
    <w:rsid w:val="0002492F"/>
    <w:rsid w:val="00045257"/>
    <w:rsid w:val="00052ACE"/>
    <w:rsid w:val="00074D14"/>
    <w:rsid w:val="000779F4"/>
    <w:rsid w:val="00084282"/>
    <w:rsid w:val="000875A1"/>
    <w:rsid w:val="00087B1E"/>
    <w:rsid w:val="000A04C9"/>
    <w:rsid w:val="000A12AE"/>
    <w:rsid w:val="000A5B30"/>
    <w:rsid w:val="000B2576"/>
    <w:rsid w:val="000B47FC"/>
    <w:rsid w:val="000B6A08"/>
    <w:rsid w:val="000B6C52"/>
    <w:rsid w:val="000B7571"/>
    <w:rsid w:val="000C7A81"/>
    <w:rsid w:val="000E0EC8"/>
    <w:rsid w:val="000E1386"/>
    <w:rsid w:val="000F376E"/>
    <w:rsid w:val="000F4C30"/>
    <w:rsid w:val="001327E3"/>
    <w:rsid w:val="00150334"/>
    <w:rsid w:val="00152549"/>
    <w:rsid w:val="00153BC0"/>
    <w:rsid w:val="00165F37"/>
    <w:rsid w:val="00167FC3"/>
    <w:rsid w:val="00180C4F"/>
    <w:rsid w:val="001874D8"/>
    <w:rsid w:val="001A12FD"/>
    <w:rsid w:val="001B09B2"/>
    <w:rsid w:val="001C61BC"/>
    <w:rsid w:val="001E0CD3"/>
    <w:rsid w:val="001E29C1"/>
    <w:rsid w:val="001E7FDA"/>
    <w:rsid w:val="00202FEE"/>
    <w:rsid w:val="00220383"/>
    <w:rsid w:val="002321FD"/>
    <w:rsid w:val="00234F4E"/>
    <w:rsid w:val="00253268"/>
    <w:rsid w:val="00257D64"/>
    <w:rsid w:val="00260BF3"/>
    <w:rsid w:val="00265E84"/>
    <w:rsid w:val="00270E4C"/>
    <w:rsid w:val="00271977"/>
    <w:rsid w:val="00276212"/>
    <w:rsid w:val="002B68B5"/>
    <w:rsid w:val="002C1E6B"/>
    <w:rsid w:val="002C4F57"/>
    <w:rsid w:val="002C6D5F"/>
    <w:rsid w:val="002E27C0"/>
    <w:rsid w:val="002F2967"/>
    <w:rsid w:val="002F7C49"/>
    <w:rsid w:val="00306669"/>
    <w:rsid w:val="00307302"/>
    <w:rsid w:val="00312E81"/>
    <w:rsid w:val="00313EC5"/>
    <w:rsid w:val="0032013C"/>
    <w:rsid w:val="0032244D"/>
    <w:rsid w:val="00322755"/>
    <w:rsid w:val="00324147"/>
    <w:rsid w:val="00333EEF"/>
    <w:rsid w:val="00334B20"/>
    <w:rsid w:val="00351546"/>
    <w:rsid w:val="0037197A"/>
    <w:rsid w:val="003719CB"/>
    <w:rsid w:val="00381EAF"/>
    <w:rsid w:val="0038742D"/>
    <w:rsid w:val="00394EDE"/>
    <w:rsid w:val="003954FD"/>
    <w:rsid w:val="003A0917"/>
    <w:rsid w:val="003A518B"/>
    <w:rsid w:val="003A780E"/>
    <w:rsid w:val="003D5B20"/>
    <w:rsid w:val="003D5C2D"/>
    <w:rsid w:val="003D7BFD"/>
    <w:rsid w:val="003F5CF1"/>
    <w:rsid w:val="00404AB3"/>
    <w:rsid w:val="0041316E"/>
    <w:rsid w:val="00413D90"/>
    <w:rsid w:val="00427C5C"/>
    <w:rsid w:val="004333D6"/>
    <w:rsid w:val="004339FE"/>
    <w:rsid w:val="0043661B"/>
    <w:rsid w:val="00436DB0"/>
    <w:rsid w:val="004374AE"/>
    <w:rsid w:val="00446396"/>
    <w:rsid w:val="00453057"/>
    <w:rsid w:val="004708E0"/>
    <w:rsid w:val="00476B90"/>
    <w:rsid w:val="0048245D"/>
    <w:rsid w:val="004829BF"/>
    <w:rsid w:val="00490AAE"/>
    <w:rsid w:val="00492643"/>
    <w:rsid w:val="00495745"/>
    <w:rsid w:val="00496EA8"/>
    <w:rsid w:val="004A6D8B"/>
    <w:rsid w:val="004B2340"/>
    <w:rsid w:val="004B545E"/>
    <w:rsid w:val="004B747B"/>
    <w:rsid w:val="004C05D5"/>
    <w:rsid w:val="004C12D4"/>
    <w:rsid w:val="004C21F7"/>
    <w:rsid w:val="004C733B"/>
    <w:rsid w:val="004F5E7A"/>
    <w:rsid w:val="004F7A2E"/>
    <w:rsid w:val="00516E8A"/>
    <w:rsid w:val="005212EC"/>
    <w:rsid w:val="00533170"/>
    <w:rsid w:val="0053680E"/>
    <w:rsid w:val="0054710B"/>
    <w:rsid w:val="00551E9F"/>
    <w:rsid w:val="00560815"/>
    <w:rsid w:val="00573AB8"/>
    <w:rsid w:val="0057731E"/>
    <w:rsid w:val="00585044"/>
    <w:rsid w:val="00590214"/>
    <w:rsid w:val="00592B33"/>
    <w:rsid w:val="005A5140"/>
    <w:rsid w:val="005B0183"/>
    <w:rsid w:val="005B4C29"/>
    <w:rsid w:val="005B5FDF"/>
    <w:rsid w:val="005B6566"/>
    <w:rsid w:val="005B6829"/>
    <w:rsid w:val="005C2AFB"/>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932A9"/>
    <w:rsid w:val="00694426"/>
    <w:rsid w:val="006A0776"/>
    <w:rsid w:val="006A1F77"/>
    <w:rsid w:val="006E3462"/>
    <w:rsid w:val="00705194"/>
    <w:rsid w:val="0070662C"/>
    <w:rsid w:val="00706FD6"/>
    <w:rsid w:val="00731161"/>
    <w:rsid w:val="00744BEB"/>
    <w:rsid w:val="0075396A"/>
    <w:rsid w:val="00756089"/>
    <w:rsid w:val="00773455"/>
    <w:rsid w:val="0077792A"/>
    <w:rsid w:val="00783EE6"/>
    <w:rsid w:val="0078773B"/>
    <w:rsid w:val="007A3FCA"/>
    <w:rsid w:val="007A7EA2"/>
    <w:rsid w:val="007B4D19"/>
    <w:rsid w:val="007C21FD"/>
    <w:rsid w:val="007D78C9"/>
    <w:rsid w:val="007E7DD4"/>
    <w:rsid w:val="007F6BA5"/>
    <w:rsid w:val="0082620C"/>
    <w:rsid w:val="008333D2"/>
    <w:rsid w:val="008736F8"/>
    <w:rsid w:val="00884395"/>
    <w:rsid w:val="0088534F"/>
    <w:rsid w:val="00886303"/>
    <w:rsid w:val="00890D4E"/>
    <w:rsid w:val="00894605"/>
    <w:rsid w:val="008A3991"/>
    <w:rsid w:val="008B145D"/>
    <w:rsid w:val="008B68C2"/>
    <w:rsid w:val="008C2C0A"/>
    <w:rsid w:val="008C7E22"/>
    <w:rsid w:val="008D7496"/>
    <w:rsid w:val="008E373A"/>
    <w:rsid w:val="008F7B94"/>
    <w:rsid w:val="009001A0"/>
    <w:rsid w:val="00900F05"/>
    <w:rsid w:val="00915121"/>
    <w:rsid w:val="009201AF"/>
    <w:rsid w:val="009203EA"/>
    <w:rsid w:val="009407EF"/>
    <w:rsid w:val="00943EDA"/>
    <w:rsid w:val="0095420C"/>
    <w:rsid w:val="009633E2"/>
    <w:rsid w:val="00965DC1"/>
    <w:rsid w:val="00980619"/>
    <w:rsid w:val="00983811"/>
    <w:rsid w:val="009849A8"/>
    <w:rsid w:val="009B7EB6"/>
    <w:rsid w:val="009C1333"/>
    <w:rsid w:val="009C4CA0"/>
    <w:rsid w:val="009D14CB"/>
    <w:rsid w:val="009D45A6"/>
    <w:rsid w:val="009D6FFD"/>
    <w:rsid w:val="009E3D68"/>
    <w:rsid w:val="009E5933"/>
    <w:rsid w:val="009F1D7A"/>
    <w:rsid w:val="00A06526"/>
    <w:rsid w:val="00A06922"/>
    <w:rsid w:val="00A20759"/>
    <w:rsid w:val="00A21FB9"/>
    <w:rsid w:val="00A23E26"/>
    <w:rsid w:val="00A26B39"/>
    <w:rsid w:val="00A27A70"/>
    <w:rsid w:val="00A4322C"/>
    <w:rsid w:val="00A554C5"/>
    <w:rsid w:val="00A6027E"/>
    <w:rsid w:val="00A653CA"/>
    <w:rsid w:val="00A73F68"/>
    <w:rsid w:val="00A76EF3"/>
    <w:rsid w:val="00A90BDD"/>
    <w:rsid w:val="00A91962"/>
    <w:rsid w:val="00AA7950"/>
    <w:rsid w:val="00AB3316"/>
    <w:rsid w:val="00AB5772"/>
    <w:rsid w:val="00AC198E"/>
    <w:rsid w:val="00AC7DD9"/>
    <w:rsid w:val="00AD7088"/>
    <w:rsid w:val="00AD764D"/>
    <w:rsid w:val="00AF36C0"/>
    <w:rsid w:val="00AF5703"/>
    <w:rsid w:val="00B0407B"/>
    <w:rsid w:val="00B0536D"/>
    <w:rsid w:val="00B118F0"/>
    <w:rsid w:val="00B12702"/>
    <w:rsid w:val="00B21DE7"/>
    <w:rsid w:val="00B34F61"/>
    <w:rsid w:val="00B351A9"/>
    <w:rsid w:val="00B654FC"/>
    <w:rsid w:val="00B65AE2"/>
    <w:rsid w:val="00B6674B"/>
    <w:rsid w:val="00B74932"/>
    <w:rsid w:val="00B77C54"/>
    <w:rsid w:val="00B82610"/>
    <w:rsid w:val="00B846C9"/>
    <w:rsid w:val="00BC4132"/>
    <w:rsid w:val="00BE3320"/>
    <w:rsid w:val="00BF30B7"/>
    <w:rsid w:val="00BF3AF4"/>
    <w:rsid w:val="00BF5C23"/>
    <w:rsid w:val="00C03C82"/>
    <w:rsid w:val="00C07A96"/>
    <w:rsid w:val="00C10AD0"/>
    <w:rsid w:val="00C16326"/>
    <w:rsid w:val="00C23C85"/>
    <w:rsid w:val="00C26230"/>
    <w:rsid w:val="00C278D4"/>
    <w:rsid w:val="00C30FF6"/>
    <w:rsid w:val="00C45336"/>
    <w:rsid w:val="00C607CA"/>
    <w:rsid w:val="00C67517"/>
    <w:rsid w:val="00C74C12"/>
    <w:rsid w:val="00C76586"/>
    <w:rsid w:val="00C8148D"/>
    <w:rsid w:val="00C814DA"/>
    <w:rsid w:val="00C824E9"/>
    <w:rsid w:val="00C956A6"/>
    <w:rsid w:val="00C95D6E"/>
    <w:rsid w:val="00CA54A4"/>
    <w:rsid w:val="00CB1A11"/>
    <w:rsid w:val="00CD23E5"/>
    <w:rsid w:val="00CE5F3C"/>
    <w:rsid w:val="00CE6424"/>
    <w:rsid w:val="00CF3AE5"/>
    <w:rsid w:val="00D00D93"/>
    <w:rsid w:val="00D12797"/>
    <w:rsid w:val="00D13DC7"/>
    <w:rsid w:val="00D2112D"/>
    <w:rsid w:val="00D30EF7"/>
    <w:rsid w:val="00D33131"/>
    <w:rsid w:val="00D34EF6"/>
    <w:rsid w:val="00D75918"/>
    <w:rsid w:val="00D836CF"/>
    <w:rsid w:val="00D872A2"/>
    <w:rsid w:val="00DA3FF4"/>
    <w:rsid w:val="00DB323A"/>
    <w:rsid w:val="00DD2B80"/>
    <w:rsid w:val="00DD5887"/>
    <w:rsid w:val="00DF085E"/>
    <w:rsid w:val="00DF5B53"/>
    <w:rsid w:val="00E14090"/>
    <w:rsid w:val="00E325AC"/>
    <w:rsid w:val="00E32738"/>
    <w:rsid w:val="00E32A8E"/>
    <w:rsid w:val="00E42EAE"/>
    <w:rsid w:val="00E51F4E"/>
    <w:rsid w:val="00E52EDA"/>
    <w:rsid w:val="00E576B7"/>
    <w:rsid w:val="00E616AD"/>
    <w:rsid w:val="00E65A12"/>
    <w:rsid w:val="00E74CF6"/>
    <w:rsid w:val="00E77C64"/>
    <w:rsid w:val="00E8640A"/>
    <w:rsid w:val="00E9231C"/>
    <w:rsid w:val="00EA0291"/>
    <w:rsid w:val="00EB61EE"/>
    <w:rsid w:val="00EB6D0A"/>
    <w:rsid w:val="00EC2440"/>
    <w:rsid w:val="00EE6149"/>
    <w:rsid w:val="00EE6957"/>
    <w:rsid w:val="00EF2B50"/>
    <w:rsid w:val="00EF2F4C"/>
    <w:rsid w:val="00EF4BDE"/>
    <w:rsid w:val="00F109F7"/>
    <w:rsid w:val="00F21FF2"/>
    <w:rsid w:val="00F520BB"/>
    <w:rsid w:val="00F56642"/>
    <w:rsid w:val="00F755D4"/>
    <w:rsid w:val="00F8198F"/>
    <w:rsid w:val="00F847F2"/>
    <w:rsid w:val="00F90761"/>
    <w:rsid w:val="00FA3C6B"/>
    <w:rsid w:val="00FA73DC"/>
    <w:rsid w:val="00FB67C4"/>
    <w:rsid w:val="00FB78F8"/>
    <w:rsid w:val="00FC1577"/>
    <w:rsid w:val="00FD3427"/>
    <w:rsid w:val="00FF3403"/>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forum.icann.org/lists/comments-cwg-stewardship-draft-proposal-22apr15/msg00017.html" TargetMode="External"/><Relationship Id="rId14" Type="http://schemas.openxmlformats.org/officeDocument/2006/relationships/hyperlink" Target="http://forum.icann.org/lists/comments-cwg-stewardship-draft-proposal-22apr15/msg00017.html" TargetMode="External"/><Relationship Id="rId15" Type="http://schemas.openxmlformats.org/officeDocument/2006/relationships/hyperlink" Target="http://forum.icann.org/lists/comments-cwg-stewardship-draft-proposal-22apr15/msg00017.html" TargetMode="External"/><Relationship Id="rId16" Type="http://schemas.openxmlformats.org/officeDocument/2006/relationships/hyperlink" Target="https://www.ianacg.org/" TargetMode="External"/><Relationship Id="rId17" Type="http://schemas.openxmlformats.org/officeDocument/2006/relationships/hyperlink" Target="http://forum.icann.org/lists/comments-cwg-stewardship-draft-proposal-22apr15/msg00017.html" TargetMode="External"/><Relationship Id="rId18" Type="http://schemas.openxmlformats.org/officeDocument/2006/relationships/hyperlink" Target="https://www.ianacg.org/" TargetMode="External"/><Relationship Id="rId19" Type="http://schemas.openxmlformats.org/officeDocument/2006/relationships/hyperlink" Target="https://www.ianacg.org/" TargetMode="External"/><Relationship Id="rId63" Type="http://schemas.openxmlformats.org/officeDocument/2006/relationships/hyperlink" Target="http://www.ntia.doc.gov/other-publication/2014/iana-functions-and-related-root-zone-management-transition-questions-and-answ" TargetMode="External"/><Relationship Id="rId64" Type="http://schemas.openxmlformats.org/officeDocument/2006/relationships/hyperlink" Target="http://www.ntia.doc.gov/other-publication/2014/iana-functions-and-related-root-zone-management-transition-questions-and-answ" TargetMode="External"/><Relationship Id="rId65" Type="http://schemas.openxmlformats.org/officeDocument/2006/relationships/hyperlink" Target="https://community.icann.org/x/2grxAg" TargetMode="External"/><Relationship Id="rId66" Type="http://schemas.openxmlformats.org/officeDocument/2006/relationships/hyperlink" Target="http://www.ntia.doc.gov/other-publication/2014/iana-functions-and-related-root-zone-management-transition-questions-and-answ" TargetMode="External"/><Relationship Id="rId67" Type="http://schemas.openxmlformats.org/officeDocument/2006/relationships/hyperlink" Target="http://www.ntia.doc.gov/files/ntia/publications/ntias_role_root_zone_management_12162014.pdf" TargetMode="External"/><Relationship Id="rId68" Type="http://schemas.openxmlformats.org/officeDocument/2006/relationships/hyperlink" Target="http://www.ntia.doc.gov/files/ntia/publications/ntias_role_root_zone_management_12162014.pdf" TargetMode="External"/><Relationship Id="rId69" Type="http://schemas.openxmlformats.org/officeDocument/2006/relationships/hyperlink" Target="https://community.icann.org/x/2grxAg" TargetMode="External"/><Relationship Id="rId50" Type="http://schemas.openxmlformats.org/officeDocument/2006/relationships/hyperlink" Target="https://www.icann.org/en/system/files/files/legal-counsel-memo-post-transition-structure-faq-08may15-en.pdf" TargetMode="External"/><Relationship Id="rId51"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www.icann.org/en/system/files/files/legal-counsel-memo-post-transition-structure-faq-08may15-en.pdf" TargetMode="External"/><Relationship Id="rId53" Type="http://schemas.openxmlformats.org/officeDocument/2006/relationships/hyperlink" Target="https://community.icann.org/x/8g8nAw" TargetMode="External"/><Relationship Id="rId54" Type="http://schemas.openxmlformats.org/officeDocument/2006/relationships/hyperlink" Target="https://community.icann.org/x/8g8nAw" TargetMode="External"/><Relationship Id="rId55" Type="http://schemas.openxmlformats.org/officeDocument/2006/relationships/hyperlink" Target="https://www.icann.org/en/system/files/files/legal-counsel-memo-post-transition-structure-faq-08may15-en.pdf" TargetMode="External"/><Relationship Id="rId56" Type="http://schemas.openxmlformats.org/officeDocument/2006/relationships/hyperlink" Target="https://www.ianacg.org/" TargetMode="External"/><Relationship Id="rId57" Type="http://schemas.openxmlformats.org/officeDocument/2006/relationships/hyperlink" Target="https://www.ianacg.org/" TargetMode="External"/><Relationship Id="rId58" Type="http://schemas.openxmlformats.org/officeDocument/2006/relationships/hyperlink" Target="https://community.icann.org/x/2grxAg" TargetMode="External"/><Relationship Id="rId59" Type="http://schemas.openxmlformats.org/officeDocument/2006/relationships/hyperlink" Target="http://www.ntia.doc.gov/other-publication/2014/iana-functions-and-related-root-zone-management-transition-questions-and-answ" TargetMode="External"/><Relationship Id="rId40" Type="http://schemas.openxmlformats.org/officeDocument/2006/relationships/hyperlink" Target="https://www.icann.org/en/system/files/files/legal-counsel-memo-post-transition-structure-faq-08may15-en.pdf" TargetMode="External"/><Relationship Id="rId41"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forum.icann.org/lists/comments-cwg-stewardship-draft-proposal-22apr15/msg00017.html" TargetMode="External"/><Relationship Id="rId43"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cann.org/en/system/files/files/legal-counsel-memo-post-transition-structure-faq-08may15-en.pdf" TargetMode="External"/><Relationship Id="rId45" Type="http://schemas.openxmlformats.org/officeDocument/2006/relationships/hyperlink" Target="https://www.icann.org/en/system/files/files/legal-counsel-memo-post-transition-structure-faq-08may15-en.pdf" TargetMode="External"/><Relationship Id="rId46" Type="http://schemas.openxmlformats.org/officeDocument/2006/relationships/hyperlink" Target="https://www.ianacg.org/" TargetMode="External"/><Relationship Id="rId47" Type="http://schemas.openxmlformats.org/officeDocument/2006/relationships/hyperlink" Target="https://www.icann.org/en/system/files/files/legal-counsel-memo-post-transition-structure-faq-08may15-en.pdf" TargetMode="External"/><Relationship Id="rId48" Type="http://schemas.openxmlformats.org/officeDocument/2006/relationships/hyperlink" Target="https://www.ianacg.org/" TargetMode="External"/><Relationship Id="rId49" Type="http://schemas.openxmlformats.org/officeDocument/2006/relationships/hyperlink" Target="https://www.icann.org/en/system/files/files/legal-counsel-memo-post-transition-structure-faq-08may15-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cwg-stewardship-draft-proposal-22apr15/" TargetMode="External"/><Relationship Id="rId9" Type="http://schemas.openxmlformats.org/officeDocument/2006/relationships/hyperlink" Target="https://www.icann.org/en/system/files/files/legal-counsel-memo-post-transition-structure-faq-08may15-en.pdf" TargetMode="External"/><Relationship Id="rId30" Type="http://schemas.openxmlformats.org/officeDocument/2006/relationships/hyperlink" Target="https://www.icann.org/en/system/files/files/legal-counsel-memo-post-transition-structure-faq-08may15-en.pdf" TargetMode="External"/><Relationship Id="rId31" Type="http://schemas.openxmlformats.org/officeDocument/2006/relationships/hyperlink" Target="https://www.icann.org/en/system/files/files/legal-counsel-memo-post-transition-structure-faq-08may15-en.pdf" TargetMode="External"/><Relationship Id="rId32" Type="http://schemas.openxmlformats.org/officeDocument/2006/relationships/hyperlink" Target="http://forum.icann.org/lists/comments-cwg-stewardship-draft-proposal-22apr15/msg00017.html" TargetMode="External"/><Relationship Id="rId33" Type="http://schemas.openxmlformats.org/officeDocument/2006/relationships/hyperlink" Target="https://www.icann.org/en/system/files/files/legal-counsel-memo-post-transition-structure-faq-08may15-en.pdf" TargetMode="External"/><Relationship Id="rId34" Type="http://schemas.openxmlformats.org/officeDocument/2006/relationships/hyperlink" Target="https://www.icann.org/en/system/files/files/legal-counsel-memo-post-transition-structure-faq-08may15-en.pdf" TargetMode="External"/><Relationship Id="rId35" Type="http://schemas.openxmlformats.org/officeDocument/2006/relationships/hyperlink" Target="https://www.icann.org/en/system/files/files/legal-counsel-memo-post-transition-structure-faq-08may15-en.pdf" TargetMode="External"/><Relationship Id="rId36" Type="http://schemas.openxmlformats.org/officeDocument/2006/relationships/hyperlink" Target="https://www.icann.org/en/system/files/files/legal-counsel-memo-post-transition-structure-faq-08may15-en.pdf" TargetMode="External"/><Relationship Id="rId37" Type="http://schemas.openxmlformats.org/officeDocument/2006/relationships/hyperlink" Target="https://www.icann.org/en/system/files/files/legal-counsel-memo-post-transition-structure-faq-08may15-en.pdf" TargetMode="External"/><Relationship Id="rId38" Type="http://schemas.openxmlformats.org/officeDocument/2006/relationships/hyperlink" Target="https://www.ianacg.org/" TargetMode="External"/><Relationship Id="rId39" Type="http://schemas.openxmlformats.org/officeDocument/2006/relationships/hyperlink" Target="https://www.icann.org/en/system/files/files/legal-counsel-memo-post-transition-structure-faq-08may15-en.pdf" TargetMode="External"/><Relationship Id="rId70" Type="http://schemas.openxmlformats.org/officeDocument/2006/relationships/hyperlink" Target="http://forum.icann.org/lists/comments-cwg-stewardship-draft-proposal-22apr15/msg00017.html" TargetMode="External"/><Relationship Id="rId71" Type="http://schemas.openxmlformats.org/officeDocument/2006/relationships/hyperlink" Target="https://community.icann.org/x/37fhAg" TargetMode="External"/><Relationship Id="rId72" Type="http://schemas.openxmlformats.org/officeDocument/2006/relationships/hyperlink" Target="https://www.ianacg.org/" TargetMode="External"/><Relationship Id="rId20" Type="http://schemas.openxmlformats.org/officeDocument/2006/relationships/hyperlink" Target="http://forum.icann.org/lists/comments-cwg-stewardship-draft-proposal-22apr15/msg00017.html" TargetMode="External"/><Relationship Id="rId21" Type="http://schemas.openxmlformats.org/officeDocument/2006/relationships/hyperlink" Target="https://www.ianacg.org/" TargetMode="External"/><Relationship Id="rId22" Type="http://schemas.openxmlformats.org/officeDocument/2006/relationships/hyperlink" Target="https://www.ianacg.org/" TargetMode="External"/><Relationship Id="rId23" Type="http://schemas.openxmlformats.org/officeDocument/2006/relationships/hyperlink" Target="http://forum.icann.org/lists/comments-cwg-stewardship-draft-proposal-22apr15/msg00017.html" TargetMode="External"/><Relationship Id="rId24" Type="http://schemas.openxmlformats.org/officeDocument/2006/relationships/hyperlink" Target="http://forum.icann.org/lists/comments-cwg-stewardship-draft-proposal-22apr15/msg00017.html" TargetMode="External"/><Relationship Id="rId25" Type="http://schemas.openxmlformats.org/officeDocument/2006/relationships/hyperlink" Target="https://www.ianacg.org/" TargetMode="External"/><Relationship Id="rId26" Type="http://schemas.openxmlformats.org/officeDocument/2006/relationships/hyperlink" Target="https://www.ianacg.org/" TargetMode="External"/><Relationship Id="rId27" Type="http://schemas.openxmlformats.org/officeDocument/2006/relationships/hyperlink" Target="https://www.icann.org/en/system/files/files/legal-counsel-memo-post-transition-structure-faq-08may15-en.pdf" TargetMode="External"/><Relationship Id="rId28" Type="http://schemas.openxmlformats.org/officeDocument/2006/relationships/hyperlink" Target="https://www.icann.org/en/system/files/files/legal-counsel-memo-post-transition-structure-faq-08may15-en.pdf" TargetMode="External"/><Relationship Id="rId29" Type="http://schemas.openxmlformats.org/officeDocument/2006/relationships/hyperlink" Target="http://forum.icann.org/lists/comments-cwg-stewardship-draft-proposal-22apr15/msg00017.html" TargetMode="External"/><Relationship Id="rId73" Type="http://schemas.openxmlformats.org/officeDocument/2006/relationships/hyperlink" Target="https://www.ianacg.org/" TargetMode="External"/><Relationship Id="rId74" Type="http://schemas.openxmlformats.org/officeDocument/2006/relationships/hyperlink" Target="http://forum.icann.org/lists/comments-cwg-stewardship-draft-proposal-22apr15/msg00017.html" TargetMode="External"/><Relationship Id="rId75" Type="http://schemas.openxmlformats.org/officeDocument/2006/relationships/hyperlink" Target="https://www.ianacg.org/" TargetMode="External"/><Relationship Id="rId76" Type="http://schemas.openxmlformats.org/officeDocument/2006/relationships/footer" Target="footer1.xml"/><Relationship Id="rId77" Type="http://schemas.openxmlformats.org/officeDocument/2006/relationships/footer" Target="footer2.xm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s://community.icann.org/x/2grxAg" TargetMode="External"/><Relationship Id="rId61" Type="http://schemas.openxmlformats.org/officeDocument/2006/relationships/hyperlink" Target="http://www.ntia.doc.gov/other-publication/2014/iana-functions-and-related-root-zone-management-transition-questions-and-answ" TargetMode="External"/><Relationship Id="rId62" Type="http://schemas.openxmlformats.org/officeDocument/2006/relationships/hyperlink" Target="https://community.icann.org/x/2grxAg" TargetMode="External"/><Relationship Id="rId10" Type="http://schemas.openxmlformats.org/officeDocument/2006/relationships/hyperlink" Target="https://www.ianacg.org/" TargetMode="External"/><Relationship Id="rId11" Type="http://schemas.openxmlformats.org/officeDocument/2006/relationships/hyperlink" Target="https://www.icann.org/en/system/files/files/legal-counsel-memo-post-transition-structure-faq-08may15-en.pdf" TargetMode="External"/><Relationship Id="rId12" Type="http://schemas.openxmlformats.org/officeDocument/2006/relationships/hyperlink" Target="https://www.ianacg.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219</Pages>
  <Words>55217</Words>
  <Characters>314738</Characters>
  <Application>Microsoft Macintosh Word</Application>
  <DocSecurity>0</DocSecurity>
  <Lines>2622</Lines>
  <Paragraphs>738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369217</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Grace Abuhamad</cp:lastModifiedBy>
  <cp:revision>8</cp:revision>
  <cp:lastPrinted>2015-05-12T09:15:00Z</cp:lastPrinted>
  <dcterms:created xsi:type="dcterms:W3CDTF">2015-05-22T14:38:00Z</dcterms:created>
  <dcterms:modified xsi:type="dcterms:W3CDTF">2015-05-22T17:36:00Z</dcterms:modified>
</cp:coreProperties>
</file>