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8F0" w:rsidRPr="00FA1152" w:rsidRDefault="00E37E47">
      <w:pPr>
        <w:rPr>
          <w:b/>
          <w:color w:val="000000" w:themeColor="text1"/>
        </w:rPr>
      </w:pPr>
      <w:r w:rsidRPr="00FA1152">
        <w:rPr>
          <w:b/>
          <w:color w:val="000000" w:themeColor="text1"/>
        </w:rPr>
        <w:t>IANA Stewardship CWG Process Steps</w:t>
      </w:r>
      <w:r w:rsidR="00FA1152" w:rsidRPr="00FA1152">
        <w:rPr>
          <w:b/>
          <w:color w:val="000000" w:themeColor="text1"/>
        </w:rPr>
        <w:t xml:space="preserve"> Proposal</w:t>
      </w:r>
    </w:p>
    <w:p w:rsidR="00E37E47" w:rsidRPr="00E37E47" w:rsidRDefault="00E37E47">
      <w:pPr>
        <w:rPr>
          <w:color w:val="000000" w:themeColor="text1"/>
        </w:rPr>
      </w:pPr>
    </w:p>
    <w:p w:rsidR="00E37E47" w:rsidRPr="00E37E47" w:rsidRDefault="00E37E47" w:rsidP="00E37E47">
      <w:pPr>
        <w:rPr>
          <w:color w:val="000000" w:themeColor="text1"/>
        </w:rPr>
      </w:pPr>
      <w:r w:rsidRPr="00E37E47">
        <w:rPr>
          <w:color w:val="000000" w:themeColor="text1"/>
        </w:rPr>
        <w:t>For the CWG, I think a process something like the following would be a reasonable and effective way to go:</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1.</w:t>
      </w:r>
      <w:r w:rsidRPr="00E37E47">
        <w:rPr>
          <w:color w:val="000000" w:themeColor="text1"/>
          <w:sz w:val="14"/>
          <w:szCs w:val="14"/>
        </w:rPr>
        <w:t xml:space="preserve">       </w:t>
      </w:r>
      <w:r w:rsidRPr="00E37E47">
        <w:rPr>
          <w:rFonts w:ascii="Calibri" w:hAnsi="Calibri"/>
          <w:color w:val="000000" w:themeColor="text1"/>
          <w:sz w:val="22"/>
          <w:szCs w:val="22"/>
        </w:rPr>
        <w:t>Describe all the steps in the current IANA processes for names.</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2.</w:t>
      </w:r>
      <w:r w:rsidRPr="00E37E47">
        <w:rPr>
          <w:color w:val="000000" w:themeColor="text1"/>
          <w:sz w:val="14"/>
          <w:szCs w:val="14"/>
        </w:rPr>
        <w:t xml:space="preserve">       </w:t>
      </w:r>
      <w:r w:rsidRPr="00E37E47">
        <w:rPr>
          <w:rFonts w:ascii="Calibri" w:hAnsi="Calibri"/>
          <w:color w:val="000000" w:themeColor="text1"/>
          <w:sz w:val="22"/>
          <w:szCs w:val="22"/>
        </w:rPr>
        <w:t xml:space="preserve">Identify the places in those steps where </w:t>
      </w:r>
      <w:r w:rsidR="00DF3F8A" w:rsidRPr="00DF3F8A">
        <w:rPr>
          <w:rFonts w:asciiTheme="minorHAnsi" w:hAnsiTheme="minorHAnsi"/>
          <w:color w:val="000000" w:themeColor="text1"/>
          <w:sz w:val="22"/>
          <w:szCs w:val="22"/>
        </w:rPr>
        <w:t>the US government (through NTIA and/or any other government agency)</w:t>
      </w:r>
      <w:r w:rsidRPr="00E37E47">
        <w:rPr>
          <w:rFonts w:ascii="Calibri" w:hAnsi="Calibri"/>
          <w:color w:val="000000" w:themeColor="text1"/>
          <w:sz w:val="22"/>
          <w:szCs w:val="22"/>
        </w:rPr>
        <w:t xml:space="preserve"> participates.</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3.</w:t>
      </w:r>
      <w:r w:rsidRPr="00E37E47">
        <w:rPr>
          <w:color w:val="000000" w:themeColor="text1"/>
          <w:sz w:val="14"/>
          <w:szCs w:val="14"/>
        </w:rPr>
        <w:t xml:space="preserve">       </w:t>
      </w:r>
      <w:r w:rsidRPr="00E37E47">
        <w:rPr>
          <w:rFonts w:ascii="Calibri" w:hAnsi="Calibri"/>
          <w:color w:val="000000" w:themeColor="text1"/>
          <w:sz w:val="22"/>
          <w:szCs w:val="22"/>
        </w:rPr>
        <w:t xml:space="preserve">Identify elements of </w:t>
      </w:r>
      <w:r w:rsidR="00DF3F8A">
        <w:rPr>
          <w:rFonts w:ascii="Calibri" w:hAnsi="Calibri"/>
          <w:color w:val="000000" w:themeColor="text1"/>
          <w:sz w:val="22"/>
          <w:szCs w:val="22"/>
        </w:rPr>
        <w:t>the U.S. Government’s</w:t>
      </w:r>
      <w:r w:rsidRPr="00E37E47">
        <w:rPr>
          <w:rFonts w:ascii="Calibri" w:hAnsi="Calibri"/>
          <w:color w:val="000000" w:themeColor="text1"/>
          <w:sz w:val="22"/>
          <w:szCs w:val="22"/>
        </w:rPr>
        <w:t xml:space="preserve"> role that need to be replaced.</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4.</w:t>
      </w:r>
      <w:r w:rsidRPr="00E37E47">
        <w:rPr>
          <w:color w:val="000000" w:themeColor="text1"/>
          <w:sz w:val="14"/>
          <w:szCs w:val="14"/>
        </w:rPr>
        <w:t xml:space="preserve">       </w:t>
      </w:r>
      <w:r w:rsidRPr="00E37E47">
        <w:rPr>
          <w:rFonts w:ascii="Calibri" w:hAnsi="Calibri"/>
          <w:color w:val="000000" w:themeColor="text1"/>
          <w:sz w:val="22"/>
          <w:szCs w:val="22"/>
        </w:rPr>
        <w:t xml:space="preserve">Brainstorm ideas about possible </w:t>
      </w:r>
      <w:r w:rsidR="00DF3F8A" w:rsidRPr="00DF3F8A">
        <w:rPr>
          <w:rFonts w:asciiTheme="minorHAnsi" w:hAnsiTheme="minorHAnsi"/>
          <w:color w:val="000000" w:themeColor="text1"/>
          <w:sz w:val="22"/>
          <w:szCs w:val="22"/>
        </w:rPr>
        <w:t>multi-stakeholder (not multi-lateral)</w:t>
      </w:r>
      <w:r w:rsidR="00DF3F8A" w:rsidRPr="00DF3F8A">
        <w:rPr>
          <w:color w:val="000000" w:themeColor="text1"/>
        </w:rPr>
        <w:t xml:space="preserve"> </w:t>
      </w:r>
      <w:r w:rsidRPr="00E37E47">
        <w:rPr>
          <w:rFonts w:ascii="Calibri" w:hAnsi="Calibri"/>
          <w:color w:val="000000" w:themeColor="text1"/>
          <w:sz w:val="22"/>
          <w:szCs w:val="22"/>
        </w:rPr>
        <w:t xml:space="preserve">process replacements for </w:t>
      </w:r>
      <w:r w:rsidR="00DF3F8A">
        <w:rPr>
          <w:rFonts w:ascii="Calibri" w:hAnsi="Calibri"/>
          <w:color w:val="000000" w:themeColor="text1"/>
          <w:sz w:val="22"/>
          <w:szCs w:val="22"/>
        </w:rPr>
        <w:t>the U.S. Government’s</w:t>
      </w:r>
      <w:r w:rsidR="00DF3F8A" w:rsidRPr="00E37E47">
        <w:rPr>
          <w:rFonts w:ascii="Calibri" w:hAnsi="Calibri"/>
          <w:color w:val="000000" w:themeColor="text1"/>
          <w:sz w:val="22"/>
          <w:szCs w:val="22"/>
        </w:rPr>
        <w:t xml:space="preserve"> </w:t>
      </w:r>
      <w:r w:rsidRPr="00E37E47">
        <w:rPr>
          <w:rFonts w:ascii="Calibri" w:hAnsi="Calibri"/>
          <w:color w:val="000000" w:themeColor="text1"/>
          <w:sz w:val="22"/>
          <w:szCs w:val="22"/>
        </w:rPr>
        <w:t>role.</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5.</w:t>
      </w:r>
      <w:r w:rsidRPr="00E37E47">
        <w:rPr>
          <w:color w:val="000000" w:themeColor="text1"/>
          <w:sz w:val="14"/>
          <w:szCs w:val="14"/>
        </w:rPr>
        <w:t xml:space="preserve">       </w:t>
      </w:r>
      <w:r w:rsidRPr="00E37E47">
        <w:rPr>
          <w:rFonts w:ascii="Calibri" w:hAnsi="Calibri"/>
          <w:color w:val="000000" w:themeColor="text1"/>
          <w:sz w:val="22"/>
          <w:szCs w:val="22"/>
        </w:rPr>
        <w:t>Develop consensus positions on a revised process.</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6.</w:t>
      </w:r>
      <w:r w:rsidRPr="00E37E47">
        <w:rPr>
          <w:color w:val="000000" w:themeColor="text1"/>
          <w:sz w:val="14"/>
          <w:szCs w:val="14"/>
        </w:rPr>
        <w:t xml:space="preserve">       </w:t>
      </w:r>
      <w:r w:rsidRPr="00E37E47">
        <w:rPr>
          <w:rFonts w:ascii="Calibri" w:hAnsi="Calibri"/>
          <w:color w:val="000000" w:themeColor="text1"/>
          <w:sz w:val="22"/>
          <w:szCs w:val="22"/>
        </w:rPr>
        <w:t>Identify process points where accountability checks are needed.</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7.</w:t>
      </w:r>
      <w:r w:rsidRPr="00E37E47">
        <w:rPr>
          <w:color w:val="000000" w:themeColor="text1"/>
          <w:sz w:val="14"/>
          <w:szCs w:val="14"/>
        </w:rPr>
        <w:t xml:space="preserve">       </w:t>
      </w:r>
      <w:r w:rsidRPr="00E37E47">
        <w:rPr>
          <w:rFonts w:ascii="Calibri" w:hAnsi="Calibri"/>
          <w:color w:val="000000" w:themeColor="text1"/>
          <w:sz w:val="22"/>
          <w:szCs w:val="22"/>
        </w:rPr>
        <w:t>Brainstorm accountability check ideas.</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8.</w:t>
      </w:r>
      <w:r w:rsidRPr="00E37E47">
        <w:rPr>
          <w:color w:val="000000" w:themeColor="text1"/>
          <w:sz w:val="14"/>
          <w:szCs w:val="14"/>
        </w:rPr>
        <w:t xml:space="preserve">       </w:t>
      </w:r>
      <w:r w:rsidRPr="00E37E47">
        <w:rPr>
          <w:rFonts w:ascii="Calibri" w:hAnsi="Calibri"/>
          <w:color w:val="000000" w:themeColor="text1"/>
          <w:sz w:val="22"/>
          <w:szCs w:val="22"/>
        </w:rPr>
        <w:t>Develop consensus positions on accountability checks.</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9.</w:t>
      </w:r>
      <w:r w:rsidRPr="00E37E47">
        <w:rPr>
          <w:color w:val="000000" w:themeColor="text1"/>
          <w:sz w:val="14"/>
          <w:szCs w:val="14"/>
        </w:rPr>
        <w:t xml:space="preserve">       </w:t>
      </w:r>
      <w:r w:rsidRPr="00E37E47">
        <w:rPr>
          <w:rFonts w:ascii="Calibri" w:hAnsi="Calibri"/>
          <w:color w:val="000000" w:themeColor="text1"/>
          <w:sz w:val="22"/>
          <w:szCs w:val="22"/>
        </w:rPr>
        <w:t>Brainstorm ideas on how to connect the assurance of general ICANN accountability before the IANA transition happens.</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10.</w:t>
      </w:r>
      <w:r w:rsidRPr="00E37E47">
        <w:rPr>
          <w:color w:val="000000" w:themeColor="text1"/>
          <w:sz w:val="14"/>
          <w:szCs w:val="14"/>
        </w:rPr>
        <w:t xml:space="preserve">   </w:t>
      </w:r>
      <w:r w:rsidRPr="00E37E47">
        <w:rPr>
          <w:rFonts w:ascii="Calibri" w:hAnsi="Calibri"/>
          <w:color w:val="000000" w:themeColor="text1"/>
          <w:sz w:val="22"/>
          <w:szCs w:val="22"/>
        </w:rPr>
        <w:t>Develop consensus positions regarding 9.</w:t>
      </w:r>
    </w:p>
    <w:p w:rsidR="00E37E47" w:rsidRPr="00E37E47" w:rsidRDefault="00E37E47" w:rsidP="00E37E47">
      <w:pPr>
        <w:pStyle w:val="ListParagraph"/>
        <w:ind w:left="765" w:hanging="360"/>
        <w:rPr>
          <w:rFonts w:ascii="Calibri" w:hAnsi="Calibri"/>
          <w:color w:val="000000" w:themeColor="text1"/>
          <w:sz w:val="22"/>
          <w:szCs w:val="22"/>
        </w:rPr>
      </w:pPr>
      <w:r w:rsidRPr="00E37E47">
        <w:rPr>
          <w:rFonts w:ascii="Calibri" w:hAnsi="Calibri"/>
          <w:color w:val="000000" w:themeColor="text1"/>
          <w:sz w:val="22"/>
          <w:szCs w:val="22"/>
        </w:rPr>
        <w:t>11.</w:t>
      </w:r>
      <w:r w:rsidRPr="00E37E47">
        <w:rPr>
          <w:color w:val="000000" w:themeColor="text1"/>
          <w:sz w:val="14"/>
          <w:szCs w:val="14"/>
        </w:rPr>
        <w:t xml:space="preserve">   </w:t>
      </w:r>
      <w:r w:rsidRPr="00E37E47">
        <w:rPr>
          <w:rFonts w:ascii="Calibri" w:hAnsi="Calibri"/>
          <w:color w:val="000000" w:themeColor="text1"/>
          <w:sz w:val="22"/>
          <w:szCs w:val="22"/>
        </w:rPr>
        <w:t>Write final report and deliver it to the ICG.</w:t>
      </w:r>
    </w:p>
    <w:p w:rsidR="00E37E47" w:rsidRPr="00E37E47" w:rsidRDefault="00E37E47" w:rsidP="00E37E47">
      <w:pPr>
        <w:rPr>
          <w:color w:val="000000" w:themeColor="text1"/>
        </w:rPr>
      </w:pPr>
    </w:p>
    <w:p w:rsidR="00E37E47" w:rsidRPr="00E37E47" w:rsidRDefault="00E37E47" w:rsidP="00E37E47">
      <w:pPr>
        <w:rPr>
          <w:color w:val="000000" w:themeColor="text1"/>
        </w:rPr>
      </w:pPr>
      <w:r w:rsidRPr="00E37E47">
        <w:rPr>
          <w:color w:val="000000" w:themeColor="text1"/>
        </w:rPr>
        <w:t xml:space="preserve">Of course there should be lots of interaction </w:t>
      </w:r>
      <w:r w:rsidR="00AF793E">
        <w:rPr>
          <w:color w:val="000000" w:themeColor="text1"/>
        </w:rPr>
        <w:t>between</w:t>
      </w:r>
      <w:r w:rsidR="00AF793E" w:rsidRPr="00E37E47">
        <w:rPr>
          <w:color w:val="000000" w:themeColor="text1"/>
        </w:rPr>
        <w:t xml:space="preserve"> </w:t>
      </w:r>
      <w:r w:rsidRPr="00E37E47">
        <w:rPr>
          <w:color w:val="000000" w:themeColor="text1"/>
        </w:rPr>
        <w:t xml:space="preserve">the CWG members and </w:t>
      </w:r>
      <w:r w:rsidR="00AF793E">
        <w:rPr>
          <w:color w:val="000000" w:themeColor="text1"/>
        </w:rPr>
        <w:t>participants</w:t>
      </w:r>
      <w:bookmarkStart w:id="0" w:name="_GoBack"/>
      <w:bookmarkEnd w:id="0"/>
      <w:r w:rsidR="00AF793E" w:rsidRPr="00E37E47">
        <w:rPr>
          <w:color w:val="000000" w:themeColor="text1"/>
        </w:rPr>
        <w:t xml:space="preserve"> </w:t>
      </w:r>
      <w:r w:rsidR="00AF793E">
        <w:rPr>
          <w:color w:val="000000" w:themeColor="text1"/>
        </w:rPr>
        <w:t xml:space="preserve">and the groups they </w:t>
      </w:r>
      <w:r w:rsidRPr="00E37E47">
        <w:rPr>
          <w:color w:val="000000" w:themeColor="text1"/>
        </w:rPr>
        <w:t>represent as well as the general Internet population throughout the process.  That should be continuous using the representative structure of the CWG but there can also be formal opportunities for input such as public comment periods.</w:t>
      </w:r>
    </w:p>
    <w:p w:rsidR="00E37E47" w:rsidRPr="00E37E47" w:rsidRDefault="00E37E47" w:rsidP="00E37E47">
      <w:pPr>
        <w:rPr>
          <w:color w:val="000000" w:themeColor="text1"/>
        </w:rPr>
      </w:pPr>
    </w:p>
    <w:p w:rsidR="00E37E47" w:rsidRPr="00E37E47" w:rsidRDefault="00E37E47" w:rsidP="00E37E47">
      <w:pPr>
        <w:rPr>
          <w:color w:val="000000" w:themeColor="text1"/>
        </w:rPr>
      </w:pPr>
      <w:r w:rsidRPr="00E37E47">
        <w:rPr>
          <w:color w:val="000000" w:themeColor="text1"/>
        </w:rPr>
        <w:t>Also, it may not be necessary for all of the steps to be performed serially; some could be done in parallel.</w:t>
      </w:r>
    </w:p>
    <w:p w:rsidR="00E37E47" w:rsidRPr="00E37E47" w:rsidRDefault="00E37E47">
      <w:pPr>
        <w:rPr>
          <w:color w:val="000000" w:themeColor="text1"/>
        </w:rPr>
      </w:pPr>
    </w:p>
    <w:sectPr w:rsidR="00E37E47" w:rsidRPr="00E37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3A2AD3"/>
    <w:rsid w:val="008E050D"/>
    <w:rsid w:val="009A5CF9"/>
    <w:rsid w:val="00AC067C"/>
    <w:rsid w:val="00AF793E"/>
    <w:rsid w:val="00D07108"/>
    <w:rsid w:val="00DF3F8A"/>
    <w:rsid w:val="00E37E47"/>
    <w:rsid w:val="00FA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3</cp:revision>
  <dcterms:created xsi:type="dcterms:W3CDTF">2014-10-06T14:16:00Z</dcterms:created>
  <dcterms:modified xsi:type="dcterms:W3CDTF">2014-10-06T14:17:00Z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173262397</vt:i4>
  </property>
  <property fmtid="{D5CDD505-2E9C-101B-9397-08002B2CF9AE}" pid="3" name="_NewReviewCycle">
    <vt:lpwstr/>
  </property>
  <property fmtid="{D5CDD505-2E9C-101B-9397-08002B2CF9AE}" pid="4" name="_EmailSubject">
    <vt:lpwstr>IANA Stewardship CWG Process Steps Proposal</vt:lpwstr>
  </property>
  <property fmtid="{D5CDD505-2E9C-101B-9397-08002B2CF9AE}" pid="5" name="_AuthorEmail">
    <vt:lpwstr>cgomes@verisign.com</vt:lpwstr>
  </property>
  <property fmtid="{D5CDD505-2E9C-101B-9397-08002B2CF9AE}" pid="6" name="_AuthorEmailDisplayName">
    <vt:lpwstr>Gomes, Chuck</vt:lpwstr>
  </property>
</Properties>
</file>