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5868"/>
      </w:tblGrid>
      <w:tr w:rsidR="001219E7" w:rsidRPr="001219E7" w14:paraId="52EB3751" w14:textId="77777777" w:rsidTr="00BF0E22">
        <w:tc>
          <w:tcPr>
            <w:tcW w:w="2988" w:type="dxa"/>
            <w:shd w:val="clear" w:color="auto" w:fill="B3B3B3"/>
          </w:tcPr>
          <w:p w14:paraId="6DB38119" w14:textId="77777777" w:rsidR="001219E7" w:rsidRPr="001219E7" w:rsidRDefault="001219E7" w:rsidP="00BF0E2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1219E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Design Team Name</w:t>
            </w:r>
          </w:p>
        </w:tc>
        <w:tc>
          <w:tcPr>
            <w:tcW w:w="5868" w:type="dxa"/>
            <w:shd w:val="clear" w:color="auto" w:fill="B3B3B3"/>
          </w:tcPr>
          <w:p w14:paraId="1A6C970B" w14:textId="11C7934C" w:rsidR="001219E7" w:rsidRPr="001219E7" w:rsidRDefault="0011115F" w:rsidP="0011115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DT1 - </w:t>
            </w:r>
            <w:r w:rsidR="001219E7" w:rsidRPr="001219E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Service Level Expectations</w:t>
            </w:r>
          </w:p>
        </w:tc>
      </w:tr>
      <w:tr w:rsidR="001219E7" w:rsidRPr="001219E7" w14:paraId="1ED2B1AC" w14:textId="77777777" w:rsidTr="00BF0E22">
        <w:tc>
          <w:tcPr>
            <w:tcW w:w="2988" w:type="dxa"/>
          </w:tcPr>
          <w:p w14:paraId="24B612B7" w14:textId="77777777" w:rsidR="001219E7" w:rsidRPr="001219E7" w:rsidRDefault="001219E7" w:rsidP="00BF0E2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1219E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Draft Transition Proposal Reference</w:t>
            </w:r>
          </w:p>
        </w:tc>
        <w:tc>
          <w:tcPr>
            <w:tcW w:w="5868" w:type="dxa"/>
          </w:tcPr>
          <w:p w14:paraId="77F8CCB8" w14:textId="77777777" w:rsidR="001219E7" w:rsidRPr="001219E7" w:rsidRDefault="001219E7" w:rsidP="00BF0E2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  <w:r w:rsidRPr="001219E7">
              <w:rPr>
                <w:rFonts w:asciiTheme="majorHAnsi" w:hAnsiTheme="majorHAnsi" w:cs="Calibri"/>
                <w:sz w:val="22"/>
                <w:szCs w:val="22"/>
              </w:rPr>
              <w:t>III.A.1.4.2 Accountability functions which require IANA to report on specific aspects of its performance</w:t>
            </w:r>
          </w:p>
        </w:tc>
      </w:tr>
      <w:tr w:rsidR="001219E7" w:rsidRPr="001219E7" w14:paraId="04D91DE5" w14:textId="77777777" w:rsidTr="00BF0E22">
        <w:tc>
          <w:tcPr>
            <w:tcW w:w="2988" w:type="dxa"/>
          </w:tcPr>
          <w:p w14:paraId="13F6CCA8" w14:textId="77777777" w:rsidR="001219E7" w:rsidRPr="001219E7" w:rsidRDefault="001219E7" w:rsidP="00BF0E2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1219E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Summary Description</w:t>
            </w:r>
          </w:p>
        </w:tc>
        <w:tc>
          <w:tcPr>
            <w:tcW w:w="5868" w:type="dxa"/>
          </w:tcPr>
          <w:p w14:paraId="7E161335" w14:textId="77777777" w:rsidR="001219E7" w:rsidRPr="001219E7" w:rsidRDefault="001219E7" w:rsidP="00CE35D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Section C.4.2 of the</w:t>
            </w:r>
            <w:r w:rsidR="00CE35D4">
              <w:rPr>
                <w:rFonts w:asciiTheme="majorHAnsi" w:hAnsiTheme="majorHAnsi"/>
                <w:sz w:val="22"/>
                <w:szCs w:val="22"/>
              </w:rPr>
              <w:t xml:space="preserve"> IANA Functions Contract for NTIA outlines the requirements for the monthly performance progress report. The transition proposal will need to detail how these requirements are continued and/or modified post-transition. </w:t>
            </w:r>
          </w:p>
          <w:p w14:paraId="2FEBD1B7" w14:textId="77777777" w:rsidR="001219E7" w:rsidRPr="001219E7" w:rsidRDefault="001219E7" w:rsidP="001219E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Currently, t</w:t>
            </w:r>
            <w:r w:rsidRPr="001219E7">
              <w:rPr>
                <w:rFonts w:asciiTheme="majorHAnsi" w:hAnsiTheme="majorHAnsi"/>
                <w:sz w:val="22"/>
                <w:szCs w:val="22"/>
              </w:rPr>
              <w:t xml:space="preserve">hese reports are public and list the current SLEs - these can be found at: </w:t>
            </w:r>
            <w:hyperlink r:id="rId6" w:history="1">
              <w:r w:rsidRPr="001219E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http://www.iana.org/performance/metrics/20130915</w:t>
              </w:r>
            </w:hyperlink>
            <w:r w:rsidRPr="001219E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219E7" w:rsidRPr="001219E7" w14:paraId="1F26FF15" w14:textId="77777777" w:rsidTr="00BF0E22">
        <w:tc>
          <w:tcPr>
            <w:tcW w:w="2988" w:type="dxa"/>
          </w:tcPr>
          <w:p w14:paraId="185C8773" w14:textId="77777777" w:rsidR="001219E7" w:rsidRPr="001219E7" w:rsidRDefault="001219E7" w:rsidP="00BF0E2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1219E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Detailed description</w:t>
            </w:r>
          </w:p>
        </w:tc>
        <w:tc>
          <w:tcPr>
            <w:tcW w:w="5868" w:type="dxa"/>
          </w:tcPr>
          <w:p w14:paraId="30C51587" w14:textId="77777777" w:rsidR="001219E7" w:rsidRPr="001219E7" w:rsidRDefault="001219E7" w:rsidP="001219E7">
            <w:pPr>
              <w:rPr>
                <w:rFonts w:asciiTheme="majorHAnsi" w:hAnsiTheme="majorHAnsi"/>
                <w:sz w:val="22"/>
                <w:szCs w:val="22"/>
              </w:rPr>
            </w:pPr>
            <w:r w:rsidRPr="001219E7">
              <w:rPr>
                <w:rFonts w:asciiTheme="majorHAnsi" w:hAnsiTheme="majorHAnsi"/>
                <w:sz w:val="22"/>
                <w:szCs w:val="22"/>
              </w:rPr>
              <w:t>This design team is expected to provide the following deliverables to be included in the draft transition report following CWG agreement:</w:t>
            </w:r>
          </w:p>
          <w:p w14:paraId="13D7B237" w14:textId="65FA8127" w:rsidR="001219E7" w:rsidRPr="001219E7" w:rsidRDefault="003A4032" w:rsidP="001219E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Review </w:t>
            </w:r>
            <w:r w:rsidR="001219E7" w:rsidRPr="001219E7">
              <w:rPr>
                <w:rFonts w:asciiTheme="majorHAnsi" w:hAnsiTheme="majorHAnsi"/>
              </w:rPr>
              <w:t xml:space="preserve">the IANA functions and their </w:t>
            </w:r>
            <w:r w:rsidR="001219E7">
              <w:rPr>
                <w:rFonts w:asciiTheme="majorHAnsi" w:hAnsiTheme="majorHAnsi"/>
              </w:rPr>
              <w:t>current</w:t>
            </w:r>
            <w:r w:rsidR="00CE35D4">
              <w:rPr>
                <w:rFonts w:asciiTheme="majorHAnsi" w:hAnsiTheme="majorHAnsi"/>
              </w:rPr>
              <w:t xml:space="preserve"> SLEs</w:t>
            </w:r>
          </w:p>
          <w:p w14:paraId="54DC971C" w14:textId="49613C14" w:rsidR="001219E7" w:rsidRPr="001219E7" w:rsidRDefault="009A6DAA" w:rsidP="001219E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 xml:space="preserve">Document, list </w:t>
            </w:r>
            <w:r w:rsidR="001219E7" w:rsidRPr="001219E7">
              <w:rPr>
                <w:rFonts w:asciiTheme="majorHAnsi" w:hAnsiTheme="majorHAnsi"/>
              </w:rPr>
              <w:t xml:space="preserve">and detail </w:t>
            </w:r>
            <w:r w:rsidR="001219E7">
              <w:rPr>
                <w:rFonts w:asciiTheme="majorHAnsi" w:hAnsiTheme="majorHAnsi"/>
              </w:rPr>
              <w:t xml:space="preserve">how these current SLEs should be modified as part of the transition proposal to address </w:t>
            </w:r>
            <w:r w:rsidR="001219E7" w:rsidRPr="001219E7">
              <w:rPr>
                <w:rFonts w:asciiTheme="majorHAnsi" w:hAnsiTheme="majorHAnsi"/>
              </w:rPr>
              <w:t>any gaps or issues</w:t>
            </w:r>
            <w:r w:rsidR="001219E7">
              <w:rPr>
                <w:rFonts w:asciiTheme="majorHAnsi" w:hAnsiTheme="majorHAnsi"/>
              </w:rPr>
              <w:t xml:space="preserve"> that were identified </w:t>
            </w:r>
          </w:p>
          <w:p w14:paraId="2D9DF0AE" w14:textId="6738B225" w:rsidR="001219E7" w:rsidRPr="00CE35D4" w:rsidRDefault="001219E7" w:rsidP="001219E7">
            <w:pPr>
              <w:rPr>
                <w:rFonts w:asciiTheme="majorHAnsi" w:hAnsiTheme="majorHAnsi"/>
                <w:sz w:val="22"/>
                <w:szCs w:val="22"/>
              </w:rPr>
            </w:pPr>
            <w:r w:rsidRPr="00CE35D4">
              <w:rPr>
                <w:rFonts w:asciiTheme="majorHAnsi" w:hAnsiTheme="majorHAnsi"/>
                <w:sz w:val="22"/>
                <w:szCs w:val="22"/>
              </w:rPr>
              <w:t>Following the completion of this specific task, this DT may continue</w:t>
            </w:r>
            <w:r w:rsidR="00B140A3">
              <w:rPr>
                <w:rFonts w:asciiTheme="majorHAnsi" w:hAnsiTheme="majorHAnsi"/>
                <w:sz w:val="22"/>
                <w:szCs w:val="22"/>
              </w:rPr>
              <w:t xml:space="preserve"> if directed by the CWG Co-Chairs</w:t>
            </w:r>
            <w:r w:rsidRPr="00CE35D4">
              <w:rPr>
                <w:rFonts w:asciiTheme="majorHAnsi" w:hAnsiTheme="majorHAnsi"/>
                <w:sz w:val="22"/>
                <w:szCs w:val="22"/>
              </w:rPr>
              <w:t xml:space="preserve"> (in the same, or in a slightly modified composition) to address other elements that closely relate to the SLE namely </w:t>
            </w:r>
            <w:r w:rsidRPr="00CE35D4">
              <w:rPr>
                <w:rFonts w:ascii="Calibri" w:hAnsi="Calibri" w:cs="Calibri"/>
                <w:sz w:val="22"/>
                <w:szCs w:val="22"/>
              </w:rPr>
              <w:t xml:space="preserve">escalations, documentation, reporting and collaboration. </w:t>
            </w:r>
          </w:p>
        </w:tc>
      </w:tr>
      <w:tr w:rsidR="001219E7" w:rsidRPr="001219E7" w14:paraId="50C2BDB6" w14:textId="77777777" w:rsidTr="00BF0E22">
        <w:tc>
          <w:tcPr>
            <w:tcW w:w="2988" w:type="dxa"/>
          </w:tcPr>
          <w:p w14:paraId="36148120" w14:textId="77777777" w:rsidR="001219E7" w:rsidRPr="001219E7" w:rsidRDefault="001219E7" w:rsidP="00BF0E2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1219E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Proposed Membership</w:t>
            </w:r>
          </w:p>
        </w:tc>
        <w:tc>
          <w:tcPr>
            <w:tcW w:w="5868" w:type="dxa"/>
          </w:tcPr>
          <w:p w14:paraId="4BAA80D1" w14:textId="77777777" w:rsidR="001219E7" w:rsidRPr="001219E7" w:rsidRDefault="001219E7" w:rsidP="00BF0E2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3 </w:t>
            </w:r>
            <w:proofErr w:type="spellStart"/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>gTLD</w:t>
            </w:r>
            <w:proofErr w:type="spellEnd"/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 registry representatives (note, the </w:t>
            </w:r>
            <w:proofErr w:type="spellStart"/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>RySG</w:t>
            </w:r>
            <w:proofErr w:type="spellEnd"/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 has already proposed the following names: Jeff </w:t>
            </w:r>
            <w:proofErr w:type="spellStart"/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>Eckhaus</w:t>
            </w:r>
            <w:proofErr w:type="spellEnd"/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, Jeff </w:t>
            </w:r>
            <w:proofErr w:type="spellStart"/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>Neuman</w:t>
            </w:r>
            <w:proofErr w:type="spellEnd"/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, Elaine </w:t>
            </w:r>
            <w:proofErr w:type="spellStart"/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>Pruis</w:t>
            </w:r>
            <w:proofErr w:type="spellEnd"/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>)</w:t>
            </w:r>
          </w:p>
          <w:p w14:paraId="671CA3BF" w14:textId="57E661B6" w:rsidR="001219E7" w:rsidRPr="001219E7" w:rsidRDefault="001219E7" w:rsidP="0064264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3 </w:t>
            </w:r>
            <w:proofErr w:type="spellStart"/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>ccTLD</w:t>
            </w:r>
            <w:proofErr w:type="spellEnd"/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 registry representatives</w:t>
            </w:r>
            <w:r w:rsidR="009A6DAA">
              <w:rPr>
                <w:rFonts w:asciiTheme="majorHAnsi" w:hAnsiTheme="majorHAnsi" w:cs="Calibri"/>
                <w:bCs/>
                <w:sz w:val="22"/>
                <w:szCs w:val="22"/>
              </w:rPr>
              <w:t>, Jay Daley, (AP Region)</w:t>
            </w:r>
            <w:r w:rsidR="00642649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, </w:t>
            </w:r>
            <w:r w:rsidR="00642649" w:rsidRPr="00642649">
              <w:rPr>
                <w:rFonts w:asciiTheme="majorHAnsi" w:hAnsiTheme="majorHAnsi" w:cs="Calibri"/>
                <w:bCs/>
                <w:sz w:val="22"/>
                <w:szCs w:val="22"/>
              </w:rPr>
              <w:t>Pa</w:t>
            </w:r>
            <w:r w:rsidR="00642649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tricio </w:t>
            </w:r>
            <w:proofErr w:type="spellStart"/>
            <w:r w:rsidR="00642649">
              <w:rPr>
                <w:rFonts w:asciiTheme="majorHAnsi" w:hAnsiTheme="majorHAnsi" w:cs="Calibri"/>
                <w:bCs/>
                <w:sz w:val="22"/>
                <w:szCs w:val="22"/>
              </w:rPr>
              <w:t>Poblete</w:t>
            </w:r>
            <w:proofErr w:type="spellEnd"/>
            <w:r w:rsidR="009A6DAA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 (LAC Region) and Paul Kane (Europe).</w:t>
            </w:r>
          </w:p>
        </w:tc>
      </w:tr>
      <w:tr w:rsidR="001219E7" w:rsidRPr="001219E7" w14:paraId="4D1E613B" w14:textId="77777777" w:rsidTr="00BF0E22">
        <w:tc>
          <w:tcPr>
            <w:tcW w:w="2988" w:type="dxa"/>
          </w:tcPr>
          <w:p w14:paraId="59F4DB76" w14:textId="77777777" w:rsidR="001219E7" w:rsidRPr="001219E7" w:rsidRDefault="001219E7" w:rsidP="00BF0E2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1219E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Proposed by / Lead</w:t>
            </w:r>
          </w:p>
        </w:tc>
        <w:tc>
          <w:tcPr>
            <w:tcW w:w="5868" w:type="dxa"/>
          </w:tcPr>
          <w:p w14:paraId="219430BC" w14:textId="77777777" w:rsidR="001219E7" w:rsidRPr="001219E7" w:rsidRDefault="001219E7" w:rsidP="00BF0E2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1219E7">
              <w:rPr>
                <w:rFonts w:asciiTheme="majorHAnsi" w:hAnsiTheme="majorHAnsi" w:cs="Calibri"/>
                <w:bCs/>
                <w:sz w:val="22"/>
                <w:szCs w:val="22"/>
              </w:rPr>
              <w:t>Paul Kane</w:t>
            </w:r>
          </w:p>
        </w:tc>
      </w:tr>
    </w:tbl>
    <w:p w14:paraId="2184F279" w14:textId="77777777" w:rsidR="00C029D1" w:rsidRDefault="00C029D1"/>
    <w:sectPr w:rsidR="00C029D1" w:rsidSect="00C029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317"/>
    <w:multiLevelType w:val="hybridMultilevel"/>
    <w:tmpl w:val="269A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47DBA"/>
    <w:multiLevelType w:val="hybridMultilevel"/>
    <w:tmpl w:val="57467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E7"/>
    <w:rsid w:val="0011115F"/>
    <w:rsid w:val="001219E7"/>
    <w:rsid w:val="003A4032"/>
    <w:rsid w:val="004B559E"/>
    <w:rsid w:val="00642649"/>
    <w:rsid w:val="007F2A06"/>
    <w:rsid w:val="009A6DAA"/>
    <w:rsid w:val="00B140A3"/>
    <w:rsid w:val="00C029D1"/>
    <w:rsid w:val="00C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BE79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19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19E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19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19E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ana.org/performance/metrics/20130915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Konings</dc:creator>
  <cp:lastModifiedBy>Marika Konings</cp:lastModifiedBy>
  <cp:revision>2</cp:revision>
  <dcterms:created xsi:type="dcterms:W3CDTF">2015-02-28T22:18:00Z</dcterms:created>
  <dcterms:modified xsi:type="dcterms:W3CDTF">2015-02-28T22:18:00Z</dcterms:modified>
</cp:coreProperties>
</file>