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678"/>
        <w:gridCol w:w="2160"/>
        <w:gridCol w:w="2070"/>
      </w:tblGrid>
      <w:tr w:rsidR="00702898" w:rsidRPr="00D05B2A" w:rsidTr="00D05B2A">
        <w:trPr>
          <w:cantSplit/>
          <w:tblHeader/>
        </w:trPr>
        <w:tc>
          <w:tcPr>
            <w:tcW w:w="6678" w:type="dxa"/>
            <w:shd w:val="clear" w:color="auto" w:fill="D9D9D9" w:themeFill="background1" w:themeFillShade="D9"/>
          </w:tcPr>
          <w:p w:rsidR="00702898" w:rsidRPr="00D05B2A" w:rsidRDefault="00702898" w:rsidP="00D05B2A">
            <w:pPr>
              <w:jc w:val="center"/>
              <w:rPr>
                <w:b/>
                <w:sz w:val="18"/>
                <w:szCs w:val="18"/>
              </w:rPr>
            </w:pPr>
            <w:bookmarkStart w:id="0" w:name="_GoBack"/>
            <w:bookmarkEnd w:id="0"/>
            <w:r w:rsidRPr="00D05B2A">
              <w:rPr>
                <w:b/>
                <w:sz w:val="18"/>
                <w:szCs w:val="18"/>
              </w:rPr>
              <w:t>SSAC069 Statement</w:t>
            </w:r>
            <w:r w:rsidR="002E3C70" w:rsidRPr="00D05B2A">
              <w:rPr>
                <w:b/>
                <w:sz w:val="18"/>
                <w:szCs w:val="18"/>
              </w:rPr>
              <w:t>s</w:t>
            </w:r>
          </w:p>
        </w:tc>
        <w:tc>
          <w:tcPr>
            <w:tcW w:w="2160" w:type="dxa"/>
            <w:shd w:val="clear" w:color="auto" w:fill="D9D9D9" w:themeFill="background1" w:themeFillShade="D9"/>
          </w:tcPr>
          <w:p w:rsidR="00702898" w:rsidRPr="00D05B2A" w:rsidRDefault="002E3C70" w:rsidP="00D05B2A">
            <w:pPr>
              <w:jc w:val="center"/>
              <w:rPr>
                <w:b/>
                <w:sz w:val="18"/>
                <w:szCs w:val="18"/>
              </w:rPr>
            </w:pPr>
            <w:r w:rsidRPr="00D05B2A">
              <w:rPr>
                <w:b/>
                <w:sz w:val="18"/>
                <w:szCs w:val="18"/>
              </w:rPr>
              <w:t>DT#</w:t>
            </w:r>
          </w:p>
        </w:tc>
        <w:tc>
          <w:tcPr>
            <w:tcW w:w="2070" w:type="dxa"/>
            <w:shd w:val="clear" w:color="auto" w:fill="D9D9D9" w:themeFill="background1" w:themeFillShade="D9"/>
          </w:tcPr>
          <w:p w:rsidR="00702898" w:rsidRPr="00D05B2A" w:rsidRDefault="002E3C70" w:rsidP="00D05B2A">
            <w:pPr>
              <w:jc w:val="center"/>
              <w:rPr>
                <w:b/>
                <w:sz w:val="18"/>
                <w:szCs w:val="18"/>
              </w:rPr>
            </w:pPr>
            <w:r w:rsidRPr="00D05B2A">
              <w:rPr>
                <w:b/>
                <w:sz w:val="18"/>
                <w:szCs w:val="18"/>
              </w:rPr>
              <w:t>Draft Proposal Section #</w:t>
            </w:r>
          </w:p>
        </w:tc>
      </w:tr>
      <w:tr w:rsidR="00702898" w:rsidRPr="00D05B2A" w:rsidTr="00D05B2A">
        <w:tc>
          <w:tcPr>
            <w:tcW w:w="6678" w:type="dxa"/>
          </w:tcPr>
          <w:p w:rsidR="002E3C70" w:rsidRPr="00D05B2A" w:rsidRDefault="002E3C70" w:rsidP="002E3C70">
            <w:pPr>
              <w:rPr>
                <w:sz w:val="18"/>
                <w:szCs w:val="18"/>
              </w:rPr>
            </w:pPr>
            <w:r w:rsidRPr="00C33603">
              <w:rPr>
                <w:b/>
                <w:sz w:val="18"/>
                <w:szCs w:val="18"/>
              </w:rPr>
              <w:t xml:space="preserve">Issue 1: </w:t>
            </w:r>
            <w:r w:rsidRPr="00D05B2A">
              <w:rPr>
                <w:sz w:val="18"/>
                <w:szCs w:val="18"/>
              </w:rPr>
              <w:t>After the IANA stewardship transition, which (if any) of the specific requirements and deliverables defined in the current IANA Functions Contract should be retained? Is external monitoring necessary for requirements that are retained? If so, how and by whom should it be performed?</w:t>
            </w:r>
          </w:p>
          <w:p w:rsidR="002E3C70" w:rsidRPr="00D05B2A" w:rsidRDefault="002E3C70" w:rsidP="002E3C70">
            <w:pPr>
              <w:rPr>
                <w:sz w:val="18"/>
                <w:szCs w:val="18"/>
              </w:rPr>
            </w:pPr>
            <w:r w:rsidRPr="00C33603">
              <w:rPr>
                <w:b/>
                <w:sz w:val="18"/>
                <w:szCs w:val="18"/>
              </w:rPr>
              <w:t xml:space="preserve">Recommendation 1: </w:t>
            </w:r>
            <w:r w:rsidRPr="00D05B2A">
              <w:rPr>
                <w:sz w:val="18"/>
                <w:szCs w:val="18"/>
              </w:rPr>
              <w:t xml:space="preserve">The operational communities (protocol parameters, names, and numbers) that have been invited to submit proposals should determine </w:t>
            </w:r>
          </w:p>
          <w:p w:rsidR="002E3C70" w:rsidRPr="00D05B2A" w:rsidRDefault="002E3C70" w:rsidP="002E3C70">
            <w:pPr>
              <w:rPr>
                <w:sz w:val="18"/>
                <w:szCs w:val="18"/>
              </w:rPr>
            </w:pPr>
            <w:r w:rsidRPr="00D05B2A">
              <w:rPr>
                <w:sz w:val="18"/>
                <w:szCs w:val="18"/>
              </w:rPr>
              <w:t xml:space="preserve">1) whether or not the requirements and deliverables defined in the IANA Functions Contract should be retained, and if so which ones; </w:t>
            </w:r>
          </w:p>
          <w:p w:rsidR="002E3C70" w:rsidRPr="00D05B2A" w:rsidRDefault="002E3C70" w:rsidP="002E3C70">
            <w:pPr>
              <w:rPr>
                <w:sz w:val="18"/>
                <w:szCs w:val="18"/>
              </w:rPr>
            </w:pPr>
            <w:r w:rsidRPr="00D05B2A">
              <w:rPr>
                <w:sz w:val="18"/>
                <w:szCs w:val="18"/>
              </w:rPr>
              <w:t xml:space="preserve">2) whether or not additional external controls are necessary for requirements that should be retained; and </w:t>
            </w:r>
          </w:p>
          <w:p w:rsidR="00702898" w:rsidRPr="00D05B2A" w:rsidRDefault="002E3C70" w:rsidP="002E3C70">
            <w:pPr>
              <w:rPr>
                <w:sz w:val="18"/>
                <w:szCs w:val="18"/>
              </w:rPr>
            </w:pPr>
            <w:r w:rsidRPr="00D05B2A">
              <w:rPr>
                <w:sz w:val="18"/>
                <w:szCs w:val="18"/>
              </w:rPr>
              <w:t xml:space="preserve">3) </w:t>
            </w:r>
            <w:proofErr w:type="gramStart"/>
            <w:r w:rsidRPr="00D05B2A">
              <w:rPr>
                <w:sz w:val="18"/>
                <w:szCs w:val="18"/>
              </w:rPr>
              <w:t>if</w:t>
            </w:r>
            <w:proofErr w:type="gramEnd"/>
            <w:r w:rsidRPr="00D05B2A">
              <w:rPr>
                <w:sz w:val="18"/>
                <w:szCs w:val="18"/>
              </w:rPr>
              <w:t xml:space="preserve"> additional external controls are necessary, how and by whom they should be administered.</w:t>
            </w:r>
          </w:p>
        </w:tc>
        <w:tc>
          <w:tcPr>
            <w:tcW w:w="2160" w:type="dxa"/>
          </w:tcPr>
          <w:p w:rsidR="00702898" w:rsidRDefault="004D7798">
            <w:pPr>
              <w:rPr>
                <w:sz w:val="18"/>
                <w:szCs w:val="18"/>
              </w:rPr>
            </w:pPr>
            <w:r>
              <w:rPr>
                <w:sz w:val="18"/>
                <w:szCs w:val="18"/>
              </w:rPr>
              <w:t>See next table</w:t>
            </w:r>
          </w:p>
          <w:p w:rsidR="004D7798" w:rsidRDefault="004D7798">
            <w:pPr>
              <w:rPr>
                <w:sz w:val="18"/>
                <w:szCs w:val="18"/>
              </w:rPr>
            </w:pPr>
          </w:p>
          <w:p w:rsidR="008254A1" w:rsidRDefault="008254A1">
            <w:pPr>
              <w:rPr>
                <w:sz w:val="18"/>
                <w:szCs w:val="18"/>
              </w:rPr>
            </w:pPr>
            <w:r>
              <w:rPr>
                <w:sz w:val="18"/>
                <w:szCs w:val="18"/>
              </w:rPr>
              <w:t>A</w:t>
            </w:r>
          </w:p>
          <w:p w:rsidR="008254A1" w:rsidRDefault="008254A1">
            <w:pPr>
              <w:rPr>
                <w:sz w:val="18"/>
                <w:szCs w:val="18"/>
              </w:rPr>
            </w:pPr>
          </w:p>
          <w:p w:rsidR="004D7798" w:rsidRDefault="004D7798">
            <w:pPr>
              <w:rPr>
                <w:sz w:val="18"/>
                <w:szCs w:val="18"/>
              </w:rPr>
            </w:pPr>
            <w:r>
              <w:rPr>
                <w:sz w:val="18"/>
                <w:szCs w:val="18"/>
              </w:rPr>
              <w:t>B</w:t>
            </w:r>
          </w:p>
          <w:p w:rsidR="004D7798" w:rsidRDefault="004D7798">
            <w:pPr>
              <w:rPr>
                <w:sz w:val="18"/>
                <w:szCs w:val="18"/>
              </w:rPr>
            </w:pPr>
          </w:p>
          <w:p w:rsidR="004D7798" w:rsidRDefault="004D7798">
            <w:pPr>
              <w:rPr>
                <w:sz w:val="18"/>
                <w:szCs w:val="18"/>
              </w:rPr>
            </w:pPr>
            <w:r>
              <w:rPr>
                <w:sz w:val="18"/>
                <w:szCs w:val="18"/>
              </w:rPr>
              <w:t>C</w:t>
            </w:r>
          </w:p>
          <w:p w:rsidR="008254A1" w:rsidRDefault="008254A1">
            <w:pPr>
              <w:rPr>
                <w:sz w:val="18"/>
                <w:szCs w:val="18"/>
              </w:rPr>
            </w:pPr>
          </w:p>
          <w:p w:rsidR="008254A1" w:rsidRPr="00D05B2A" w:rsidRDefault="008254A1">
            <w:pPr>
              <w:rPr>
                <w:sz w:val="18"/>
                <w:szCs w:val="18"/>
              </w:rPr>
            </w:pPr>
            <w:r>
              <w:rPr>
                <w:sz w:val="18"/>
                <w:szCs w:val="18"/>
              </w:rPr>
              <w:t>L</w:t>
            </w:r>
          </w:p>
        </w:tc>
        <w:tc>
          <w:tcPr>
            <w:tcW w:w="2070" w:type="dxa"/>
          </w:tcPr>
          <w:p w:rsidR="00702898" w:rsidRDefault="004D7798">
            <w:pPr>
              <w:rPr>
                <w:sz w:val="18"/>
                <w:szCs w:val="18"/>
              </w:rPr>
            </w:pPr>
            <w:r>
              <w:rPr>
                <w:sz w:val="18"/>
                <w:szCs w:val="18"/>
              </w:rPr>
              <w:t>NA</w:t>
            </w:r>
          </w:p>
          <w:p w:rsidR="004D7798" w:rsidRDefault="004D7798">
            <w:pPr>
              <w:rPr>
                <w:sz w:val="18"/>
                <w:szCs w:val="18"/>
              </w:rPr>
            </w:pPr>
          </w:p>
          <w:p w:rsidR="008254A1" w:rsidRDefault="008254A1" w:rsidP="004D7798">
            <w:pPr>
              <w:rPr>
                <w:rFonts w:cs="Times New Roman"/>
                <w:sz w:val="20"/>
                <w:szCs w:val="20"/>
              </w:rPr>
            </w:pPr>
            <w:r>
              <w:rPr>
                <w:rFonts w:cs="Times New Roman"/>
                <w:sz w:val="20"/>
                <w:szCs w:val="20"/>
              </w:rPr>
              <w:t>III.A.1.4.2</w:t>
            </w:r>
          </w:p>
          <w:p w:rsidR="008254A1" w:rsidRDefault="008254A1" w:rsidP="004D7798">
            <w:pPr>
              <w:rPr>
                <w:rFonts w:cs="Times New Roman"/>
                <w:sz w:val="20"/>
                <w:szCs w:val="20"/>
              </w:rPr>
            </w:pPr>
          </w:p>
          <w:p w:rsidR="004D7798" w:rsidRDefault="004D7798" w:rsidP="004D7798">
            <w:pPr>
              <w:rPr>
                <w:rFonts w:cs="Times New Roman"/>
                <w:sz w:val="20"/>
                <w:szCs w:val="20"/>
              </w:rPr>
            </w:pPr>
            <w:r>
              <w:rPr>
                <w:rFonts w:cs="Times New Roman"/>
                <w:sz w:val="20"/>
                <w:szCs w:val="20"/>
              </w:rPr>
              <w:t>III.A.1.1.3</w:t>
            </w:r>
          </w:p>
          <w:p w:rsidR="004D7798" w:rsidRDefault="004D7798">
            <w:pPr>
              <w:rPr>
                <w:sz w:val="18"/>
                <w:szCs w:val="18"/>
              </w:rPr>
            </w:pPr>
          </w:p>
          <w:p w:rsidR="004D7798" w:rsidRDefault="004D7798">
            <w:pPr>
              <w:rPr>
                <w:rFonts w:cs="Times New Roman"/>
                <w:sz w:val="20"/>
                <w:szCs w:val="20"/>
              </w:rPr>
            </w:pPr>
            <w:r>
              <w:rPr>
                <w:rFonts w:cs="Times New Roman"/>
                <w:sz w:val="20"/>
                <w:szCs w:val="20"/>
              </w:rPr>
              <w:t>III.A.1.3.1, III.A.1.3.2</w:t>
            </w:r>
          </w:p>
          <w:p w:rsidR="008254A1" w:rsidRDefault="008254A1">
            <w:pPr>
              <w:rPr>
                <w:rFonts w:cs="Times New Roman"/>
                <w:sz w:val="20"/>
                <w:szCs w:val="20"/>
              </w:rPr>
            </w:pPr>
          </w:p>
          <w:p w:rsidR="008254A1" w:rsidRPr="00D05B2A" w:rsidRDefault="008254A1">
            <w:pPr>
              <w:rPr>
                <w:sz w:val="18"/>
                <w:szCs w:val="18"/>
              </w:rPr>
            </w:pPr>
            <w:r>
              <w:rPr>
                <w:rFonts w:cs="Times New Roman"/>
                <w:sz w:val="20"/>
                <w:szCs w:val="20"/>
              </w:rPr>
              <w:t>III.A.1.1.1</w:t>
            </w:r>
          </w:p>
        </w:tc>
      </w:tr>
      <w:tr w:rsidR="00702898" w:rsidRPr="00D05B2A" w:rsidTr="00D05B2A">
        <w:tc>
          <w:tcPr>
            <w:tcW w:w="6678" w:type="dxa"/>
          </w:tcPr>
          <w:p w:rsidR="002E3C70" w:rsidRPr="00D05B2A" w:rsidRDefault="002E3C70" w:rsidP="002E3C70">
            <w:pPr>
              <w:rPr>
                <w:sz w:val="18"/>
                <w:szCs w:val="18"/>
              </w:rPr>
            </w:pPr>
            <w:r w:rsidRPr="00C33603">
              <w:rPr>
                <w:b/>
                <w:sz w:val="18"/>
                <w:szCs w:val="18"/>
              </w:rPr>
              <w:t xml:space="preserve">Issue 2: </w:t>
            </w:r>
            <w:r w:rsidRPr="00D05B2A">
              <w:rPr>
                <w:sz w:val="18"/>
                <w:szCs w:val="18"/>
              </w:rPr>
              <w:t>Are existing mechanisms (other than the IANA Functions Contract) for holding ICANN accountable for the proper performance of the IANA Functions adequate? If not, what additional accountability mechanisms would be needed after the IANA Functions transition?</w:t>
            </w:r>
          </w:p>
          <w:p w:rsidR="002E3C70" w:rsidRPr="00D05B2A" w:rsidRDefault="002E3C70" w:rsidP="002E3C70">
            <w:pPr>
              <w:rPr>
                <w:sz w:val="18"/>
                <w:szCs w:val="18"/>
              </w:rPr>
            </w:pPr>
            <w:r w:rsidRPr="00C33603">
              <w:rPr>
                <w:b/>
                <w:sz w:val="18"/>
                <w:szCs w:val="18"/>
              </w:rPr>
              <w:t xml:space="preserve">Recommendation 2a: </w:t>
            </w:r>
            <w:r w:rsidRPr="00D05B2A">
              <w:rPr>
                <w:sz w:val="18"/>
                <w:szCs w:val="18"/>
              </w:rPr>
              <w:t>Each of the communities should determine whether or not existing mechanisms outside of the IANA Functions Contract are sufficiently robust to hold the IANA Functions Operator accountable to the affected communities for the proper performance of the IANA Functions after the IANA Functions Contract expires; and if they are not, the communities should determine what additional accountability mechanisms will be needed.</w:t>
            </w:r>
          </w:p>
          <w:p w:rsidR="00702898" w:rsidRPr="00D05B2A" w:rsidRDefault="002E3C70" w:rsidP="002E3C70">
            <w:pPr>
              <w:rPr>
                <w:sz w:val="18"/>
                <w:szCs w:val="18"/>
              </w:rPr>
            </w:pPr>
            <w:r w:rsidRPr="00C33603">
              <w:rPr>
                <w:b/>
                <w:sz w:val="18"/>
                <w:szCs w:val="18"/>
              </w:rPr>
              <w:t xml:space="preserve">Recommendation 2b: </w:t>
            </w:r>
            <w:r w:rsidRPr="00D05B2A">
              <w:rPr>
                <w:sz w:val="18"/>
                <w:szCs w:val="18"/>
              </w:rPr>
              <w:t>Each of the communities should review and (if necessary) enhance its policy development process to ensure that all of the instructions that it provides to the IANA Functions Operator are clear and implementable.</w:t>
            </w:r>
          </w:p>
        </w:tc>
        <w:tc>
          <w:tcPr>
            <w:tcW w:w="2160" w:type="dxa"/>
          </w:tcPr>
          <w:p w:rsidR="00702898" w:rsidRDefault="004D7798">
            <w:pPr>
              <w:rPr>
                <w:sz w:val="18"/>
                <w:szCs w:val="18"/>
              </w:rPr>
            </w:pPr>
            <w:r>
              <w:rPr>
                <w:sz w:val="18"/>
                <w:szCs w:val="18"/>
              </w:rPr>
              <w:t>B</w:t>
            </w:r>
          </w:p>
          <w:p w:rsidR="004D7798" w:rsidRDefault="004D7798">
            <w:pPr>
              <w:rPr>
                <w:sz w:val="18"/>
                <w:szCs w:val="18"/>
              </w:rPr>
            </w:pPr>
          </w:p>
          <w:p w:rsidR="004D7798" w:rsidRDefault="004D7798">
            <w:pPr>
              <w:rPr>
                <w:sz w:val="18"/>
                <w:szCs w:val="18"/>
              </w:rPr>
            </w:pPr>
            <w:r>
              <w:rPr>
                <w:sz w:val="18"/>
                <w:szCs w:val="18"/>
              </w:rPr>
              <w:t>C</w:t>
            </w:r>
          </w:p>
          <w:p w:rsidR="008254A1" w:rsidRDefault="008254A1">
            <w:pPr>
              <w:rPr>
                <w:sz w:val="18"/>
                <w:szCs w:val="18"/>
              </w:rPr>
            </w:pPr>
          </w:p>
          <w:p w:rsidR="008254A1" w:rsidRPr="00D05B2A" w:rsidRDefault="008254A1">
            <w:pPr>
              <w:rPr>
                <w:sz w:val="18"/>
                <w:szCs w:val="18"/>
              </w:rPr>
            </w:pPr>
            <w:r>
              <w:rPr>
                <w:sz w:val="18"/>
                <w:szCs w:val="18"/>
              </w:rPr>
              <w:t>NA</w:t>
            </w:r>
          </w:p>
        </w:tc>
        <w:tc>
          <w:tcPr>
            <w:tcW w:w="2070" w:type="dxa"/>
          </w:tcPr>
          <w:p w:rsidR="00702898" w:rsidRDefault="004D7798">
            <w:pPr>
              <w:rPr>
                <w:rFonts w:cs="Times New Roman"/>
                <w:sz w:val="20"/>
                <w:szCs w:val="20"/>
              </w:rPr>
            </w:pPr>
            <w:r>
              <w:rPr>
                <w:rFonts w:cs="Times New Roman"/>
                <w:sz w:val="20"/>
                <w:szCs w:val="20"/>
              </w:rPr>
              <w:t>III.A.1.1.3</w:t>
            </w:r>
          </w:p>
          <w:p w:rsidR="004D7798" w:rsidRDefault="004D7798">
            <w:pPr>
              <w:rPr>
                <w:rFonts w:cs="Times New Roman"/>
                <w:sz w:val="20"/>
                <w:szCs w:val="20"/>
              </w:rPr>
            </w:pPr>
          </w:p>
          <w:p w:rsidR="004D7798" w:rsidRDefault="004D7798">
            <w:pPr>
              <w:rPr>
                <w:rFonts w:cs="Times New Roman"/>
                <w:sz w:val="20"/>
                <w:szCs w:val="20"/>
              </w:rPr>
            </w:pPr>
            <w:r>
              <w:rPr>
                <w:rFonts w:cs="Times New Roman"/>
                <w:sz w:val="20"/>
                <w:szCs w:val="20"/>
              </w:rPr>
              <w:t>III.A.1.3.1, III.A.1.3.2</w:t>
            </w:r>
          </w:p>
          <w:p w:rsidR="008254A1" w:rsidRDefault="008254A1">
            <w:pPr>
              <w:rPr>
                <w:rFonts w:cs="Times New Roman"/>
                <w:sz w:val="20"/>
                <w:szCs w:val="20"/>
              </w:rPr>
            </w:pPr>
          </w:p>
          <w:p w:rsidR="008254A1" w:rsidRPr="00D05B2A" w:rsidRDefault="008254A1">
            <w:pPr>
              <w:rPr>
                <w:sz w:val="18"/>
                <w:szCs w:val="18"/>
              </w:rPr>
            </w:pPr>
            <w:r>
              <w:rPr>
                <w:rFonts w:cs="Times New Roman"/>
                <w:sz w:val="20"/>
                <w:szCs w:val="20"/>
              </w:rPr>
              <w:t>CCWG?</w:t>
            </w:r>
          </w:p>
        </w:tc>
      </w:tr>
      <w:tr w:rsidR="00702898" w:rsidRPr="00D05B2A" w:rsidTr="00D05B2A">
        <w:tc>
          <w:tcPr>
            <w:tcW w:w="6678" w:type="dxa"/>
          </w:tcPr>
          <w:p w:rsidR="002E3C70" w:rsidRPr="00D05B2A" w:rsidRDefault="002E3C70" w:rsidP="002E3C70">
            <w:pPr>
              <w:rPr>
                <w:sz w:val="18"/>
                <w:szCs w:val="18"/>
              </w:rPr>
            </w:pPr>
            <w:r w:rsidRPr="00C33603">
              <w:rPr>
                <w:b/>
                <w:sz w:val="18"/>
                <w:szCs w:val="18"/>
              </w:rPr>
              <w:t>Issue 3:</w:t>
            </w:r>
            <w:r w:rsidRPr="00D05B2A">
              <w:rPr>
                <w:sz w:val="18"/>
                <w:szCs w:val="18"/>
              </w:rPr>
              <w:t xml:space="preserve"> In the absence of NTIA involvement after the stewardship transition, would it be more difficult for the IANA Functions Operator to obtain waivers or licenses in order to legally interact with entities subject to governmental sanction?</w:t>
            </w:r>
          </w:p>
          <w:p w:rsidR="00702898" w:rsidRPr="00D05B2A" w:rsidRDefault="002E3C70" w:rsidP="00E20AE4">
            <w:pPr>
              <w:rPr>
                <w:sz w:val="18"/>
                <w:szCs w:val="18"/>
              </w:rPr>
            </w:pPr>
            <w:r w:rsidRPr="00C33603">
              <w:rPr>
                <w:b/>
                <w:sz w:val="18"/>
                <w:szCs w:val="18"/>
              </w:rPr>
              <w:t>Recommendation 3:</w:t>
            </w:r>
            <w:r w:rsidRPr="00D05B2A">
              <w:rPr>
                <w:sz w:val="18"/>
                <w:szCs w:val="18"/>
              </w:rPr>
              <w:t xml:space="preserve"> Each of the communities should investigate and clarify the process for handling the possibility of governmental sanctions and restrictions (e.g., the protocol for obtaining OFAC licenses where US sanctions might interfere with the ability to execute proper instructions to IANA) following the stewardship transition.</w:t>
            </w:r>
          </w:p>
        </w:tc>
        <w:tc>
          <w:tcPr>
            <w:tcW w:w="2160" w:type="dxa"/>
          </w:tcPr>
          <w:p w:rsidR="00702898" w:rsidRPr="00D05B2A" w:rsidRDefault="00E20AE4">
            <w:pPr>
              <w:rPr>
                <w:sz w:val="18"/>
                <w:szCs w:val="18"/>
              </w:rPr>
            </w:pPr>
            <w:r>
              <w:rPr>
                <w:sz w:val="18"/>
                <w:szCs w:val="18"/>
              </w:rPr>
              <w:t>K</w:t>
            </w:r>
          </w:p>
        </w:tc>
        <w:tc>
          <w:tcPr>
            <w:tcW w:w="2070" w:type="dxa"/>
          </w:tcPr>
          <w:p w:rsidR="00702898" w:rsidRPr="00D05B2A" w:rsidRDefault="00E20AE4">
            <w:pPr>
              <w:rPr>
                <w:sz w:val="18"/>
                <w:szCs w:val="18"/>
              </w:rPr>
            </w:pPr>
            <w:r>
              <w:rPr>
                <w:rFonts w:cs="Times New Roman"/>
                <w:sz w:val="20"/>
                <w:szCs w:val="20"/>
              </w:rPr>
              <w:t>III.A.1.3.3</w:t>
            </w:r>
          </w:p>
        </w:tc>
      </w:tr>
      <w:tr w:rsidR="00702898" w:rsidRPr="00D05B2A" w:rsidTr="00D05B2A">
        <w:tc>
          <w:tcPr>
            <w:tcW w:w="6678" w:type="dxa"/>
          </w:tcPr>
          <w:p w:rsidR="002E3C70" w:rsidRPr="00D05B2A" w:rsidRDefault="002E3C70" w:rsidP="002E3C70">
            <w:pPr>
              <w:rPr>
                <w:sz w:val="18"/>
                <w:szCs w:val="18"/>
              </w:rPr>
            </w:pPr>
            <w:r w:rsidRPr="00C33603">
              <w:rPr>
                <w:b/>
                <w:sz w:val="18"/>
                <w:szCs w:val="18"/>
              </w:rPr>
              <w:t>Issue 4:</w:t>
            </w:r>
            <w:r w:rsidRPr="00D05B2A">
              <w:rPr>
                <w:sz w:val="18"/>
                <w:szCs w:val="18"/>
              </w:rPr>
              <w:t xml:space="preserve"> After the stewardship transition, how can the community discourage outside political or economic interests from attempting to improperly influence the IANA Functions Operator in the performance of the IANA Functions?</w:t>
            </w:r>
          </w:p>
          <w:p w:rsidR="00702898" w:rsidRPr="00D05B2A" w:rsidRDefault="002E3C70" w:rsidP="002E3C70">
            <w:pPr>
              <w:rPr>
                <w:sz w:val="18"/>
                <w:szCs w:val="18"/>
              </w:rPr>
            </w:pPr>
            <w:r w:rsidRPr="00C33603">
              <w:rPr>
                <w:b/>
                <w:sz w:val="18"/>
                <w:szCs w:val="18"/>
              </w:rPr>
              <w:t>Recommendation 4:</w:t>
            </w:r>
            <w:r w:rsidRPr="00D05B2A">
              <w:rPr>
                <w:sz w:val="18"/>
                <w:szCs w:val="18"/>
              </w:rPr>
              <w:t xml:space="preserve"> As part of the transition process, each of the affected communities should consider the extent to which the importance of transparency and freedom from improper influence in the performance of the IANA Functions might require additional mechanisms or other safeguards.</w:t>
            </w:r>
          </w:p>
        </w:tc>
        <w:tc>
          <w:tcPr>
            <w:tcW w:w="2160" w:type="dxa"/>
          </w:tcPr>
          <w:p w:rsidR="00702898" w:rsidRPr="00D05B2A" w:rsidRDefault="004D7798">
            <w:pPr>
              <w:rPr>
                <w:sz w:val="18"/>
                <w:szCs w:val="18"/>
              </w:rPr>
            </w:pPr>
            <w:r>
              <w:rPr>
                <w:sz w:val="18"/>
                <w:szCs w:val="18"/>
              </w:rPr>
              <w:t>NA</w:t>
            </w:r>
          </w:p>
        </w:tc>
        <w:tc>
          <w:tcPr>
            <w:tcW w:w="2070" w:type="dxa"/>
          </w:tcPr>
          <w:p w:rsidR="00702898" w:rsidRPr="00D05B2A" w:rsidRDefault="004D7798">
            <w:pPr>
              <w:rPr>
                <w:sz w:val="18"/>
                <w:szCs w:val="18"/>
              </w:rPr>
            </w:pPr>
            <w:r>
              <w:rPr>
                <w:sz w:val="18"/>
                <w:szCs w:val="18"/>
              </w:rPr>
              <w:t>CCWG?</w:t>
            </w:r>
          </w:p>
        </w:tc>
      </w:tr>
      <w:tr w:rsidR="00702898" w:rsidRPr="00D05B2A" w:rsidTr="00D05B2A">
        <w:tc>
          <w:tcPr>
            <w:tcW w:w="6678" w:type="dxa"/>
          </w:tcPr>
          <w:p w:rsidR="002E3C70" w:rsidRPr="00D05B2A" w:rsidRDefault="002E3C70" w:rsidP="002E3C70">
            <w:pPr>
              <w:rPr>
                <w:sz w:val="18"/>
                <w:szCs w:val="18"/>
              </w:rPr>
            </w:pPr>
            <w:r w:rsidRPr="00C33603">
              <w:rPr>
                <w:b/>
                <w:sz w:val="18"/>
                <w:szCs w:val="18"/>
              </w:rPr>
              <w:t>Issue 5:</w:t>
            </w:r>
            <w:r w:rsidRPr="00D05B2A">
              <w:rPr>
                <w:sz w:val="18"/>
                <w:szCs w:val="18"/>
              </w:rPr>
              <w:t xml:space="preserve"> Is there a need for a Final Authorization Authority for changes to the root zone following NTIA’s withdrawal from this role? If so, how should that Authority be structured and exercised?</w:t>
            </w:r>
          </w:p>
          <w:p w:rsidR="00702898" w:rsidRPr="00D05B2A" w:rsidRDefault="002E3C70" w:rsidP="002E3C70">
            <w:pPr>
              <w:rPr>
                <w:sz w:val="18"/>
                <w:szCs w:val="18"/>
              </w:rPr>
            </w:pPr>
            <w:r w:rsidRPr="00C33603">
              <w:rPr>
                <w:b/>
                <w:sz w:val="18"/>
                <w:szCs w:val="18"/>
              </w:rPr>
              <w:t>Recommendation 5:</w:t>
            </w:r>
            <w:r w:rsidRPr="00D05B2A">
              <w:rPr>
                <w:sz w:val="18"/>
                <w:szCs w:val="18"/>
              </w:rPr>
              <w:t xml:space="preserve"> Noting the stability and efficiency of existing structures, processes, and mechanisms for the management of the root zone, the SSAC recommends that any proposal to replace NTIA’s final authorization of root zone changes with an alternative be at least as reliable, resilient, and efficient as the current process.</w:t>
            </w:r>
          </w:p>
        </w:tc>
        <w:tc>
          <w:tcPr>
            <w:tcW w:w="2160" w:type="dxa"/>
          </w:tcPr>
          <w:p w:rsidR="00702898" w:rsidRPr="00D05B2A" w:rsidRDefault="004D7798">
            <w:pPr>
              <w:rPr>
                <w:sz w:val="18"/>
                <w:szCs w:val="18"/>
              </w:rPr>
            </w:pPr>
            <w:r>
              <w:rPr>
                <w:sz w:val="18"/>
                <w:szCs w:val="18"/>
              </w:rPr>
              <w:t>D</w:t>
            </w:r>
          </w:p>
        </w:tc>
        <w:tc>
          <w:tcPr>
            <w:tcW w:w="2070" w:type="dxa"/>
          </w:tcPr>
          <w:p w:rsidR="00702898" w:rsidRPr="00D05B2A" w:rsidRDefault="004D7798">
            <w:pPr>
              <w:rPr>
                <w:sz w:val="18"/>
                <w:szCs w:val="18"/>
              </w:rPr>
            </w:pPr>
            <w:r>
              <w:rPr>
                <w:sz w:val="18"/>
                <w:szCs w:val="18"/>
              </w:rPr>
              <w:t>III.A.2</w:t>
            </w:r>
          </w:p>
        </w:tc>
      </w:tr>
      <w:tr w:rsidR="004D7798" w:rsidRPr="00D05B2A" w:rsidTr="00D05B2A">
        <w:tc>
          <w:tcPr>
            <w:tcW w:w="6678" w:type="dxa"/>
          </w:tcPr>
          <w:p w:rsidR="004D7798" w:rsidRPr="00D05B2A" w:rsidRDefault="004D7798" w:rsidP="002E3C70">
            <w:pPr>
              <w:rPr>
                <w:sz w:val="18"/>
                <w:szCs w:val="18"/>
              </w:rPr>
            </w:pPr>
            <w:r w:rsidRPr="00C33603">
              <w:rPr>
                <w:b/>
                <w:sz w:val="18"/>
                <w:szCs w:val="18"/>
              </w:rPr>
              <w:t>Issue 6:</w:t>
            </w:r>
            <w:r w:rsidRPr="00D05B2A">
              <w:rPr>
                <w:sz w:val="18"/>
                <w:szCs w:val="18"/>
              </w:rPr>
              <w:t xml:space="preserve"> What arrangements should be made for post-transition implementation of the Root Zone Management Process?</w:t>
            </w:r>
          </w:p>
          <w:p w:rsidR="004D7798" w:rsidRPr="00D05B2A" w:rsidRDefault="004D7798" w:rsidP="002E3C70">
            <w:pPr>
              <w:rPr>
                <w:sz w:val="18"/>
                <w:szCs w:val="18"/>
              </w:rPr>
            </w:pPr>
            <w:r w:rsidRPr="00C33603">
              <w:rPr>
                <w:b/>
                <w:sz w:val="18"/>
                <w:szCs w:val="18"/>
              </w:rPr>
              <w:t xml:space="preserve">Recommendation 6: </w:t>
            </w:r>
            <w:r w:rsidRPr="00D05B2A">
              <w:rPr>
                <w:sz w:val="18"/>
                <w:szCs w:val="18"/>
              </w:rPr>
              <w:t>Effective arrangements should be made for the reliable and timely performance of all aspects of the root zone management process post</w:t>
            </w:r>
            <w:r>
              <w:rPr>
                <w:sz w:val="18"/>
                <w:szCs w:val="18"/>
              </w:rPr>
              <w:t xml:space="preserve"> </w:t>
            </w:r>
            <w:r w:rsidRPr="00D05B2A">
              <w:rPr>
                <w:sz w:val="18"/>
                <w:szCs w:val="18"/>
              </w:rPr>
              <w:t>transition, including inter-organization coordination if the post-transition RZM process involves more than one root zone management partner.</w:t>
            </w:r>
          </w:p>
        </w:tc>
        <w:tc>
          <w:tcPr>
            <w:tcW w:w="2160" w:type="dxa"/>
          </w:tcPr>
          <w:p w:rsidR="004D7798" w:rsidRPr="00D05B2A" w:rsidRDefault="004D7798" w:rsidP="00DE598E">
            <w:pPr>
              <w:rPr>
                <w:sz w:val="18"/>
                <w:szCs w:val="18"/>
              </w:rPr>
            </w:pPr>
            <w:r>
              <w:rPr>
                <w:sz w:val="18"/>
                <w:szCs w:val="18"/>
              </w:rPr>
              <w:t>F</w:t>
            </w:r>
          </w:p>
        </w:tc>
        <w:tc>
          <w:tcPr>
            <w:tcW w:w="2070" w:type="dxa"/>
          </w:tcPr>
          <w:p w:rsidR="004D7798" w:rsidRPr="00D05B2A" w:rsidRDefault="004D7798" w:rsidP="00DE598E">
            <w:pPr>
              <w:rPr>
                <w:sz w:val="18"/>
                <w:szCs w:val="18"/>
              </w:rPr>
            </w:pPr>
            <w:r>
              <w:rPr>
                <w:sz w:val="18"/>
                <w:szCs w:val="18"/>
              </w:rPr>
              <w:t>III.A.2</w:t>
            </w:r>
          </w:p>
        </w:tc>
      </w:tr>
      <w:tr w:rsidR="004D7798" w:rsidRPr="00D05B2A" w:rsidTr="00D05B2A">
        <w:tc>
          <w:tcPr>
            <w:tcW w:w="6678" w:type="dxa"/>
          </w:tcPr>
          <w:p w:rsidR="004D7798" w:rsidRPr="00D05B2A" w:rsidRDefault="004D7798" w:rsidP="002E3C70">
            <w:pPr>
              <w:rPr>
                <w:sz w:val="18"/>
                <w:szCs w:val="18"/>
              </w:rPr>
            </w:pPr>
            <w:r w:rsidRPr="00C33603">
              <w:rPr>
                <w:b/>
                <w:sz w:val="18"/>
                <w:szCs w:val="18"/>
              </w:rPr>
              <w:t xml:space="preserve">Issue 7: </w:t>
            </w:r>
            <w:r w:rsidRPr="00D05B2A">
              <w:rPr>
                <w:sz w:val="18"/>
                <w:szCs w:val="18"/>
              </w:rPr>
              <w:t>How will the role of Root Zone Maintainer be performed in the absence of a cooperative agreement with NTIA?</w:t>
            </w:r>
          </w:p>
          <w:p w:rsidR="004D7798" w:rsidRPr="00D05B2A" w:rsidRDefault="004D7798" w:rsidP="002E3C70">
            <w:pPr>
              <w:rPr>
                <w:sz w:val="18"/>
                <w:szCs w:val="18"/>
              </w:rPr>
            </w:pPr>
            <w:r w:rsidRPr="00F070C1">
              <w:rPr>
                <w:b/>
                <w:sz w:val="18"/>
                <w:szCs w:val="18"/>
              </w:rPr>
              <w:t xml:space="preserve">Recommendation 7: </w:t>
            </w:r>
            <w:r w:rsidRPr="00D05B2A">
              <w:rPr>
                <w:sz w:val="18"/>
                <w:szCs w:val="18"/>
              </w:rPr>
              <w:t>NTIA should clarify the processes and legal framework associated with the role of the Root Zone Maintainer after transition.</w:t>
            </w:r>
          </w:p>
        </w:tc>
        <w:tc>
          <w:tcPr>
            <w:tcW w:w="2160" w:type="dxa"/>
          </w:tcPr>
          <w:p w:rsidR="004D7798" w:rsidRPr="00D05B2A" w:rsidRDefault="004D7798">
            <w:pPr>
              <w:rPr>
                <w:sz w:val="18"/>
                <w:szCs w:val="18"/>
              </w:rPr>
            </w:pPr>
            <w:r>
              <w:rPr>
                <w:sz w:val="18"/>
                <w:szCs w:val="18"/>
              </w:rPr>
              <w:t>F</w:t>
            </w:r>
          </w:p>
        </w:tc>
        <w:tc>
          <w:tcPr>
            <w:tcW w:w="2070" w:type="dxa"/>
          </w:tcPr>
          <w:p w:rsidR="004D7798" w:rsidRPr="00D05B2A" w:rsidRDefault="004D7798">
            <w:pPr>
              <w:rPr>
                <w:sz w:val="18"/>
                <w:szCs w:val="18"/>
              </w:rPr>
            </w:pPr>
            <w:r>
              <w:rPr>
                <w:sz w:val="18"/>
                <w:szCs w:val="18"/>
              </w:rPr>
              <w:t>III.A.2</w:t>
            </w:r>
          </w:p>
        </w:tc>
      </w:tr>
    </w:tbl>
    <w:p w:rsidR="00D05B2A" w:rsidRDefault="00D05B2A">
      <w:pPr>
        <w:rPr>
          <w:sz w:val="18"/>
          <w:szCs w:val="18"/>
        </w:rPr>
      </w:pPr>
    </w:p>
    <w:p w:rsidR="00D05B2A" w:rsidRDefault="00D05B2A">
      <w:pPr>
        <w:rPr>
          <w:sz w:val="18"/>
          <w:szCs w:val="18"/>
        </w:rPr>
      </w:pPr>
      <w:r>
        <w:rPr>
          <w:sz w:val="18"/>
          <w:szCs w:val="18"/>
        </w:rPr>
        <w:br w:type="page"/>
      </w:r>
    </w:p>
    <w:tbl>
      <w:tblPr>
        <w:tblStyle w:val="TableGrid"/>
        <w:tblW w:w="0" w:type="auto"/>
        <w:tblLook w:val="04A0" w:firstRow="1" w:lastRow="0" w:firstColumn="1" w:lastColumn="0" w:noHBand="0" w:noVBand="1"/>
      </w:tblPr>
      <w:tblGrid>
        <w:gridCol w:w="6678"/>
        <w:gridCol w:w="2160"/>
        <w:gridCol w:w="2070"/>
      </w:tblGrid>
      <w:tr w:rsidR="00D05B2A" w:rsidRPr="00D05B2A" w:rsidTr="00D05B2A">
        <w:trPr>
          <w:cantSplit/>
          <w:tblHeader/>
        </w:trPr>
        <w:tc>
          <w:tcPr>
            <w:tcW w:w="6678" w:type="dxa"/>
            <w:shd w:val="clear" w:color="auto" w:fill="D9D9D9" w:themeFill="background1" w:themeFillShade="D9"/>
          </w:tcPr>
          <w:p w:rsidR="00D05B2A" w:rsidRPr="00D05B2A" w:rsidRDefault="00D05B2A" w:rsidP="00D05B2A">
            <w:pPr>
              <w:rPr>
                <w:b/>
                <w:sz w:val="18"/>
                <w:szCs w:val="18"/>
              </w:rPr>
            </w:pPr>
            <w:r w:rsidRPr="00D05B2A">
              <w:rPr>
                <w:b/>
                <w:sz w:val="18"/>
                <w:szCs w:val="18"/>
              </w:rPr>
              <w:lastRenderedPageBreak/>
              <w:t>Clause No. &amp; Title</w:t>
            </w:r>
          </w:p>
          <w:p w:rsidR="00D05B2A" w:rsidRPr="00D05B2A" w:rsidRDefault="00D05B2A" w:rsidP="00D05B2A">
            <w:pPr>
              <w:rPr>
                <w:b/>
                <w:sz w:val="18"/>
                <w:szCs w:val="18"/>
              </w:rPr>
            </w:pPr>
            <w:r w:rsidRPr="00D05B2A">
              <w:rPr>
                <w:b/>
                <w:sz w:val="18"/>
                <w:szCs w:val="18"/>
              </w:rPr>
              <w:t>Clause Deliverable</w:t>
            </w:r>
          </w:p>
          <w:p w:rsidR="00D05B2A" w:rsidRPr="00D05B2A" w:rsidRDefault="00D05B2A" w:rsidP="00D05B2A">
            <w:pPr>
              <w:rPr>
                <w:b/>
                <w:sz w:val="18"/>
                <w:szCs w:val="18"/>
              </w:rPr>
            </w:pPr>
            <w:r w:rsidRPr="00D05B2A">
              <w:rPr>
                <w:b/>
                <w:sz w:val="18"/>
                <w:szCs w:val="18"/>
              </w:rPr>
              <w:t>Due Date</w:t>
            </w:r>
          </w:p>
        </w:tc>
        <w:tc>
          <w:tcPr>
            <w:tcW w:w="2160" w:type="dxa"/>
            <w:shd w:val="clear" w:color="auto" w:fill="D9D9D9" w:themeFill="background1" w:themeFillShade="D9"/>
          </w:tcPr>
          <w:p w:rsidR="00D05B2A" w:rsidRPr="00D05B2A" w:rsidRDefault="00D05B2A" w:rsidP="00D05B2A">
            <w:pPr>
              <w:jc w:val="center"/>
              <w:rPr>
                <w:b/>
                <w:sz w:val="18"/>
                <w:szCs w:val="18"/>
              </w:rPr>
            </w:pPr>
            <w:r w:rsidRPr="00D05B2A">
              <w:rPr>
                <w:b/>
                <w:sz w:val="18"/>
                <w:szCs w:val="18"/>
              </w:rPr>
              <w:t>DT#</w:t>
            </w:r>
          </w:p>
        </w:tc>
        <w:tc>
          <w:tcPr>
            <w:tcW w:w="2070" w:type="dxa"/>
            <w:shd w:val="clear" w:color="auto" w:fill="D9D9D9" w:themeFill="background1" w:themeFillShade="D9"/>
          </w:tcPr>
          <w:p w:rsidR="00D05B2A" w:rsidRPr="00D05B2A" w:rsidRDefault="00D05B2A" w:rsidP="00D05B2A">
            <w:pPr>
              <w:jc w:val="center"/>
              <w:rPr>
                <w:b/>
                <w:sz w:val="18"/>
                <w:szCs w:val="18"/>
              </w:rPr>
            </w:pPr>
            <w:r w:rsidRPr="00D05B2A">
              <w:rPr>
                <w:b/>
                <w:sz w:val="18"/>
                <w:szCs w:val="18"/>
              </w:rPr>
              <w:t>Draft Proposal Section #</w:t>
            </w:r>
          </w:p>
        </w:tc>
      </w:tr>
      <w:tr w:rsidR="00D05B2A" w:rsidRPr="00D05B2A" w:rsidTr="00D05B2A">
        <w:tc>
          <w:tcPr>
            <w:tcW w:w="6678" w:type="dxa"/>
          </w:tcPr>
          <w:p w:rsidR="00D05B2A" w:rsidRPr="00D05B2A" w:rsidRDefault="00D05B2A" w:rsidP="00D05B2A">
            <w:pPr>
              <w:rPr>
                <w:sz w:val="18"/>
                <w:szCs w:val="18"/>
              </w:rPr>
            </w:pPr>
            <w:r w:rsidRPr="00D05B2A">
              <w:rPr>
                <w:sz w:val="18"/>
                <w:szCs w:val="18"/>
              </w:rPr>
              <w:t>C.2.6 Transparency and Accountability</w:t>
            </w:r>
          </w:p>
          <w:p w:rsidR="00D05B2A" w:rsidRPr="00D05B2A" w:rsidRDefault="00D05B2A" w:rsidP="00D05B2A">
            <w:pPr>
              <w:rPr>
                <w:sz w:val="18"/>
                <w:szCs w:val="18"/>
              </w:rPr>
            </w:pPr>
            <w:r w:rsidRPr="00D05B2A">
              <w:rPr>
                <w:sz w:val="18"/>
                <w:szCs w:val="18"/>
              </w:rPr>
              <w:t>User instructional documentation including technical requirements</w:t>
            </w:r>
          </w:p>
          <w:p w:rsidR="00D05B2A" w:rsidRPr="00D05B2A" w:rsidRDefault="00D05B2A" w:rsidP="00D05B2A">
            <w:pPr>
              <w:rPr>
                <w:sz w:val="18"/>
                <w:szCs w:val="18"/>
              </w:rPr>
            </w:pPr>
            <w:r w:rsidRPr="00D05B2A">
              <w:rPr>
                <w:sz w:val="18"/>
                <w:szCs w:val="18"/>
              </w:rPr>
              <w:t>October 1, 2013</w:t>
            </w:r>
          </w:p>
        </w:tc>
        <w:tc>
          <w:tcPr>
            <w:tcW w:w="2160" w:type="dxa"/>
          </w:tcPr>
          <w:p w:rsidR="00D05B2A" w:rsidRPr="00D05B2A" w:rsidRDefault="00195CF8">
            <w:pPr>
              <w:rPr>
                <w:sz w:val="18"/>
                <w:szCs w:val="18"/>
              </w:rPr>
            </w:pPr>
            <w:r>
              <w:rPr>
                <w:sz w:val="18"/>
                <w:szCs w:val="18"/>
              </w:rPr>
              <w:t>B?</w:t>
            </w:r>
          </w:p>
        </w:tc>
        <w:tc>
          <w:tcPr>
            <w:tcW w:w="2070" w:type="dxa"/>
          </w:tcPr>
          <w:p w:rsidR="00D05B2A" w:rsidRPr="00D05B2A" w:rsidRDefault="00195CF8">
            <w:pPr>
              <w:rPr>
                <w:sz w:val="18"/>
                <w:szCs w:val="18"/>
              </w:rPr>
            </w:pPr>
            <w:r>
              <w:rPr>
                <w:rFonts w:cs="Times New Roman"/>
                <w:sz w:val="20"/>
                <w:szCs w:val="20"/>
              </w:rPr>
              <w:t>III.A.1.1.3</w:t>
            </w:r>
            <w:proofErr w:type="gramStart"/>
            <w:r>
              <w:rPr>
                <w:rFonts w:cs="Times New Roman"/>
                <w:sz w:val="20"/>
                <w:szCs w:val="20"/>
              </w:rPr>
              <w:t>?</w:t>
            </w:r>
            <w:r w:rsidR="000B50C0">
              <w:rPr>
                <w:rFonts w:cs="Times New Roman"/>
                <w:sz w:val="20"/>
                <w:szCs w:val="20"/>
              </w:rPr>
              <w:t>,</w:t>
            </w:r>
            <w:proofErr w:type="gramEnd"/>
            <w:r w:rsidR="000B50C0">
              <w:rPr>
                <w:rFonts w:cs="Times New Roman"/>
                <w:sz w:val="20"/>
                <w:szCs w:val="20"/>
              </w:rPr>
              <w:t xml:space="preserve"> </w:t>
            </w:r>
            <w:r w:rsidR="000B50C0" w:rsidRPr="000B50C0">
              <w:rPr>
                <w:sz w:val="20"/>
                <w:szCs w:val="20"/>
              </w:rPr>
              <w:t>III.A.1.4.3.1</w:t>
            </w:r>
          </w:p>
        </w:tc>
      </w:tr>
      <w:tr w:rsidR="00D05B2A" w:rsidRPr="00D05B2A" w:rsidTr="00D05B2A">
        <w:tc>
          <w:tcPr>
            <w:tcW w:w="6678" w:type="dxa"/>
          </w:tcPr>
          <w:p w:rsidR="00D05B2A" w:rsidRPr="00D05B2A" w:rsidRDefault="00D05B2A" w:rsidP="00D05B2A">
            <w:pPr>
              <w:rPr>
                <w:sz w:val="18"/>
                <w:szCs w:val="18"/>
              </w:rPr>
            </w:pPr>
            <w:r w:rsidRPr="00D05B2A">
              <w:rPr>
                <w:sz w:val="18"/>
                <w:szCs w:val="18"/>
              </w:rPr>
              <w:t>C.2.7 Responsibility and Respect for Stakeholders</w:t>
            </w:r>
          </w:p>
          <w:p w:rsidR="00D05B2A" w:rsidRPr="00D05B2A" w:rsidRDefault="00D05B2A" w:rsidP="00D05B2A">
            <w:pPr>
              <w:rPr>
                <w:sz w:val="18"/>
                <w:szCs w:val="18"/>
              </w:rPr>
            </w:pPr>
            <w:r w:rsidRPr="00D05B2A">
              <w:rPr>
                <w:sz w:val="18"/>
                <w:szCs w:val="18"/>
              </w:rPr>
              <w:t>Documenting the source of the policies and procedures</w:t>
            </w:r>
          </w:p>
          <w:p w:rsidR="00D05B2A" w:rsidRPr="00D05B2A" w:rsidRDefault="00D05B2A" w:rsidP="00D05B2A">
            <w:pPr>
              <w:rPr>
                <w:sz w:val="18"/>
                <w:szCs w:val="18"/>
              </w:rPr>
            </w:pPr>
            <w:r w:rsidRPr="00D05B2A">
              <w:rPr>
                <w:sz w:val="18"/>
                <w:szCs w:val="18"/>
              </w:rPr>
              <w:t>October 1, 2013</w:t>
            </w:r>
          </w:p>
        </w:tc>
        <w:tc>
          <w:tcPr>
            <w:tcW w:w="2160" w:type="dxa"/>
          </w:tcPr>
          <w:p w:rsidR="00D05B2A" w:rsidRPr="00D05B2A" w:rsidRDefault="008254A1">
            <w:pPr>
              <w:rPr>
                <w:sz w:val="18"/>
                <w:szCs w:val="18"/>
              </w:rPr>
            </w:pPr>
            <w:r>
              <w:rPr>
                <w:sz w:val="18"/>
                <w:szCs w:val="18"/>
              </w:rPr>
              <w:t>NA</w:t>
            </w:r>
          </w:p>
        </w:tc>
        <w:tc>
          <w:tcPr>
            <w:tcW w:w="2070" w:type="dxa"/>
          </w:tcPr>
          <w:p w:rsidR="00D05B2A" w:rsidRPr="00D05B2A" w:rsidRDefault="008254A1">
            <w:pPr>
              <w:rPr>
                <w:sz w:val="18"/>
                <w:szCs w:val="18"/>
              </w:rPr>
            </w:pPr>
            <w:r>
              <w:rPr>
                <w:sz w:val="18"/>
                <w:szCs w:val="18"/>
              </w:rPr>
              <w:t>II.A to II.B</w:t>
            </w:r>
            <w:r w:rsidR="000B50C0" w:rsidRPr="000B50C0">
              <w:rPr>
                <w:sz w:val="18"/>
                <w:szCs w:val="18"/>
              </w:rPr>
              <w:t xml:space="preserve">, </w:t>
            </w:r>
            <w:r w:rsidR="000B50C0" w:rsidRPr="000B50C0">
              <w:rPr>
                <w:sz w:val="20"/>
                <w:szCs w:val="20"/>
              </w:rPr>
              <w:t>III.A.1.4.3.2</w:t>
            </w:r>
          </w:p>
        </w:tc>
      </w:tr>
      <w:tr w:rsidR="00D05B2A" w:rsidRPr="00D05B2A" w:rsidTr="00D05B2A">
        <w:tc>
          <w:tcPr>
            <w:tcW w:w="6678" w:type="dxa"/>
          </w:tcPr>
          <w:p w:rsidR="00D05B2A" w:rsidRPr="00D05B2A" w:rsidRDefault="00D05B2A" w:rsidP="00D05B2A">
            <w:pPr>
              <w:rPr>
                <w:sz w:val="18"/>
                <w:szCs w:val="18"/>
              </w:rPr>
            </w:pPr>
            <w:r w:rsidRPr="00D05B2A">
              <w:rPr>
                <w:sz w:val="18"/>
                <w:szCs w:val="18"/>
              </w:rPr>
              <w:t>C.2.8 Performance Standards</w:t>
            </w:r>
          </w:p>
          <w:p w:rsidR="00D05B2A" w:rsidRPr="00D05B2A" w:rsidRDefault="00D05B2A" w:rsidP="00D05B2A">
            <w:pPr>
              <w:rPr>
                <w:sz w:val="18"/>
                <w:szCs w:val="18"/>
              </w:rPr>
            </w:pPr>
            <w:r w:rsidRPr="00D05B2A">
              <w:rPr>
                <w:sz w:val="18"/>
                <w:szCs w:val="18"/>
              </w:rPr>
              <w:t>Performance Standards</w:t>
            </w:r>
          </w:p>
          <w:p w:rsidR="00D05B2A" w:rsidRPr="00D05B2A" w:rsidRDefault="00D05B2A" w:rsidP="00D05B2A">
            <w:pPr>
              <w:rPr>
                <w:sz w:val="18"/>
                <w:szCs w:val="18"/>
              </w:rPr>
            </w:pPr>
            <w:r w:rsidRPr="00D05B2A">
              <w:rPr>
                <w:sz w:val="18"/>
                <w:szCs w:val="18"/>
              </w:rPr>
              <w:t>October 1, 2013</w:t>
            </w:r>
          </w:p>
        </w:tc>
        <w:tc>
          <w:tcPr>
            <w:tcW w:w="2160" w:type="dxa"/>
          </w:tcPr>
          <w:p w:rsidR="00D05B2A" w:rsidRPr="00D05B2A" w:rsidRDefault="008254A1">
            <w:pPr>
              <w:rPr>
                <w:sz w:val="18"/>
                <w:szCs w:val="18"/>
              </w:rPr>
            </w:pPr>
            <w:r>
              <w:rPr>
                <w:sz w:val="18"/>
                <w:szCs w:val="18"/>
              </w:rPr>
              <w:t>A</w:t>
            </w:r>
          </w:p>
        </w:tc>
        <w:tc>
          <w:tcPr>
            <w:tcW w:w="2070" w:type="dxa"/>
          </w:tcPr>
          <w:p w:rsidR="00D05B2A" w:rsidRPr="00D05B2A" w:rsidRDefault="008254A1">
            <w:pPr>
              <w:rPr>
                <w:sz w:val="18"/>
                <w:szCs w:val="18"/>
              </w:rPr>
            </w:pPr>
            <w:r>
              <w:rPr>
                <w:rFonts w:cs="Times New Roman"/>
                <w:sz w:val="20"/>
                <w:szCs w:val="20"/>
              </w:rPr>
              <w:t>III.A.1.4.2</w:t>
            </w:r>
            <w:r w:rsidR="000B50C0" w:rsidRPr="000B50C0">
              <w:rPr>
                <w:rFonts w:cs="Times New Roman"/>
                <w:sz w:val="20"/>
                <w:szCs w:val="20"/>
              </w:rPr>
              <w:t xml:space="preserve">, </w:t>
            </w:r>
            <w:r w:rsidR="000B50C0" w:rsidRPr="000B50C0">
              <w:rPr>
                <w:sz w:val="20"/>
                <w:szCs w:val="20"/>
              </w:rPr>
              <w:t>III.A.1.4.2.1</w:t>
            </w:r>
          </w:p>
        </w:tc>
      </w:tr>
      <w:tr w:rsidR="00D05B2A" w:rsidRPr="00D05B2A" w:rsidTr="00D05B2A">
        <w:tc>
          <w:tcPr>
            <w:tcW w:w="6678" w:type="dxa"/>
          </w:tcPr>
          <w:p w:rsidR="00D05B2A" w:rsidRPr="00D05B2A" w:rsidRDefault="00D05B2A" w:rsidP="00D05B2A">
            <w:pPr>
              <w:rPr>
                <w:sz w:val="18"/>
                <w:szCs w:val="18"/>
              </w:rPr>
            </w:pPr>
            <w:r w:rsidRPr="00D05B2A">
              <w:rPr>
                <w:sz w:val="18"/>
                <w:szCs w:val="18"/>
              </w:rPr>
              <w:t>C.2.9.2e Root zone Automation</w:t>
            </w:r>
          </w:p>
          <w:p w:rsidR="00D05B2A" w:rsidRPr="00D05B2A" w:rsidRDefault="00D05B2A" w:rsidP="00D05B2A">
            <w:pPr>
              <w:rPr>
                <w:sz w:val="18"/>
                <w:szCs w:val="18"/>
              </w:rPr>
            </w:pPr>
            <w:r w:rsidRPr="00D05B2A">
              <w:rPr>
                <w:sz w:val="18"/>
                <w:szCs w:val="18"/>
              </w:rPr>
              <w:t>Automated Root Zone</w:t>
            </w:r>
          </w:p>
          <w:p w:rsidR="00D05B2A" w:rsidRPr="00D05B2A" w:rsidRDefault="00D05B2A" w:rsidP="00D05B2A">
            <w:pPr>
              <w:rPr>
                <w:sz w:val="18"/>
                <w:szCs w:val="18"/>
              </w:rPr>
            </w:pPr>
            <w:r w:rsidRPr="00D05B2A">
              <w:rPr>
                <w:sz w:val="18"/>
                <w:szCs w:val="18"/>
              </w:rPr>
              <w:t>July 1, 2013</w:t>
            </w:r>
          </w:p>
        </w:tc>
        <w:tc>
          <w:tcPr>
            <w:tcW w:w="2160" w:type="dxa"/>
          </w:tcPr>
          <w:p w:rsidR="00D05B2A" w:rsidRPr="00D05B2A" w:rsidRDefault="008254A1">
            <w:pPr>
              <w:rPr>
                <w:sz w:val="18"/>
                <w:szCs w:val="18"/>
              </w:rPr>
            </w:pPr>
            <w:r>
              <w:rPr>
                <w:sz w:val="18"/>
                <w:szCs w:val="18"/>
              </w:rPr>
              <w:t>D?</w:t>
            </w:r>
          </w:p>
        </w:tc>
        <w:tc>
          <w:tcPr>
            <w:tcW w:w="2070" w:type="dxa"/>
          </w:tcPr>
          <w:p w:rsidR="00D05B2A" w:rsidRPr="00D05B2A" w:rsidRDefault="008254A1">
            <w:pPr>
              <w:rPr>
                <w:sz w:val="18"/>
                <w:szCs w:val="18"/>
              </w:rPr>
            </w:pPr>
            <w:r>
              <w:rPr>
                <w:sz w:val="18"/>
                <w:szCs w:val="18"/>
              </w:rPr>
              <w:t>III.A.2</w:t>
            </w:r>
            <w:r w:rsidR="000B50C0" w:rsidRPr="000B50C0">
              <w:rPr>
                <w:sz w:val="18"/>
                <w:szCs w:val="18"/>
              </w:rPr>
              <w:t xml:space="preserve">, </w:t>
            </w:r>
            <w:r w:rsidR="000B50C0" w:rsidRPr="000B50C0">
              <w:rPr>
                <w:sz w:val="20"/>
                <w:szCs w:val="20"/>
              </w:rPr>
              <w:t>III.A.1.4.1.6</w:t>
            </w:r>
          </w:p>
        </w:tc>
      </w:tr>
      <w:tr w:rsidR="00D05B2A" w:rsidRPr="00D05B2A" w:rsidTr="00D05B2A">
        <w:tc>
          <w:tcPr>
            <w:tcW w:w="6678" w:type="dxa"/>
          </w:tcPr>
          <w:p w:rsidR="00D05B2A" w:rsidRPr="00D05B2A" w:rsidRDefault="00D05B2A" w:rsidP="00D05B2A">
            <w:pPr>
              <w:rPr>
                <w:sz w:val="18"/>
                <w:szCs w:val="18"/>
              </w:rPr>
            </w:pPr>
            <w:r w:rsidRPr="00D05B2A">
              <w:rPr>
                <w:sz w:val="18"/>
                <w:szCs w:val="18"/>
              </w:rPr>
              <w:t>C.2.9.2g Customer Service Complaint Resolution Process (CSCRP)</w:t>
            </w:r>
          </w:p>
          <w:p w:rsidR="00D05B2A" w:rsidRPr="00D05B2A" w:rsidRDefault="00D05B2A" w:rsidP="00D05B2A">
            <w:pPr>
              <w:rPr>
                <w:sz w:val="18"/>
                <w:szCs w:val="18"/>
              </w:rPr>
            </w:pPr>
            <w:r w:rsidRPr="00D05B2A">
              <w:rPr>
                <w:sz w:val="18"/>
                <w:szCs w:val="18"/>
              </w:rPr>
              <w:t>Customer Compliant Process</w:t>
            </w:r>
          </w:p>
          <w:p w:rsidR="00D05B2A" w:rsidRPr="00D05B2A" w:rsidRDefault="00D05B2A" w:rsidP="00D05B2A">
            <w:pPr>
              <w:rPr>
                <w:sz w:val="18"/>
                <w:szCs w:val="18"/>
              </w:rPr>
            </w:pPr>
            <w:r w:rsidRPr="00D05B2A">
              <w:rPr>
                <w:sz w:val="18"/>
                <w:szCs w:val="18"/>
              </w:rPr>
              <w:t>October 1, 2013</w:t>
            </w:r>
          </w:p>
        </w:tc>
        <w:tc>
          <w:tcPr>
            <w:tcW w:w="2160" w:type="dxa"/>
          </w:tcPr>
          <w:p w:rsidR="00D05B2A" w:rsidRDefault="008254A1">
            <w:pPr>
              <w:rPr>
                <w:sz w:val="18"/>
                <w:szCs w:val="18"/>
              </w:rPr>
            </w:pPr>
            <w:r>
              <w:rPr>
                <w:sz w:val="18"/>
                <w:szCs w:val="18"/>
              </w:rPr>
              <w:t>C</w:t>
            </w:r>
          </w:p>
          <w:p w:rsidR="00F070C1" w:rsidRDefault="00F070C1">
            <w:pPr>
              <w:rPr>
                <w:sz w:val="18"/>
                <w:szCs w:val="18"/>
              </w:rPr>
            </w:pPr>
          </w:p>
          <w:p w:rsidR="00F070C1" w:rsidRPr="00D05B2A" w:rsidRDefault="00F070C1">
            <w:pPr>
              <w:rPr>
                <w:sz w:val="18"/>
                <w:szCs w:val="18"/>
              </w:rPr>
            </w:pPr>
            <w:r>
              <w:rPr>
                <w:sz w:val="18"/>
                <w:szCs w:val="18"/>
              </w:rPr>
              <w:t>M</w:t>
            </w:r>
          </w:p>
        </w:tc>
        <w:tc>
          <w:tcPr>
            <w:tcW w:w="2070" w:type="dxa"/>
          </w:tcPr>
          <w:p w:rsidR="00D05B2A" w:rsidRDefault="008254A1">
            <w:pPr>
              <w:rPr>
                <w:rFonts w:cs="Times New Roman"/>
                <w:sz w:val="20"/>
                <w:szCs w:val="20"/>
              </w:rPr>
            </w:pPr>
            <w:r>
              <w:rPr>
                <w:rFonts w:cs="Times New Roman"/>
                <w:sz w:val="20"/>
                <w:szCs w:val="20"/>
              </w:rPr>
              <w:t>III.A.1.3.1, III.A.1.3.2</w:t>
            </w:r>
          </w:p>
          <w:p w:rsidR="00F070C1" w:rsidRDefault="00F070C1">
            <w:pPr>
              <w:rPr>
                <w:rFonts w:cs="Times New Roman"/>
                <w:sz w:val="20"/>
                <w:szCs w:val="20"/>
              </w:rPr>
            </w:pPr>
          </w:p>
          <w:p w:rsidR="00F070C1" w:rsidRPr="00D05B2A" w:rsidRDefault="00F070C1">
            <w:pPr>
              <w:rPr>
                <w:sz w:val="18"/>
                <w:szCs w:val="18"/>
              </w:rPr>
            </w:pPr>
            <w:r>
              <w:rPr>
                <w:rFonts w:ascii="Calibri" w:hAnsi="Calibri" w:cs="Calibri"/>
              </w:rPr>
              <w:t>III.A.1.1.2</w:t>
            </w:r>
          </w:p>
        </w:tc>
      </w:tr>
      <w:tr w:rsidR="00D05B2A" w:rsidRPr="00D05B2A" w:rsidTr="00D05B2A">
        <w:tc>
          <w:tcPr>
            <w:tcW w:w="6678" w:type="dxa"/>
          </w:tcPr>
          <w:p w:rsidR="00D05B2A" w:rsidRPr="00D05B2A" w:rsidRDefault="00D05B2A" w:rsidP="00D05B2A">
            <w:pPr>
              <w:rPr>
                <w:sz w:val="18"/>
                <w:szCs w:val="18"/>
              </w:rPr>
            </w:pPr>
            <w:r w:rsidRPr="00D05B2A">
              <w:rPr>
                <w:sz w:val="18"/>
                <w:szCs w:val="18"/>
              </w:rPr>
              <w:t>C.3.4 Security Plan</w:t>
            </w:r>
          </w:p>
          <w:p w:rsidR="00D05B2A" w:rsidRPr="00D05B2A" w:rsidRDefault="00D05B2A" w:rsidP="00D05B2A">
            <w:pPr>
              <w:rPr>
                <w:sz w:val="18"/>
                <w:szCs w:val="18"/>
              </w:rPr>
            </w:pPr>
            <w:r w:rsidRPr="00D05B2A">
              <w:rPr>
                <w:sz w:val="18"/>
                <w:szCs w:val="18"/>
              </w:rPr>
              <w:t>Documenting Practices and configuration of all system Annually</w:t>
            </w:r>
          </w:p>
          <w:p w:rsidR="00D05B2A" w:rsidRPr="00D05B2A" w:rsidRDefault="00D05B2A" w:rsidP="00D05B2A">
            <w:pPr>
              <w:rPr>
                <w:sz w:val="18"/>
                <w:szCs w:val="18"/>
              </w:rPr>
            </w:pPr>
            <w:r w:rsidRPr="00D05B2A">
              <w:rPr>
                <w:sz w:val="18"/>
                <w:szCs w:val="18"/>
              </w:rPr>
              <w:t>(December 15th)</w:t>
            </w:r>
          </w:p>
        </w:tc>
        <w:tc>
          <w:tcPr>
            <w:tcW w:w="2160" w:type="dxa"/>
          </w:tcPr>
          <w:p w:rsidR="00D05B2A" w:rsidRPr="00D05B2A" w:rsidRDefault="000B50C0">
            <w:pPr>
              <w:rPr>
                <w:sz w:val="18"/>
                <w:szCs w:val="18"/>
              </w:rPr>
            </w:pPr>
            <w:r>
              <w:rPr>
                <w:sz w:val="18"/>
                <w:szCs w:val="18"/>
              </w:rPr>
              <w:t>NA</w:t>
            </w:r>
          </w:p>
        </w:tc>
        <w:tc>
          <w:tcPr>
            <w:tcW w:w="2070" w:type="dxa"/>
          </w:tcPr>
          <w:p w:rsidR="00D05B2A" w:rsidRPr="00D05B2A" w:rsidRDefault="000B50C0">
            <w:pPr>
              <w:rPr>
                <w:sz w:val="18"/>
                <w:szCs w:val="18"/>
              </w:rPr>
            </w:pPr>
            <w:r w:rsidRPr="000B50C0">
              <w:rPr>
                <w:rFonts w:ascii="Calibri" w:hAnsi="Calibri" w:cs="Calibri"/>
              </w:rPr>
              <w:t>III.A.1.4.3.8</w:t>
            </w:r>
          </w:p>
        </w:tc>
      </w:tr>
      <w:tr w:rsidR="00D05B2A" w:rsidRPr="00D05B2A" w:rsidTr="00D05B2A">
        <w:tc>
          <w:tcPr>
            <w:tcW w:w="6678" w:type="dxa"/>
          </w:tcPr>
          <w:p w:rsidR="00D05B2A" w:rsidRPr="00D05B2A" w:rsidRDefault="00D05B2A" w:rsidP="00D05B2A">
            <w:pPr>
              <w:rPr>
                <w:sz w:val="18"/>
                <w:szCs w:val="18"/>
              </w:rPr>
            </w:pPr>
            <w:r w:rsidRPr="00D05B2A">
              <w:rPr>
                <w:sz w:val="18"/>
                <w:szCs w:val="18"/>
              </w:rPr>
              <w:t>C.4.2 Monthly Performance Progress Report includes DNSSEC</w:t>
            </w:r>
          </w:p>
          <w:p w:rsidR="00D05B2A" w:rsidRPr="00D05B2A" w:rsidRDefault="00D05B2A" w:rsidP="00D05B2A">
            <w:pPr>
              <w:rPr>
                <w:sz w:val="18"/>
                <w:szCs w:val="18"/>
              </w:rPr>
            </w:pPr>
            <w:r w:rsidRPr="00D05B2A">
              <w:rPr>
                <w:sz w:val="18"/>
                <w:szCs w:val="18"/>
              </w:rPr>
              <w:t>Report based on C.2 Monthly</w:t>
            </w:r>
          </w:p>
          <w:p w:rsidR="00D05B2A" w:rsidRPr="00D05B2A" w:rsidRDefault="00D05B2A" w:rsidP="00D05B2A">
            <w:pPr>
              <w:rPr>
                <w:sz w:val="18"/>
                <w:szCs w:val="18"/>
              </w:rPr>
            </w:pPr>
            <w:r w:rsidRPr="00D05B2A">
              <w:rPr>
                <w:sz w:val="18"/>
                <w:szCs w:val="18"/>
              </w:rPr>
              <w:t>(15 days following the end of each month)</w:t>
            </w:r>
          </w:p>
        </w:tc>
        <w:tc>
          <w:tcPr>
            <w:tcW w:w="2160" w:type="dxa"/>
          </w:tcPr>
          <w:p w:rsidR="00D05B2A" w:rsidRDefault="008254A1">
            <w:pPr>
              <w:rPr>
                <w:sz w:val="18"/>
                <w:szCs w:val="18"/>
              </w:rPr>
            </w:pPr>
            <w:r>
              <w:rPr>
                <w:sz w:val="18"/>
                <w:szCs w:val="18"/>
              </w:rPr>
              <w:t>C</w:t>
            </w:r>
          </w:p>
          <w:p w:rsidR="008254A1" w:rsidRDefault="008254A1">
            <w:pPr>
              <w:rPr>
                <w:sz w:val="18"/>
                <w:szCs w:val="18"/>
              </w:rPr>
            </w:pPr>
          </w:p>
          <w:p w:rsidR="008254A1" w:rsidRPr="00D05B2A" w:rsidRDefault="008254A1">
            <w:pPr>
              <w:rPr>
                <w:sz w:val="18"/>
                <w:szCs w:val="18"/>
              </w:rPr>
            </w:pPr>
            <w:r>
              <w:rPr>
                <w:sz w:val="18"/>
                <w:szCs w:val="18"/>
              </w:rPr>
              <w:t>N</w:t>
            </w:r>
          </w:p>
        </w:tc>
        <w:tc>
          <w:tcPr>
            <w:tcW w:w="2070" w:type="dxa"/>
          </w:tcPr>
          <w:p w:rsidR="00D05B2A" w:rsidRDefault="008254A1">
            <w:pPr>
              <w:rPr>
                <w:rFonts w:cs="Times New Roman"/>
                <w:sz w:val="20"/>
                <w:szCs w:val="20"/>
              </w:rPr>
            </w:pPr>
            <w:r>
              <w:rPr>
                <w:rFonts w:cs="Times New Roman"/>
                <w:sz w:val="20"/>
                <w:szCs w:val="20"/>
              </w:rPr>
              <w:t>III.A.1.3.1, III.A.1.3.2</w:t>
            </w:r>
          </w:p>
          <w:p w:rsidR="008254A1" w:rsidRDefault="008254A1">
            <w:pPr>
              <w:rPr>
                <w:rFonts w:cs="Times New Roman"/>
                <w:sz w:val="20"/>
                <w:szCs w:val="20"/>
              </w:rPr>
            </w:pPr>
          </w:p>
          <w:p w:rsidR="008254A1" w:rsidRPr="00D05B2A" w:rsidRDefault="008254A1">
            <w:pPr>
              <w:rPr>
                <w:sz w:val="18"/>
                <w:szCs w:val="18"/>
              </w:rPr>
            </w:pPr>
            <w:r>
              <w:rPr>
                <w:rFonts w:cs="Times New Roman"/>
                <w:sz w:val="20"/>
                <w:szCs w:val="20"/>
              </w:rPr>
              <w:t>III.A.1.4</w:t>
            </w:r>
          </w:p>
        </w:tc>
      </w:tr>
      <w:tr w:rsidR="00D05B2A" w:rsidRPr="00D05B2A" w:rsidTr="00D05B2A">
        <w:tc>
          <w:tcPr>
            <w:tcW w:w="6678" w:type="dxa"/>
          </w:tcPr>
          <w:p w:rsidR="00D05B2A" w:rsidRPr="00D05B2A" w:rsidRDefault="00D05B2A" w:rsidP="00D05B2A">
            <w:pPr>
              <w:rPr>
                <w:sz w:val="18"/>
                <w:szCs w:val="18"/>
              </w:rPr>
            </w:pPr>
            <w:r w:rsidRPr="00D05B2A">
              <w:rPr>
                <w:sz w:val="18"/>
                <w:szCs w:val="18"/>
              </w:rPr>
              <w:t>C.4.3 Root Zone Management Dashboard</w:t>
            </w:r>
          </w:p>
          <w:p w:rsidR="00D05B2A" w:rsidRPr="00D05B2A" w:rsidRDefault="00D05B2A" w:rsidP="00D05B2A">
            <w:pPr>
              <w:rPr>
                <w:sz w:val="18"/>
                <w:szCs w:val="18"/>
              </w:rPr>
            </w:pPr>
            <w:r w:rsidRPr="00D05B2A">
              <w:rPr>
                <w:sz w:val="18"/>
                <w:szCs w:val="18"/>
              </w:rPr>
              <w:t>Root Zone Management Dashboard</w:t>
            </w:r>
          </w:p>
          <w:p w:rsidR="00D05B2A" w:rsidRPr="00D05B2A" w:rsidRDefault="00D05B2A" w:rsidP="00D05B2A">
            <w:pPr>
              <w:rPr>
                <w:sz w:val="18"/>
                <w:szCs w:val="18"/>
              </w:rPr>
            </w:pPr>
            <w:r w:rsidRPr="00D05B2A">
              <w:rPr>
                <w:sz w:val="18"/>
                <w:szCs w:val="18"/>
              </w:rPr>
              <w:t>October 1, 2013</w:t>
            </w:r>
          </w:p>
        </w:tc>
        <w:tc>
          <w:tcPr>
            <w:tcW w:w="2160" w:type="dxa"/>
          </w:tcPr>
          <w:p w:rsidR="00D05B2A" w:rsidRPr="00D05B2A" w:rsidRDefault="008254A1">
            <w:pPr>
              <w:rPr>
                <w:sz w:val="18"/>
                <w:szCs w:val="18"/>
              </w:rPr>
            </w:pPr>
            <w:r>
              <w:rPr>
                <w:sz w:val="18"/>
                <w:szCs w:val="18"/>
              </w:rPr>
              <w:t>N</w:t>
            </w:r>
          </w:p>
        </w:tc>
        <w:tc>
          <w:tcPr>
            <w:tcW w:w="2070" w:type="dxa"/>
          </w:tcPr>
          <w:p w:rsidR="00D05B2A" w:rsidRPr="00D05B2A" w:rsidRDefault="008254A1">
            <w:pPr>
              <w:rPr>
                <w:sz w:val="18"/>
                <w:szCs w:val="18"/>
              </w:rPr>
            </w:pPr>
            <w:r>
              <w:rPr>
                <w:rFonts w:cs="Times New Roman"/>
                <w:sz w:val="20"/>
                <w:szCs w:val="20"/>
              </w:rPr>
              <w:t>III.A.1.4</w:t>
            </w:r>
            <w:r w:rsidR="000B50C0" w:rsidRPr="000B50C0">
              <w:rPr>
                <w:rFonts w:cs="Times New Roman"/>
                <w:sz w:val="20"/>
                <w:szCs w:val="20"/>
              </w:rPr>
              <w:t xml:space="preserve">, </w:t>
            </w:r>
            <w:r w:rsidR="000B50C0" w:rsidRPr="000B50C0">
              <w:rPr>
                <w:sz w:val="20"/>
                <w:szCs w:val="20"/>
              </w:rPr>
              <w:t>III.A.1.4.2.3</w:t>
            </w:r>
          </w:p>
        </w:tc>
      </w:tr>
      <w:tr w:rsidR="00D05B2A" w:rsidRPr="00D05B2A" w:rsidTr="00D05B2A">
        <w:tc>
          <w:tcPr>
            <w:tcW w:w="6678" w:type="dxa"/>
          </w:tcPr>
          <w:p w:rsidR="00D05B2A" w:rsidRPr="00D05B2A" w:rsidRDefault="00D05B2A" w:rsidP="00D05B2A">
            <w:pPr>
              <w:rPr>
                <w:sz w:val="18"/>
                <w:szCs w:val="18"/>
              </w:rPr>
            </w:pPr>
            <w:r w:rsidRPr="00D05B2A">
              <w:rPr>
                <w:sz w:val="18"/>
                <w:szCs w:val="18"/>
              </w:rPr>
              <w:t>C.4.4 Performance Standards Reports</w:t>
            </w:r>
          </w:p>
          <w:p w:rsidR="00D05B2A" w:rsidRPr="00D05B2A" w:rsidRDefault="00D05B2A" w:rsidP="00D05B2A">
            <w:pPr>
              <w:rPr>
                <w:sz w:val="18"/>
                <w:szCs w:val="18"/>
              </w:rPr>
            </w:pPr>
            <w:r w:rsidRPr="00D05B2A">
              <w:rPr>
                <w:sz w:val="18"/>
                <w:szCs w:val="18"/>
              </w:rPr>
              <w:t>Performance Standards Report</w:t>
            </w:r>
          </w:p>
          <w:p w:rsidR="00D05B2A" w:rsidRPr="00D05B2A" w:rsidRDefault="00D05B2A" w:rsidP="00D05B2A">
            <w:pPr>
              <w:rPr>
                <w:sz w:val="18"/>
                <w:szCs w:val="18"/>
              </w:rPr>
            </w:pPr>
            <w:r w:rsidRPr="00D05B2A">
              <w:rPr>
                <w:sz w:val="18"/>
                <w:szCs w:val="18"/>
              </w:rPr>
              <w:t>October 1, 2013</w:t>
            </w:r>
          </w:p>
        </w:tc>
        <w:tc>
          <w:tcPr>
            <w:tcW w:w="2160" w:type="dxa"/>
          </w:tcPr>
          <w:p w:rsidR="00D05B2A" w:rsidRPr="00D05B2A" w:rsidRDefault="008254A1">
            <w:pPr>
              <w:rPr>
                <w:sz w:val="18"/>
                <w:szCs w:val="18"/>
              </w:rPr>
            </w:pPr>
            <w:r>
              <w:rPr>
                <w:sz w:val="18"/>
                <w:szCs w:val="18"/>
              </w:rPr>
              <w:t>N</w:t>
            </w:r>
          </w:p>
        </w:tc>
        <w:tc>
          <w:tcPr>
            <w:tcW w:w="2070" w:type="dxa"/>
          </w:tcPr>
          <w:p w:rsidR="00D05B2A" w:rsidRPr="00D05B2A" w:rsidRDefault="008254A1">
            <w:pPr>
              <w:rPr>
                <w:sz w:val="18"/>
                <w:szCs w:val="18"/>
              </w:rPr>
            </w:pPr>
            <w:r>
              <w:rPr>
                <w:rFonts w:cs="Times New Roman"/>
                <w:sz w:val="20"/>
                <w:szCs w:val="20"/>
              </w:rPr>
              <w:t>III.A.1.4</w:t>
            </w:r>
            <w:r w:rsidR="000B50C0" w:rsidRPr="000B50C0">
              <w:rPr>
                <w:rFonts w:cs="Times New Roman"/>
                <w:sz w:val="20"/>
                <w:szCs w:val="20"/>
              </w:rPr>
              <w:t xml:space="preserve">, </w:t>
            </w:r>
            <w:r w:rsidR="000B50C0" w:rsidRPr="000B50C0">
              <w:rPr>
                <w:sz w:val="20"/>
                <w:szCs w:val="20"/>
              </w:rPr>
              <w:t>III.A.1.4.2.4</w:t>
            </w:r>
          </w:p>
        </w:tc>
      </w:tr>
      <w:tr w:rsidR="00D05B2A" w:rsidRPr="00D05B2A" w:rsidTr="00D05B2A">
        <w:tc>
          <w:tcPr>
            <w:tcW w:w="6678" w:type="dxa"/>
          </w:tcPr>
          <w:p w:rsidR="00D05B2A" w:rsidRPr="00D05B2A" w:rsidRDefault="00D05B2A" w:rsidP="00D05B2A">
            <w:pPr>
              <w:rPr>
                <w:sz w:val="18"/>
                <w:szCs w:val="18"/>
              </w:rPr>
            </w:pPr>
            <w:r w:rsidRPr="00D05B2A">
              <w:rPr>
                <w:sz w:val="18"/>
                <w:szCs w:val="18"/>
              </w:rPr>
              <w:t>C.4.5 Customer Service Survey</w:t>
            </w:r>
          </w:p>
          <w:p w:rsidR="00D05B2A" w:rsidRPr="00D05B2A" w:rsidRDefault="00D05B2A" w:rsidP="00D05B2A">
            <w:pPr>
              <w:rPr>
                <w:sz w:val="18"/>
                <w:szCs w:val="18"/>
              </w:rPr>
            </w:pPr>
            <w:r w:rsidRPr="00D05B2A">
              <w:rPr>
                <w:sz w:val="18"/>
                <w:szCs w:val="18"/>
              </w:rPr>
              <w:t>Customer Service Survey</w:t>
            </w:r>
          </w:p>
          <w:p w:rsidR="00D05B2A" w:rsidRPr="00D05B2A" w:rsidRDefault="00D05B2A" w:rsidP="00D05B2A">
            <w:pPr>
              <w:rPr>
                <w:sz w:val="18"/>
                <w:szCs w:val="18"/>
              </w:rPr>
            </w:pPr>
            <w:r w:rsidRPr="00D05B2A">
              <w:rPr>
                <w:sz w:val="18"/>
                <w:szCs w:val="18"/>
              </w:rPr>
              <w:t>Annual Report of Customer Survey (December 15th).  First Report due December 15, 2013.</w:t>
            </w:r>
          </w:p>
        </w:tc>
        <w:tc>
          <w:tcPr>
            <w:tcW w:w="2160" w:type="dxa"/>
          </w:tcPr>
          <w:p w:rsidR="00D05B2A" w:rsidRPr="00D05B2A" w:rsidRDefault="008254A1">
            <w:pPr>
              <w:rPr>
                <w:sz w:val="18"/>
                <w:szCs w:val="18"/>
              </w:rPr>
            </w:pPr>
            <w:r>
              <w:rPr>
                <w:sz w:val="18"/>
                <w:szCs w:val="18"/>
              </w:rPr>
              <w:t>C</w:t>
            </w:r>
          </w:p>
        </w:tc>
        <w:tc>
          <w:tcPr>
            <w:tcW w:w="2070" w:type="dxa"/>
          </w:tcPr>
          <w:p w:rsidR="008254A1" w:rsidRDefault="008254A1" w:rsidP="008254A1">
            <w:pPr>
              <w:rPr>
                <w:rFonts w:cs="Times New Roman"/>
                <w:sz w:val="20"/>
                <w:szCs w:val="20"/>
              </w:rPr>
            </w:pPr>
            <w:r>
              <w:rPr>
                <w:rFonts w:cs="Times New Roman"/>
                <w:sz w:val="20"/>
                <w:szCs w:val="20"/>
              </w:rPr>
              <w:t>III.A.1.3.1, III.A.1.3.2</w:t>
            </w:r>
          </w:p>
          <w:p w:rsidR="000B50C0" w:rsidRPr="000B50C0" w:rsidRDefault="000B50C0" w:rsidP="008254A1">
            <w:pPr>
              <w:rPr>
                <w:rFonts w:cs="Times New Roman"/>
                <w:sz w:val="20"/>
                <w:szCs w:val="20"/>
              </w:rPr>
            </w:pPr>
            <w:r w:rsidRPr="000B50C0">
              <w:rPr>
                <w:sz w:val="20"/>
                <w:szCs w:val="20"/>
              </w:rPr>
              <w:t>III.A.1.4.2.5</w:t>
            </w:r>
          </w:p>
          <w:p w:rsidR="00D05B2A" w:rsidRPr="00D05B2A" w:rsidRDefault="00D05B2A">
            <w:pPr>
              <w:rPr>
                <w:sz w:val="18"/>
                <w:szCs w:val="18"/>
              </w:rPr>
            </w:pPr>
          </w:p>
        </w:tc>
      </w:tr>
      <w:tr w:rsidR="00D05B2A" w:rsidRPr="00D05B2A" w:rsidTr="00D05B2A">
        <w:tc>
          <w:tcPr>
            <w:tcW w:w="6678" w:type="dxa"/>
          </w:tcPr>
          <w:p w:rsidR="00D05B2A" w:rsidRPr="00D05B2A" w:rsidRDefault="00D05B2A" w:rsidP="00D05B2A">
            <w:pPr>
              <w:rPr>
                <w:sz w:val="18"/>
                <w:szCs w:val="18"/>
              </w:rPr>
            </w:pPr>
            <w:r w:rsidRPr="00D05B2A">
              <w:rPr>
                <w:sz w:val="18"/>
                <w:szCs w:val="18"/>
              </w:rPr>
              <w:t>C.4.6 Final Report</w:t>
            </w:r>
          </w:p>
          <w:p w:rsidR="00D05B2A" w:rsidRPr="00D05B2A" w:rsidRDefault="00D05B2A" w:rsidP="00D05B2A">
            <w:pPr>
              <w:rPr>
                <w:sz w:val="18"/>
                <w:szCs w:val="18"/>
              </w:rPr>
            </w:pPr>
            <w:r w:rsidRPr="00D05B2A">
              <w:rPr>
                <w:sz w:val="18"/>
                <w:szCs w:val="18"/>
              </w:rPr>
              <w:t>Final Report</w:t>
            </w:r>
          </w:p>
          <w:p w:rsidR="00D05B2A" w:rsidRPr="00D05B2A" w:rsidRDefault="00D05B2A" w:rsidP="00D05B2A">
            <w:pPr>
              <w:rPr>
                <w:sz w:val="18"/>
                <w:szCs w:val="18"/>
              </w:rPr>
            </w:pPr>
            <w:r w:rsidRPr="00D05B2A">
              <w:rPr>
                <w:sz w:val="18"/>
                <w:szCs w:val="18"/>
              </w:rPr>
              <w:t>Due 30-Days After Expiration of Contract</w:t>
            </w:r>
          </w:p>
        </w:tc>
        <w:tc>
          <w:tcPr>
            <w:tcW w:w="2160" w:type="dxa"/>
          </w:tcPr>
          <w:p w:rsidR="00D05B2A" w:rsidRPr="00D05B2A" w:rsidRDefault="00D05B2A">
            <w:pPr>
              <w:rPr>
                <w:sz w:val="18"/>
                <w:szCs w:val="18"/>
              </w:rPr>
            </w:pPr>
          </w:p>
        </w:tc>
        <w:tc>
          <w:tcPr>
            <w:tcW w:w="2070" w:type="dxa"/>
          </w:tcPr>
          <w:p w:rsidR="00D05B2A" w:rsidRPr="00D05B2A" w:rsidRDefault="00D05B2A">
            <w:pPr>
              <w:rPr>
                <w:sz w:val="18"/>
                <w:szCs w:val="18"/>
              </w:rPr>
            </w:pPr>
          </w:p>
        </w:tc>
      </w:tr>
      <w:tr w:rsidR="008254A1" w:rsidRPr="00D05B2A" w:rsidTr="00D05B2A">
        <w:tc>
          <w:tcPr>
            <w:tcW w:w="6678" w:type="dxa"/>
          </w:tcPr>
          <w:p w:rsidR="008254A1" w:rsidRPr="00D05B2A" w:rsidRDefault="008254A1" w:rsidP="00D05B2A">
            <w:pPr>
              <w:rPr>
                <w:sz w:val="18"/>
                <w:szCs w:val="18"/>
              </w:rPr>
            </w:pPr>
            <w:r w:rsidRPr="00D05B2A">
              <w:rPr>
                <w:sz w:val="18"/>
                <w:szCs w:val="18"/>
              </w:rPr>
              <w:t>C.5.1. Audit Data</w:t>
            </w:r>
          </w:p>
          <w:p w:rsidR="008254A1" w:rsidRPr="00D05B2A" w:rsidRDefault="008254A1" w:rsidP="00D05B2A">
            <w:pPr>
              <w:rPr>
                <w:sz w:val="18"/>
                <w:szCs w:val="18"/>
              </w:rPr>
            </w:pPr>
            <w:r w:rsidRPr="00D05B2A">
              <w:rPr>
                <w:sz w:val="18"/>
                <w:szCs w:val="18"/>
              </w:rPr>
              <w:t>Audit Report Annually</w:t>
            </w:r>
          </w:p>
          <w:p w:rsidR="008254A1" w:rsidRPr="00D05B2A" w:rsidRDefault="008254A1" w:rsidP="00D05B2A">
            <w:pPr>
              <w:rPr>
                <w:sz w:val="18"/>
                <w:szCs w:val="18"/>
              </w:rPr>
            </w:pPr>
            <w:r w:rsidRPr="00D05B2A">
              <w:rPr>
                <w:sz w:val="18"/>
                <w:szCs w:val="18"/>
              </w:rPr>
              <w:t>(By January 15th). First Report due January 15, 2014.</w:t>
            </w:r>
          </w:p>
        </w:tc>
        <w:tc>
          <w:tcPr>
            <w:tcW w:w="2160" w:type="dxa"/>
          </w:tcPr>
          <w:p w:rsidR="008254A1" w:rsidRDefault="008254A1" w:rsidP="00DE598E">
            <w:pPr>
              <w:rPr>
                <w:sz w:val="18"/>
                <w:szCs w:val="18"/>
              </w:rPr>
            </w:pPr>
            <w:r>
              <w:rPr>
                <w:sz w:val="18"/>
                <w:szCs w:val="18"/>
              </w:rPr>
              <w:t>C</w:t>
            </w:r>
          </w:p>
          <w:p w:rsidR="008254A1" w:rsidRDefault="008254A1" w:rsidP="00DE598E">
            <w:pPr>
              <w:rPr>
                <w:sz w:val="18"/>
                <w:szCs w:val="18"/>
              </w:rPr>
            </w:pPr>
          </w:p>
          <w:p w:rsidR="008254A1" w:rsidRPr="00D05B2A" w:rsidRDefault="008254A1" w:rsidP="00DE598E">
            <w:pPr>
              <w:rPr>
                <w:sz w:val="18"/>
                <w:szCs w:val="18"/>
              </w:rPr>
            </w:pPr>
            <w:r>
              <w:rPr>
                <w:sz w:val="18"/>
                <w:szCs w:val="18"/>
              </w:rPr>
              <w:t>N</w:t>
            </w:r>
          </w:p>
        </w:tc>
        <w:tc>
          <w:tcPr>
            <w:tcW w:w="2070" w:type="dxa"/>
          </w:tcPr>
          <w:p w:rsidR="008254A1" w:rsidRDefault="008254A1" w:rsidP="00DE598E">
            <w:pPr>
              <w:rPr>
                <w:rFonts w:cs="Times New Roman"/>
                <w:sz w:val="20"/>
                <w:szCs w:val="20"/>
              </w:rPr>
            </w:pPr>
            <w:r>
              <w:rPr>
                <w:rFonts w:cs="Times New Roman"/>
                <w:sz w:val="20"/>
                <w:szCs w:val="20"/>
              </w:rPr>
              <w:t>III.A.1.3.1, III.A.1.3.2</w:t>
            </w:r>
          </w:p>
          <w:p w:rsidR="008254A1" w:rsidRPr="000B50C0" w:rsidRDefault="000B50C0" w:rsidP="00DE598E">
            <w:pPr>
              <w:rPr>
                <w:rFonts w:cs="Times New Roman"/>
                <w:sz w:val="20"/>
                <w:szCs w:val="20"/>
              </w:rPr>
            </w:pPr>
            <w:r w:rsidRPr="000B50C0">
              <w:rPr>
                <w:sz w:val="20"/>
                <w:szCs w:val="20"/>
              </w:rPr>
              <w:t>III.A.1.4.2.6</w:t>
            </w:r>
          </w:p>
          <w:p w:rsidR="008254A1" w:rsidRPr="00D05B2A" w:rsidRDefault="008254A1" w:rsidP="00DE598E">
            <w:pPr>
              <w:rPr>
                <w:sz w:val="18"/>
                <w:szCs w:val="18"/>
              </w:rPr>
            </w:pPr>
            <w:r>
              <w:rPr>
                <w:rFonts w:cs="Times New Roman"/>
                <w:sz w:val="20"/>
                <w:szCs w:val="20"/>
              </w:rPr>
              <w:t>III.A.1.4</w:t>
            </w:r>
          </w:p>
        </w:tc>
      </w:tr>
      <w:tr w:rsidR="008254A1" w:rsidRPr="00D05B2A" w:rsidTr="00D05B2A">
        <w:tc>
          <w:tcPr>
            <w:tcW w:w="6678" w:type="dxa"/>
          </w:tcPr>
          <w:p w:rsidR="008254A1" w:rsidRPr="00D05B2A" w:rsidRDefault="008254A1" w:rsidP="00D05B2A">
            <w:pPr>
              <w:rPr>
                <w:sz w:val="18"/>
                <w:szCs w:val="18"/>
              </w:rPr>
            </w:pPr>
            <w:r w:rsidRPr="00D05B2A">
              <w:rPr>
                <w:sz w:val="18"/>
                <w:szCs w:val="18"/>
              </w:rPr>
              <w:t>C.5.2 Root Zone Management Audit Data</w:t>
            </w:r>
          </w:p>
          <w:p w:rsidR="008254A1" w:rsidRPr="00D05B2A" w:rsidRDefault="008254A1" w:rsidP="00D05B2A">
            <w:pPr>
              <w:rPr>
                <w:sz w:val="18"/>
                <w:szCs w:val="18"/>
              </w:rPr>
            </w:pPr>
            <w:r w:rsidRPr="00D05B2A">
              <w:rPr>
                <w:sz w:val="18"/>
                <w:szCs w:val="18"/>
              </w:rPr>
              <w:t>Root Zone Management Audit Report</w:t>
            </w:r>
          </w:p>
          <w:p w:rsidR="008254A1" w:rsidRPr="00D05B2A" w:rsidRDefault="008254A1" w:rsidP="00D05B2A">
            <w:pPr>
              <w:rPr>
                <w:sz w:val="18"/>
                <w:szCs w:val="18"/>
              </w:rPr>
            </w:pPr>
            <w:r w:rsidRPr="00D05B2A">
              <w:rPr>
                <w:sz w:val="18"/>
                <w:szCs w:val="18"/>
              </w:rPr>
              <w:t>October 1, 2013</w:t>
            </w:r>
          </w:p>
        </w:tc>
        <w:tc>
          <w:tcPr>
            <w:tcW w:w="2160" w:type="dxa"/>
          </w:tcPr>
          <w:p w:rsidR="008254A1" w:rsidRDefault="008254A1" w:rsidP="00DE598E">
            <w:pPr>
              <w:rPr>
                <w:sz w:val="18"/>
                <w:szCs w:val="18"/>
              </w:rPr>
            </w:pPr>
            <w:r>
              <w:rPr>
                <w:sz w:val="18"/>
                <w:szCs w:val="18"/>
              </w:rPr>
              <w:t>C</w:t>
            </w:r>
          </w:p>
          <w:p w:rsidR="008254A1" w:rsidRDefault="008254A1" w:rsidP="00DE598E">
            <w:pPr>
              <w:rPr>
                <w:sz w:val="18"/>
                <w:szCs w:val="18"/>
              </w:rPr>
            </w:pPr>
          </w:p>
          <w:p w:rsidR="008254A1" w:rsidRPr="00D05B2A" w:rsidRDefault="008254A1" w:rsidP="00DE598E">
            <w:pPr>
              <w:rPr>
                <w:sz w:val="18"/>
                <w:szCs w:val="18"/>
              </w:rPr>
            </w:pPr>
            <w:r>
              <w:rPr>
                <w:sz w:val="18"/>
                <w:szCs w:val="18"/>
              </w:rPr>
              <w:t>N</w:t>
            </w:r>
          </w:p>
        </w:tc>
        <w:tc>
          <w:tcPr>
            <w:tcW w:w="2070" w:type="dxa"/>
          </w:tcPr>
          <w:p w:rsidR="008254A1" w:rsidRDefault="008254A1" w:rsidP="00DE598E">
            <w:pPr>
              <w:rPr>
                <w:rFonts w:cs="Times New Roman"/>
                <w:sz w:val="20"/>
                <w:szCs w:val="20"/>
              </w:rPr>
            </w:pPr>
            <w:r>
              <w:rPr>
                <w:rFonts w:cs="Times New Roman"/>
                <w:sz w:val="20"/>
                <w:szCs w:val="20"/>
              </w:rPr>
              <w:t>III.A.1.3.1, III.A.1.3.2</w:t>
            </w:r>
          </w:p>
          <w:p w:rsidR="008254A1" w:rsidRPr="000B50C0" w:rsidRDefault="000B50C0" w:rsidP="00DE598E">
            <w:pPr>
              <w:rPr>
                <w:rFonts w:cs="Times New Roman"/>
                <w:sz w:val="20"/>
                <w:szCs w:val="20"/>
              </w:rPr>
            </w:pPr>
            <w:r w:rsidRPr="000B50C0">
              <w:rPr>
                <w:sz w:val="20"/>
                <w:szCs w:val="20"/>
              </w:rPr>
              <w:t>III.A.1.4.2.7</w:t>
            </w:r>
          </w:p>
          <w:p w:rsidR="008254A1" w:rsidRPr="00D05B2A" w:rsidRDefault="008254A1" w:rsidP="00DE598E">
            <w:pPr>
              <w:rPr>
                <w:sz w:val="18"/>
                <w:szCs w:val="18"/>
              </w:rPr>
            </w:pPr>
            <w:r>
              <w:rPr>
                <w:rFonts w:cs="Times New Roman"/>
                <w:sz w:val="20"/>
                <w:szCs w:val="20"/>
              </w:rPr>
              <w:t>III.A.1.4</w:t>
            </w:r>
          </w:p>
        </w:tc>
      </w:tr>
      <w:tr w:rsidR="008254A1" w:rsidRPr="00D05B2A" w:rsidTr="00D05B2A">
        <w:tc>
          <w:tcPr>
            <w:tcW w:w="6678" w:type="dxa"/>
          </w:tcPr>
          <w:p w:rsidR="008254A1" w:rsidRPr="00D05B2A" w:rsidRDefault="008254A1" w:rsidP="00D05B2A">
            <w:pPr>
              <w:rPr>
                <w:sz w:val="18"/>
                <w:szCs w:val="18"/>
              </w:rPr>
            </w:pPr>
            <w:r w:rsidRPr="00D05B2A">
              <w:rPr>
                <w:sz w:val="18"/>
                <w:szCs w:val="18"/>
              </w:rPr>
              <w:t>C.5.3 External Auditor</w:t>
            </w:r>
          </w:p>
          <w:p w:rsidR="008254A1" w:rsidRPr="00D05B2A" w:rsidRDefault="008254A1" w:rsidP="00D05B2A">
            <w:pPr>
              <w:rPr>
                <w:sz w:val="18"/>
                <w:szCs w:val="18"/>
              </w:rPr>
            </w:pPr>
            <w:r w:rsidRPr="00D05B2A">
              <w:rPr>
                <w:sz w:val="18"/>
                <w:szCs w:val="18"/>
              </w:rPr>
              <w:t>External Audit Report</w:t>
            </w:r>
          </w:p>
          <w:p w:rsidR="008254A1" w:rsidRPr="00D05B2A" w:rsidRDefault="008254A1" w:rsidP="00D05B2A">
            <w:pPr>
              <w:rPr>
                <w:sz w:val="18"/>
                <w:szCs w:val="18"/>
              </w:rPr>
            </w:pPr>
            <w:r w:rsidRPr="00D05B2A">
              <w:rPr>
                <w:sz w:val="18"/>
                <w:szCs w:val="18"/>
              </w:rPr>
              <w:t>Annually (February 15th)</w:t>
            </w:r>
          </w:p>
          <w:p w:rsidR="008254A1" w:rsidRPr="00D05B2A" w:rsidRDefault="008254A1" w:rsidP="00D05B2A">
            <w:pPr>
              <w:rPr>
                <w:sz w:val="18"/>
                <w:szCs w:val="18"/>
              </w:rPr>
            </w:pPr>
            <w:r w:rsidRPr="00D05B2A">
              <w:rPr>
                <w:sz w:val="18"/>
                <w:szCs w:val="18"/>
              </w:rPr>
              <w:t>First Report due February 15, 2014.</w:t>
            </w:r>
          </w:p>
        </w:tc>
        <w:tc>
          <w:tcPr>
            <w:tcW w:w="2160" w:type="dxa"/>
          </w:tcPr>
          <w:p w:rsidR="008254A1" w:rsidRDefault="008254A1" w:rsidP="00DE598E">
            <w:pPr>
              <w:rPr>
                <w:sz w:val="18"/>
                <w:szCs w:val="18"/>
              </w:rPr>
            </w:pPr>
            <w:r>
              <w:rPr>
                <w:sz w:val="18"/>
                <w:szCs w:val="18"/>
              </w:rPr>
              <w:t>C</w:t>
            </w:r>
          </w:p>
          <w:p w:rsidR="008254A1" w:rsidRDefault="008254A1" w:rsidP="00DE598E">
            <w:pPr>
              <w:rPr>
                <w:sz w:val="18"/>
                <w:szCs w:val="18"/>
              </w:rPr>
            </w:pPr>
          </w:p>
          <w:p w:rsidR="008254A1" w:rsidRPr="00D05B2A" w:rsidRDefault="008254A1" w:rsidP="00DE598E">
            <w:pPr>
              <w:rPr>
                <w:sz w:val="18"/>
                <w:szCs w:val="18"/>
              </w:rPr>
            </w:pPr>
            <w:r>
              <w:rPr>
                <w:sz w:val="18"/>
                <w:szCs w:val="18"/>
              </w:rPr>
              <w:t>N</w:t>
            </w:r>
          </w:p>
        </w:tc>
        <w:tc>
          <w:tcPr>
            <w:tcW w:w="2070" w:type="dxa"/>
          </w:tcPr>
          <w:p w:rsidR="008254A1" w:rsidRDefault="008254A1" w:rsidP="00DE598E">
            <w:pPr>
              <w:rPr>
                <w:rFonts w:cs="Times New Roman"/>
                <w:sz w:val="20"/>
                <w:szCs w:val="20"/>
              </w:rPr>
            </w:pPr>
            <w:r>
              <w:rPr>
                <w:rFonts w:cs="Times New Roman"/>
                <w:sz w:val="20"/>
                <w:szCs w:val="20"/>
              </w:rPr>
              <w:t>III.A.1.3.1, III.A.1.3.2</w:t>
            </w:r>
          </w:p>
          <w:p w:rsidR="008254A1" w:rsidRPr="000B50C0" w:rsidRDefault="000B50C0" w:rsidP="00DE598E">
            <w:pPr>
              <w:rPr>
                <w:rFonts w:cs="Times New Roman"/>
                <w:sz w:val="20"/>
                <w:szCs w:val="20"/>
              </w:rPr>
            </w:pPr>
            <w:r w:rsidRPr="000B50C0">
              <w:rPr>
                <w:sz w:val="20"/>
                <w:szCs w:val="20"/>
              </w:rPr>
              <w:t>III.A.1.4.2.8</w:t>
            </w:r>
          </w:p>
          <w:p w:rsidR="008254A1" w:rsidRPr="00D05B2A" w:rsidRDefault="008254A1" w:rsidP="00DE598E">
            <w:pPr>
              <w:rPr>
                <w:sz w:val="18"/>
                <w:szCs w:val="18"/>
              </w:rPr>
            </w:pPr>
            <w:r>
              <w:rPr>
                <w:rFonts w:cs="Times New Roman"/>
                <w:sz w:val="20"/>
                <w:szCs w:val="20"/>
              </w:rPr>
              <w:t>III.A.1.4</w:t>
            </w:r>
          </w:p>
        </w:tc>
      </w:tr>
      <w:tr w:rsidR="008254A1" w:rsidRPr="00D05B2A" w:rsidTr="00D05B2A">
        <w:tc>
          <w:tcPr>
            <w:tcW w:w="6678" w:type="dxa"/>
          </w:tcPr>
          <w:p w:rsidR="008254A1" w:rsidRPr="00D05B2A" w:rsidRDefault="008254A1" w:rsidP="00D05B2A">
            <w:pPr>
              <w:rPr>
                <w:sz w:val="18"/>
                <w:szCs w:val="18"/>
              </w:rPr>
            </w:pPr>
            <w:r w:rsidRPr="00D05B2A">
              <w:rPr>
                <w:sz w:val="18"/>
                <w:szCs w:val="18"/>
              </w:rPr>
              <w:t>C.6.2.4 Conflicts of Interest Enforcement and Compliance Report</w:t>
            </w:r>
          </w:p>
          <w:p w:rsidR="008254A1" w:rsidRPr="00D05B2A" w:rsidRDefault="008254A1" w:rsidP="00D05B2A">
            <w:pPr>
              <w:rPr>
                <w:sz w:val="18"/>
                <w:szCs w:val="18"/>
              </w:rPr>
            </w:pPr>
            <w:r w:rsidRPr="00D05B2A">
              <w:rPr>
                <w:sz w:val="18"/>
                <w:szCs w:val="18"/>
              </w:rPr>
              <w:t>Enforcement and Compliance Report</w:t>
            </w:r>
          </w:p>
          <w:p w:rsidR="008254A1" w:rsidRPr="00D05B2A" w:rsidRDefault="008254A1" w:rsidP="00D05B2A">
            <w:pPr>
              <w:rPr>
                <w:sz w:val="18"/>
                <w:szCs w:val="18"/>
              </w:rPr>
            </w:pPr>
            <w:r w:rsidRPr="00D05B2A">
              <w:rPr>
                <w:sz w:val="18"/>
                <w:szCs w:val="18"/>
              </w:rPr>
              <w:t>Annually (January 5th).</w:t>
            </w:r>
          </w:p>
          <w:p w:rsidR="008254A1" w:rsidRPr="00D05B2A" w:rsidRDefault="008254A1" w:rsidP="00D05B2A">
            <w:pPr>
              <w:rPr>
                <w:sz w:val="18"/>
                <w:szCs w:val="18"/>
              </w:rPr>
            </w:pPr>
            <w:r w:rsidRPr="00D05B2A">
              <w:rPr>
                <w:sz w:val="18"/>
                <w:szCs w:val="18"/>
              </w:rPr>
              <w:t>First Report due January 5, 2014.</w:t>
            </w:r>
          </w:p>
        </w:tc>
        <w:tc>
          <w:tcPr>
            <w:tcW w:w="2160" w:type="dxa"/>
          </w:tcPr>
          <w:p w:rsidR="008254A1" w:rsidRPr="00D05B2A" w:rsidRDefault="008254A1">
            <w:pPr>
              <w:rPr>
                <w:sz w:val="18"/>
                <w:szCs w:val="18"/>
              </w:rPr>
            </w:pPr>
            <w:r>
              <w:rPr>
                <w:sz w:val="18"/>
                <w:szCs w:val="18"/>
              </w:rPr>
              <w:t>J</w:t>
            </w:r>
          </w:p>
        </w:tc>
        <w:tc>
          <w:tcPr>
            <w:tcW w:w="2070" w:type="dxa"/>
          </w:tcPr>
          <w:p w:rsidR="008254A1" w:rsidRPr="00D05B2A" w:rsidRDefault="008254A1">
            <w:pPr>
              <w:rPr>
                <w:sz w:val="18"/>
                <w:szCs w:val="18"/>
              </w:rPr>
            </w:pPr>
            <w:r>
              <w:rPr>
                <w:rFonts w:cs="Times New Roman"/>
                <w:sz w:val="20"/>
                <w:szCs w:val="20"/>
              </w:rPr>
              <w:t>III.A.1.3.2</w:t>
            </w:r>
            <w:r w:rsidR="000B50C0">
              <w:rPr>
                <w:rFonts w:cs="Times New Roman"/>
                <w:sz w:val="20"/>
                <w:szCs w:val="20"/>
              </w:rPr>
              <w:t xml:space="preserve">, </w:t>
            </w:r>
            <w:r w:rsidR="000B50C0" w:rsidRPr="000B50C0">
              <w:rPr>
                <w:sz w:val="20"/>
                <w:szCs w:val="20"/>
              </w:rPr>
              <w:t>III.A.1.4.3.12</w:t>
            </w:r>
          </w:p>
        </w:tc>
      </w:tr>
      <w:tr w:rsidR="008254A1" w:rsidRPr="00D05B2A" w:rsidTr="00D05B2A">
        <w:tc>
          <w:tcPr>
            <w:tcW w:w="6678" w:type="dxa"/>
          </w:tcPr>
          <w:p w:rsidR="008254A1" w:rsidRPr="00D05B2A" w:rsidRDefault="008254A1" w:rsidP="00D05B2A">
            <w:pPr>
              <w:rPr>
                <w:sz w:val="18"/>
                <w:szCs w:val="18"/>
              </w:rPr>
            </w:pPr>
            <w:r w:rsidRPr="00D05B2A">
              <w:rPr>
                <w:sz w:val="18"/>
                <w:szCs w:val="18"/>
              </w:rPr>
              <w:t>C.7.2 Contingency and Continuity of Operations Plan (The CCOP)</w:t>
            </w:r>
          </w:p>
          <w:p w:rsidR="008254A1" w:rsidRPr="00D05B2A" w:rsidRDefault="008254A1" w:rsidP="00D05B2A">
            <w:pPr>
              <w:rPr>
                <w:sz w:val="18"/>
                <w:szCs w:val="18"/>
              </w:rPr>
            </w:pPr>
            <w:r w:rsidRPr="00D05B2A">
              <w:rPr>
                <w:sz w:val="18"/>
                <w:szCs w:val="18"/>
              </w:rPr>
              <w:t>Consultation</w:t>
            </w:r>
          </w:p>
          <w:p w:rsidR="008254A1" w:rsidRPr="00D05B2A" w:rsidRDefault="008254A1" w:rsidP="00D05B2A">
            <w:pPr>
              <w:rPr>
                <w:sz w:val="18"/>
                <w:szCs w:val="18"/>
              </w:rPr>
            </w:pPr>
            <w:r w:rsidRPr="00D05B2A">
              <w:rPr>
                <w:sz w:val="18"/>
                <w:szCs w:val="18"/>
              </w:rPr>
              <w:t>October 1, 2013</w:t>
            </w:r>
          </w:p>
        </w:tc>
        <w:tc>
          <w:tcPr>
            <w:tcW w:w="2160" w:type="dxa"/>
          </w:tcPr>
          <w:p w:rsidR="008254A1" w:rsidRPr="00D05B2A" w:rsidRDefault="00CD2AB6">
            <w:pPr>
              <w:rPr>
                <w:sz w:val="18"/>
                <w:szCs w:val="18"/>
              </w:rPr>
            </w:pPr>
            <w:r>
              <w:rPr>
                <w:sz w:val="18"/>
                <w:szCs w:val="18"/>
              </w:rPr>
              <w:t>L (?)</w:t>
            </w:r>
          </w:p>
        </w:tc>
        <w:tc>
          <w:tcPr>
            <w:tcW w:w="2070" w:type="dxa"/>
          </w:tcPr>
          <w:p w:rsidR="008254A1" w:rsidRPr="000B50C0" w:rsidRDefault="000B50C0">
            <w:pPr>
              <w:rPr>
                <w:sz w:val="18"/>
                <w:szCs w:val="18"/>
              </w:rPr>
            </w:pPr>
            <w:r w:rsidRPr="000B50C0">
              <w:rPr>
                <w:sz w:val="20"/>
                <w:szCs w:val="20"/>
              </w:rPr>
              <w:t>III.A.1.4.3.14</w:t>
            </w:r>
          </w:p>
        </w:tc>
      </w:tr>
      <w:tr w:rsidR="008254A1" w:rsidRPr="00D05B2A" w:rsidTr="00D05B2A">
        <w:tc>
          <w:tcPr>
            <w:tcW w:w="6678" w:type="dxa"/>
          </w:tcPr>
          <w:p w:rsidR="008254A1" w:rsidRPr="00D05B2A" w:rsidRDefault="008254A1" w:rsidP="00D05B2A">
            <w:pPr>
              <w:rPr>
                <w:sz w:val="18"/>
                <w:szCs w:val="18"/>
              </w:rPr>
            </w:pPr>
            <w:r w:rsidRPr="00D05B2A">
              <w:rPr>
                <w:sz w:val="18"/>
                <w:szCs w:val="18"/>
              </w:rPr>
              <w:t>C.7.3 Transition to Successor</w:t>
            </w:r>
          </w:p>
          <w:p w:rsidR="008254A1" w:rsidRPr="00D05B2A" w:rsidRDefault="008254A1" w:rsidP="00D05B2A">
            <w:pPr>
              <w:rPr>
                <w:sz w:val="18"/>
                <w:szCs w:val="18"/>
              </w:rPr>
            </w:pPr>
            <w:r w:rsidRPr="00D05B2A">
              <w:rPr>
                <w:sz w:val="18"/>
                <w:szCs w:val="18"/>
              </w:rPr>
              <w:t>Transition plan in case of successor contractor</w:t>
            </w:r>
          </w:p>
          <w:p w:rsidR="008254A1" w:rsidRPr="00D05B2A" w:rsidRDefault="008254A1" w:rsidP="00D05B2A">
            <w:pPr>
              <w:rPr>
                <w:sz w:val="18"/>
                <w:szCs w:val="18"/>
              </w:rPr>
            </w:pPr>
            <w:r w:rsidRPr="00D05B2A">
              <w:rPr>
                <w:sz w:val="18"/>
                <w:szCs w:val="18"/>
              </w:rPr>
              <w:t>April 14, 2014</w:t>
            </w:r>
          </w:p>
          <w:p w:rsidR="008254A1" w:rsidRPr="00D05B2A" w:rsidRDefault="008254A1" w:rsidP="00D05B2A">
            <w:pPr>
              <w:rPr>
                <w:sz w:val="18"/>
                <w:szCs w:val="18"/>
              </w:rPr>
            </w:pPr>
            <w:r w:rsidRPr="00D05B2A">
              <w:rPr>
                <w:sz w:val="18"/>
                <w:szCs w:val="18"/>
              </w:rPr>
              <w:t>Eighteen (18) months after start of the contract</w:t>
            </w:r>
          </w:p>
        </w:tc>
        <w:tc>
          <w:tcPr>
            <w:tcW w:w="2160" w:type="dxa"/>
          </w:tcPr>
          <w:p w:rsidR="008254A1" w:rsidRPr="00D05B2A" w:rsidRDefault="00195CF8">
            <w:pPr>
              <w:rPr>
                <w:sz w:val="18"/>
                <w:szCs w:val="18"/>
              </w:rPr>
            </w:pPr>
            <w:r>
              <w:rPr>
                <w:sz w:val="18"/>
                <w:szCs w:val="18"/>
              </w:rPr>
              <w:t>L</w:t>
            </w:r>
          </w:p>
        </w:tc>
        <w:tc>
          <w:tcPr>
            <w:tcW w:w="2070" w:type="dxa"/>
          </w:tcPr>
          <w:p w:rsidR="008254A1" w:rsidRPr="00D05B2A" w:rsidRDefault="00195CF8">
            <w:pPr>
              <w:rPr>
                <w:sz w:val="18"/>
                <w:szCs w:val="18"/>
              </w:rPr>
            </w:pPr>
            <w:r>
              <w:rPr>
                <w:rFonts w:cs="Times New Roman"/>
                <w:sz w:val="20"/>
                <w:szCs w:val="20"/>
              </w:rPr>
              <w:t>III.A.1.1.1</w:t>
            </w:r>
            <w:r w:rsidR="000B50C0">
              <w:rPr>
                <w:rFonts w:cs="Times New Roman"/>
                <w:sz w:val="20"/>
                <w:szCs w:val="20"/>
              </w:rPr>
              <w:t xml:space="preserve">, </w:t>
            </w:r>
            <w:r w:rsidR="000B50C0" w:rsidRPr="000B50C0">
              <w:rPr>
                <w:sz w:val="20"/>
                <w:szCs w:val="20"/>
              </w:rPr>
              <w:t>III.A.1.4.3.15</w:t>
            </w:r>
          </w:p>
        </w:tc>
      </w:tr>
    </w:tbl>
    <w:p w:rsidR="002E3C70" w:rsidRPr="00D05B2A" w:rsidRDefault="002E3C70">
      <w:pPr>
        <w:rPr>
          <w:sz w:val="18"/>
          <w:szCs w:val="18"/>
        </w:rPr>
      </w:pPr>
    </w:p>
    <w:sectPr w:rsidR="002E3C70" w:rsidRPr="00D05B2A" w:rsidSect="00D05B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898"/>
    <w:rsid w:val="000B50C0"/>
    <w:rsid w:val="00195CF8"/>
    <w:rsid w:val="002E3C70"/>
    <w:rsid w:val="004C0CA1"/>
    <w:rsid w:val="004D7798"/>
    <w:rsid w:val="005C2B54"/>
    <w:rsid w:val="00702898"/>
    <w:rsid w:val="008254A1"/>
    <w:rsid w:val="00C33603"/>
    <w:rsid w:val="00CD2AB6"/>
    <w:rsid w:val="00D05B2A"/>
    <w:rsid w:val="00E20AE4"/>
    <w:rsid w:val="00F0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2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0C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50C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2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0C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50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996</Words>
  <Characters>5679</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Marika Konings</cp:lastModifiedBy>
  <cp:revision>2</cp:revision>
  <dcterms:created xsi:type="dcterms:W3CDTF">2015-03-23T17:49:00Z</dcterms:created>
  <dcterms:modified xsi:type="dcterms:W3CDTF">2015-03-23T17:49:00Z</dcterms:modified>
</cp:coreProperties>
</file>