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518B7" w14:textId="77777777" w:rsidR="0049317D" w:rsidRPr="00376602" w:rsidRDefault="00376602" w:rsidP="00376602">
      <w:pPr>
        <w:widowControl w:val="0"/>
        <w:autoSpaceDE w:val="0"/>
        <w:autoSpaceDN w:val="0"/>
        <w:adjustRightInd w:val="0"/>
        <w:ind w:right="-180"/>
        <w:jc w:val="center"/>
        <w:rPr>
          <w:rFonts w:ascii="Arial" w:hAnsi="Arial" w:cs="Arial"/>
          <w:b/>
        </w:rPr>
      </w:pPr>
      <w:r w:rsidRPr="00376602">
        <w:rPr>
          <w:rFonts w:ascii="Arial" w:hAnsi="Arial" w:cs="Arial"/>
          <w:b/>
        </w:rPr>
        <w:t>Potential Resolution of Top 6 Legal Issues: IANA IPR Transition Agreements (Contreras-Hofheimer joint proposal 8/2/16)</w:t>
      </w:r>
    </w:p>
    <w:p w14:paraId="1F11F807" w14:textId="77777777" w:rsidR="0049317D" w:rsidRPr="00376602" w:rsidRDefault="0049317D" w:rsidP="00376602">
      <w:pPr>
        <w:widowControl w:val="0"/>
        <w:autoSpaceDE w:val="0"/>
        <w:autoSpaceDN w:val="0"/>
        <w:adjustRightInd w:val="0"/>
        <w:ind w:left="960" w:right="-180" w:hanging="960"/>
        <w:jc w:val="left"/>
        <w:rPr>
          <w:rFonts w:ascii="Arial" w:hAnsi="Arial" w:cs="Arial"/>
          <w:b/>
        </w:rPr>
      </w:pPr>
    </w:p>
    <w:p w14:paraId="0F64EC54" w14:textId="77777777" w:rsidR="0049317D" w:rsidRPr="00376602" w:rsidRDefault="00376602" w:rsidP="00376602">
      <w:pPr>
        <w:widowControl w:val="0"/>
        <w:autoSpaceDE w:val="0"/>
        <w:autoSpaceDN w:val="0"/>
        <w:adjustRightInd w:val="0"/>
        <w:ind w:left="720" w:right="-180" w:hanging="720"/>
        <w:jc w:val="left"/>
        <w:rPr>
          <w:rFonts w:ascii="Arial" w:hAnsi="Arial" w:cs="Arial"/>
        </w:rPr>
      </w:pPr>
      <w:r w:rsidRPr="00376602">
        <w:rPr>
          <w:rFonts w:ascii="Arial" w:hAnsi="Arial" w:cs="Arial"/>
        </w:rPr>
        <w:t>1</w:t>
      </w:r>
      <w:r w:rsidRPr="00376602">
        <w:rPr>
          <w:rFonts w:ascii="Arial" w:hAnsi="Arial" w:cs="Arial"/>
        </w:rPr>
        <w:t>.</w:t>
      </w:r>
      <w:r w:rsidRPr="00376602">
        <w:rPr>
          <w:rFonts w:ascii="Arial" w:hAnsi="Arial" w:cs="Arial"/>
        </w:rPr>
        <w:tab/>
      </w:r>
      <w:r w:rsidRPr="00376602">
        <w:rPr>
          <w:rFonts w:ascii="Arial" w:hAnsi="Arial" w:cs="Arial"/>
          <w:u w:val="single"/>
        </w:rPr>
        <w:t>ICANN or PTI as the “Licensee”</w:t>
      </w:r>
      <w:r w:rsidRPr="00376602">
        <w:rPr>
          <w:rFonts w:ascii="Arial" w:hAnsi="Arial" w:cs="Arial"/>
        </w:rPr>
        <w:t>.</w:t>
      </w:r>
    </w:p>
    <w:p w14:paraId="2DCB0671" w14:textId="77777777" w:rsidR="0049317D" w:rsidRPr="00376602" w:rsidRDefault="00376602" w:rsidP="0037660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  <w:r w:rsidRPr="00376602">
        <w:rPr>
          <w:rFonts w:ascii="Arial" w:hAnsi="Arial" w:cs="Arial"/>
        </w:rPr>
        <w:t>Three separate licenses (one for each IANA Service) will be granted by the Trust to ICANN</w:t>
      </w:r>
      <w:r>
        <w:rPr>
          <w:rFonts w:ascii="Arial" w:hAnsi="Arial" w:cs="Arial"/>
        </w:rPr>
        <w:t xml:space="preserve"> (“Licensee”)</w:t>
      </w:r>
      <w:r w:rsidRPr="00376602">
        <w:rPr>
          <w:rFonts w:ascii="Arial" w:hAnsi="Arial" w:cs="Arial"/>
        </w:rPr>
        <w:t>.</w:t>
      </w:r>
    </w:p>
    <w:p w14:paraId="60C2F22B" w14:textId="77777777" w:rsidR="0049317D" w:rsidRPr="00376602" w:rsidRDefault="00376602" w:rsidP="0037660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Licensee </w:t>
      </w:r>
      <w:r w:rsidRPr="00376602">
        <w:rPr>
          <w:rFonts w:ascii="Arial" w:hAnsi="Arial" w:cs="Arial"/>
        </w:rPr>
        <w:t>will have the right to sublicense, with the consent of the Trust, not to be unreasonably withheld</w:t>
      </w:r>
      <w:r>
        <w:rPr>
          <w:rFonts w:ascii="Arial" w:hAnsi="Arial" w:cs="Arial"/>
        </w:rPr>
        <w:t xml:space="preserve"> or delayed</w:t>
      </w:r>
      <w:r w:rsidRPr="00376602">
        <w:rPr>
          <w:rFonts w:ascii="Arial" w:hAnsi="Arial" w:cs="Arial"/>
        </w:rPr>
        <w:t>. Initial sublicenses to PTI are ap</w:t>
      </w:r>
      <w:r w:rsidRPr="00376602">
        <w:rPr>
          <w:rFonts w:ascii="Arial" w:hAnsi="Arial" w:cs="Arial"/>
        </w:rPr>
        <w:t>proved.</w:t>
      </w:r>
    </w:p>
    <w:p w14:paraId="31D142A6" w14:textId="77777777" w:rsidR="0049317D" w:rsidRPr="00376602" w:rsidRDefault="00376602" w:rsidP="0037660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Licensee </w:t>
      </w:r>
      <w:r w:rsidRPr="00376602">
        <w:rPr>
          <w:rFonts w:ascii="Arial" w:hAnsi="Arial" w:cs="Arial"/>
        </w:rPr>
        <w:t>will remain responsible and liable for all actions and omissions of its sublicensees.</w:t>
      </w:r>
    </w:p>
    <w:p w14:paraId="43F6AAC7" w14:textId="77777777" w:rsidR="0049317D" w:rsidRPr="00376602" w:rsidRDefault="0049317D" w:rsidP="00376602">
      <w:pPr>
        <w:widowControl w:val="0"/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</w:p>
    <w:p w14:paraId="69027147" w14:textId="77777777" w:rsidR="0049317D" w:rsidRPr="00376602" w:rsidRDefault="00376602" w:rsidP="00376602">
      <w:pPr>
        <w:widowControl w:val="0"/>
        <w:autoSpaceDE w:val="0"/>
        <w:autoSpaceDN w:val="0"/>
        <w:adjustRightInd w:val="0"/>
        <w:ind w:left="720" w:right="-180" w:hanging="720"/>
        <w:jc w:val="left"/>
        <w:rPr>
          <w:rFonts w:ascii="Arial" w:hAnsi="Arial" w:cs="Arial"/>
        </w:rPr>
      </w:pPr>
      <w:r w:rsidRPr="00376602">
        <w:rPr>
          <w:rFonts w:ascii="Arial" w:hAnsi="Arial" w:cs="Arial"/>
        </w:rPr>
        <w:t>2.</w:t>
      </w:r>
      <w:r w:rsidRPr="00376602">
        <w:rPr>
          <w:rFonts w:ascii="Arial" w:hAnsi="Arial" w:cs="Arial"/>
        </w:rPr>
        <w:tab/>
      </w:r>
      <w:r w:rsidRPr="00376602">
        <w:rPr>
          <w:rFonts w:ascii="Arial" w:hAnsi="Arial" w:cs="Arial"/>
          <w:u w:val="single"/>
        </w:rPr>
        <w:t>Termination of License</w:t>
      </w:r>
      <w:r w:rsidRPr="00376602">
        <w:rPr>
          <w:rFonts w:ascii="Arial" w:hAnsi="Arial" w:cs="Arial"/>
        </w:rPr>
        <w:t>.</w:t>
      </w:r>
    </w:p>
    <w:p w14:paraId="1DC09A98" w14:textId="77777777" w:rsidR="0049317D" w:rsidRPr="00376602" w:rsidRDefault="00376602" w:rsidP="0037660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  <w:r w:rsidRPr="00376602">
        <w:rPr>
          <w:rFonts w:ascii="Arial" w:hAnsi="Arial" w:cs="Arial"/>
        </w:rPr>
        <w:t>The Trust will not terminate a License without (a) the support of the applicable Operational Communities/</w:t>
      </w:r>
      <w:r w:rsidRPr="00376602">
        <w:rPr>
          <w:rFonts w:ascii="Arial" w:hAnsi="Arial" w:cs="Arial"/>
        </w:rPr>
        <w:t>CCG, or (b) an indep</w:t>
      </w:r>
      <w:r w:rsidRPr="00376602">
        <w:rPr>
          <w:rFonts w:ascii="Arial" w:hAnsi="Arial" w:cs="Arial"/>
        </w:rPr>
        <w:t xml:space="preserve">endent finding of fact (e.g. Arbitration) that a material breach has occurred and has not been cured. </w:t>
      </w:r>
    </w:p>
    <w:p w14:paraId="00F77EFB" w14:textId="77777777" w:rsidR="0049317D" w:rsidRPr="00376602" w:rsidRDefault="00376602" w:rsidP="0037660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  <w:r w:rsidRPr="00376602">
        <w:rPr>
          <w:rFonts w:ascii="Arial" w:hAnsi="Arial" w:cs="Arial"/>
        </w:rPr>
        <w:t xml:space="preserve">The License will acknowledge that unauthorized use of the IANA IPR may give rise to an infringement or other action by the Trust.  This would be done in </w:t>
      </w:r>
      <w:r w:rsidRPr="00376602">
        <w:rPr>
          <w:rFonts w:ascii="Arial" w:hAnsi="Arial" w:cs="Arial"/>
        </w:rPr>
        <w:t>consultation with the OCs, but unlike termination, would not be a formal matter requiring their support.</w:t>
      </w:r>
    </w:p>
    <w:p w14:paraId="31CF1AC8" w14:textId="77777777" w:rsidR="0049317D" w:rsidRPr="00376602" w:rsidRDefault="0049317D" w:rsidP="00376602">
      <w:pPr>
        <w:widowControl w:val="0"/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</w:p>
    <w:p w14:paraId="71433BF4" w14:textId="77777777" w:rsidR="0049317D" w:rsidRPr="00376602" w:rsidRDefault="00376602" w:rsidP="00376602">
      <w:pPr>
        <w:widowControl w:val="0"/>
        <w:autoSpaceDE w:val="0"/>
        <w:autoSpaceDN w:val="0"/>
        <w:adjustRightInd w:val="0"/>
        <w:ind w:left="720" w:right="-180" w:hanging="720"/>
        <w:jc w:val="left"/>
        <w:rPr>
          <w:rFonts w:ascii="Arial" w:hAnsi="Arial" w:cs="Arial"/>
        </w:rPr>
      </w:pPr>
      <w:r w:rsidRPr="00376602"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376602">
        <w:rPr>
          <w:rFonts w:ascii="Arial" w:hAnsi="Arial" w:cs="Arial"/>
          <w:u w:val="single"/>
        </w:rPr>
        <w:t>Maintenance of IANA IPR</w:t>
      </w:r>
      <w:r w:rsidRPr="00376602">
        <w:rPr>
          <w:rFonts w:ascii="Arial" w:hAnsi="Arial" w:cs="Arial"/>
        </w:rPr>
        <w:t>.</w:t>
      </w:r>
    </w:p>
    <w:p w14:paraId="3B5FE80E" w14:textId="77777777" w:rsidR="0049317D" w:rsidRPr="00376602" w:rsidRDefault="00376602" w:rsidP="0037660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  <w:r w:rsidRPr="00376602">
        <w:rPr>
          <w:rFonts w:ascii="Arial" w:hAnsi="Arial" w:cs="Arial"/>
        </w:rPr>
        <w:t xml:space="preserve">The IETF Trust will be committed to maintaining the IANA IPR.   It will maintain the registrations </w:t>
      </w:r>
      <w:r>
        <w:rPr>
          <w:rFonts w:ascii="Arial" w:hAnsi="Arial" w:cs="Arial"/>
        </w:rPr>
        <w:t>(including domain</w:t>
      </w:r>
      <w:r>
        <w:rPr>
          <w:rFonts w:ascii="Arial" w:hAnsi="Arial" w:cs="Arial"/>
        </w:rPr>
        <w:t xml:space="preserve"> names) </w:t>
      </w:r>
      <w:r w:rsidRPr="00376602">
        <w:rPr>
          <w:rFonts w:ascii="Arial" w:hAnsi="Arial" w:cs="Arial"/>
        </w:rPr>
        <w:t>assigned to it in the current jurisdictions.</w:t>
      </w:r>
    </w:p>
    <w:p w14:paraId="69562C3D" w14:textId="77777777" w:rsidR="0049317D" w:rsidRPr="00376602" w:rsidRDefault="00376602" w:rsidP="0037660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  <w:r w:rsidRPr="00376602">
        <w:rPr>
          <w:rFonts w:ascii="Arial" w:hAnsi="Arial" w:cs="Arial"/>
        </w:rPr>
        <w:t>If in the future, additional registrations may be requested by a Licensee or the OCs, which the IETF Trust will consider in good faith.</w:t>
      </w:r>
    </w:p>
    <w:p w14:paraId="29EC011E" w14:textId="77777777" w:rsidR="0049317D" w:rsidRPr="00376602" w:rsidRDefault="00376602" w:rsidP="0037660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  <w:r w:rsidRPr="00376602">
        <w:rPr>
          <w:rFonts w:ascii="Arial" w:hAnsi="Arial" w:cs="Arial"/>
        </w:rPr>
        <w:t>The IETF</w:t>
      </w:r>
      <w:r w:rsidRPr="00376602">
        <w:rPr>
          <w:rFonts w:ascii="Arial" w:hAnsi="Arial" w:cs="Arial"/>
        </w:rPr>
        <w:t xml:space="preserve"> Trust reserves the right to require the Licensee or the requesting OC to pay out of pocket costs for any additional registrations, which will be owned by the Trust.</w:t>
      </w:r>
    </w:p>
    <w:p w14:paraId="5DF3B762" w14:textId="77777777" w:rsidR="0049317D" w:rsidRPr="00376602" w:rsidRDefault="0049317D" w:rsidP="00376602">
      <w:pPr>
        <w:widowControl w:val="0"/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</w:p>
    <w:p w14:paraId="69CF227C" w14:textId="77777777" w:rsidR="0049317D" w:rsidRPr="00376602" w:rsidRDefault="00376602" w:rsidP="00376602">
      <w:pPr>
        <w:widowControl w:val="0"/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  <w:r w:rsidRPr="00376602">
        <w:rPr>
          <w:rFonts w:ascii="Arial" w:hAnsi="Arial" w:cs="Arial"/>
        </w:rPr>
        <w:t>4.</w:t>
      </w:r>
      <w:r w:rsidRPr="00376602">
        <w:rPr>
          <w:rFonts w:ascii="Arial" w:hAnsi="Arial" w:cs="Arial"/>
        </w:rPr>
        <w:tab/>
      </w:r>
      <w:r w:rsidRPr="00376602">
        <w:rPr>
          <w:rFonts w:ascii="Arial" w:hAnsi="Arial" w:cs="Arial"/>
          <w:u w:val="single"/>
        </w:rPr>
        <w:t>Enforcement of IANA-IPR</w:t>
      </w:r>
      <w:r w:rsidRPr="00376602">
        <w:rPr>
          <w:rFonts w:ascii="Arial" w:hAnsi="Arial" w:cs="Arial"/>
        </w:rPr>
        <w:t>.</w:t>
      </w:r>
    </w:p>
    <w:p w14:paraId="4A6AE0DD" w14:textId="77777777" w:rsidR="0049317D" w:rsidRPr="00376602" w:rsidRDefault="00376602" w:rsidP="0037660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  <w:r w:rsidRPr="00376602">
        <w:rPr>
          <w:rFonts w:ascii="Arial" w:hAnsi="Arial" w:cs="Arial"/>
        </w:rPr>
        <w:t>The IETF</w:t>
      </w:r>
      <w:r w:rsidRPr="00376602">
        <w:rPr>
          <w:rFonts w:ascii="Arial" w:hAnsi="Arial" w:cs="Arial"/>
        </w:rPr>
        <w:t xml:space="preserve"> Trust would have the initial right, but not the obligation to enforce the IANA IPR against third party infringers</w:t>
      </w:r>
    </w:p>
    <w:p w14:paraId="014154C2" w14:textId="77777777" w:rsidR="0049317D" w:rsidRPr="00376602" w:rsidRDefault="00376602" w:rsidP="0037660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  <w:r w:rsidRPr="00376602">
        <w:rPr>
          <w:rFonts w:ascii="Arial" w:hAnsi="Arial" w:cs="Arial"/>
        </w:rPr>
        <w:t>If the IETF Trust chooses not to enforce the IP, then subject to the Trust’s prior approval (not to be unreasonably withheld</w:t>
      </w:r>
      <w:r>
        <w:rPr>
          <w:rFonts w:ascii="Arial" w:hAnsi="Arial" w:cs="Arial"/>
        </w:rPr>
        <w:t xml:space="preserve"> or delayed</w:t>
      </w:r>
      <w:r w:rsidRPr="00376602">
        <w:rPr>
          <w:rFonts w:ascii="Arial" w:hAnsi="Arial" w:cs="Arial"/>
        </w:rPr>
        <w:t>), the</w:t>
      </w:r>
      <w:r w:rsidRPr="0037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376602">
        <w:rPr>
          <w:rFonts w:ascii="Arial" w:hAnsi="Arial" w:cs="Arial"/>
        </w:rPr>
        <w:t>icensee may seek to enforce against third party infringers</w:t>
      </w:r>
    </w:p>
    <w:p w14:paraId="425D3B1E" w14:textId="77777777" w:rsidR="0049317D" w:rsidRPr="00376602" w:rsidRDefault="00376602" w:rsidP="0037660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  <w:r w:rsidRPr="00376602">
        <w:rPr>
          <w:rFonts w:ascii="Arial" w:hAnsi="Arial" w:cs="Arial"/>
        </w:rPr>
        <w:t>The allocation of damage awards is a business issue TBD.</w:t>
      </w:r>
    </w:p>
    <w:p w14:paraId="0DB1C0EC" w14:textId="77777777" w:rsidR="0049317D" w:rsidRPr="00376602" w:rsidRDefault="0049317D" w:rsidP="00376602">
      <w:pPr>
        <w:widowControl w:val="0"/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</w:p>
    <w:p w14:paraId="7742E690" w14:textId="77777777" w:rsidR="0049317D" w:rsidRPr="00376602" w:rsidRDefault="00376602" w:rsidP="00376602">
      <w:pPr>
        <w:widowControl w:val="0"/>
        <w:autoSpaceDE w:val="0"/>
        <w:autoSpaceDN w:val="0"/>
        <w:adjustRightInd w:val="0"/>
        <w:ind w:left="720" w:right="-180" w:hanging="720"/>
        <w:jc w:val="left"/>
        <w:rPr>
          <w:rFonts w:ascii="Arial" w:hAnsi="Arial" w:cs="Arial"/>
        </w:rPr>
      </w:pPr>
      <w:r w:rsidRPr="00376602">
        <w:rPr>
          <w:rFonts w:ascii="Arial" w:hAnsi="Arial" w:cs="Arial"/>
        </w:rPr>
        <w:t>5.     </w:t>
      </w:r>
      <w:r>
        <w:rPr>
          <w:rFonts w:ascii="Arial" w:hAnsi="Arial" w:cs="Arial"/>
        </w:rPr>
        <w:tab/>
      </w:r>
      <w:r w:rsidRPr="00376602">
        <w:rPr>
          <w:rFonts w:ascii="Arial" w:hAnsi="Arial" w:cs="Arial"/>
          <w:u w:val="single"/>
        </w:rPr>
        <w:t>Consultation</w:t>
      </w:r>
      <w:r>
        <w:rPr>
          <w:rFonts w:ascii="Arial" w:hAnsi="Arial" w:cs="Arial"/>
          <w:u w:val="single"/>
        </w:rPr>
        <w:t xml:space="preserve"> with the CCG</w:t>
      </w:r>
      <w:r>
        <w:rPr>
          <w:rFonts w:ascii="Arial" w:hAnsi="Arial" w:cs="Arial"/>
        </w:rPr>
        <w:t xml:space="preserve">.  When the IETF Trust is required, under the </w:t>
      </w:r>
      <w:r>
        <w:rPr>
          <w:rFonts w:ascii="Arial" w:hAnsi="Arial" w:cs="Arial"/>
        </w:rPr>
        <w:t xml:space="preserve">Community </w:t>
      </w:r>
      <w:r>
        <w:rPr>
          <w:rFonts w:ascii="Arial" w:hAnsi="Arial" w:cs="Arial"/>
        </w:rPr>
        <w:t xml:space="preserve">Agreement, to consult with and seek </w:t>
      </w:r>
      <w:r>
        <w:rPr>
          <w:rFonts w:ascii="Arial" w:hAnsi="Arial" w:cs="Arial"/>
        </w:rPr>
        <w:t xml:space="preserve">the advice of the CCG, the Trust will give thoughtful consideration to the advice and recommendations provide by the CCG.  There will be a rebuttable presumption that the Trust </w:t>
      </w:r>
      <w:r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accept the advice and recommendations of the CCG, and if the</w:t>
      </w:r>
      <w:r>
        <w:rPr>
          <w:rFonts w:ascii="Arial" w:hAnsi="Arial" w:cs="Arial"/>
        </w:rPr>
        <w:t xml:space="preserve"> Trust, in its reasonable discretion, elects not to accept such advice, it will state the reasons why.</w:t>
      </w:r>
    </w:p>
    <w:p w14:paraId="5C94116E" w14:textId="77777777" w:rsidR="0049317D" w:rsidRPr="00376602" w:rsidRDefault="0049317D" w:rsidP="00376602">
      <w:pPr>
        <w:widowControl w:val="0"/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</w:p>
    <w:p w14:paraId="376D9130" w14:textId="77777777" w:rsidR="0049317D" w:rsidRPr="00376602" w:rsidRDefault="00376602" w:rsidP="00376602">
      <w:pPr>
        <w:widowControl w:val="0"/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  <w:r w:rsidRPr="00376602">
        <w:rPr>
          <w:rFonts w:ascii="Arial" w:hAnsi="Arial" w:cs="Arial"/>
        </w:rPr>
        <w:t>6.</w:t>
      </w:r>
      <w:r w:rsidRPr="00376602">
        <w:rPr>
          <w:rFonts w:ascii="Arial" w:hAnsi="Arial" w:cs="Arial"/>
        </w:rPr>
        <w:tab/>
      </w:r>
      <w:r w:rsidRPr="00376602">
        <w:rPr>
          <w:rFonts w:ascii="Arial" w:hAnsi="Arial" w:cs="Arial"/>
          <w:u w:val="single"/>
        </w:rPr>
        <w:t>IETF Trust Breach of the Community Agreement</w:t>
      </w:r>
      <w:r w:rsidRPr="00376602">
        <w:rPr>
          <w:rFonts w:ascii="Arial" w:hAnsi="Arial" w:cs="Arial"/>
        </w:rPr>
        <w:t>.</w:t>
      </w:r>
    </w:p>
    <w:p w14:paraId="0167AB51" w14:textId="77777777" w:rsidR="0049317D" w:rsidRPr="00376602" w:rsidRDefault="00376602" w:rsidP="0037660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  <w:r w:rsidRPr="00376602">
        <w:rPr>
          <w:rFonts w:ascii="Arial" w:hAnsi="Arial" w:cs="Arial"/>
        </w:rPr>
        <w:t>Under the current Trust Agreement, the IETF Trust may not transfer assets once it receives them.</w:t>
      </w:r>
    </w:p>
    <w:p w14:paraId="012403D8" w14:textId="77777777" w:rsidR="0049317D" w:rsidRPr="00376602" w:rsidRDefault="00376602" w:rsidP="0037660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  <w:r w:rsidRPr="00376602">
        <w:rPr>
          <w:rFonts w:ascii="Arial" w:hAnsi="Arial" w:cs="Arial"/>
        </w:rPr>
        <w:t xml:space="preserve">Upon the request of the CCG, the IETF Trust will request from the IETF community </w:t>
      </w:r>
      <w:r w:rsidRPr="00376602">
        <w:rPr>
          <w:rFonts w:ascii="Arial" w:hAnsi="Arial" w:cs="Arial"/>
        </w:rPr>
        <w:lastRenderedPageBreak/>
        <w:t xml:space="preserve">(after </w:t>
      </w:r>
      <w:r>
        <w:rPr>
          <w:rFonts w:ascii="Arial" w:hAnsi="Arial" w:cs="Arial"/>
        </w:rPr>
        <w:t>transition</w:t>
      </w:r>
      <w:bookmarkStart w:id="0" w:name="_GoBack"/>
      <w:bookmarkEnd w:id="0"/>
      <w:r w:rsidRPr="00376602">
        <w:rPr>
          <w:rFonts w:ascii="Arial" w:hAnsi="Arial" w:cs="Arial"/>
        </w:rPr>
        <w:t>) approval of an amendment to the Trust Agreement to permit transfer of the IANA IPR, only, in the event of a serious (to be defined) breach of the Commun</w:t>
      </w:r>
      <w:r w:rsidRPr="00376602">
        <w:rPr>
          <w:rFonts w:ascii="Arial" w:hAnsi="Arial" w:cs="Arial"/>
        </w:rPr>
        <w:t>ity Agreement that remains uncured after a  reasonable dispute resolution process has been completed.</w:t>
      </w:r>
    </w:p>
    <w:p w14:paraId="5DB41889" w14:textId="77777777" w:rsidR="0049317D" w:rsidRPr="00376602" w:rsidRDefault="00376602" w:rsidP="0037660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  <w:r w:rsidRPr="00376602">
        <w:rPr>
          <w:rFonts w:ascii="Arial" w:hAnsi="Arial" w:cs="Arial"/>
        </w:rPr>
        <w:t xml:space="preserve">In addition, the parties </w:t>
      </w:r>
      <w:r>
        <w:rPr>
          <w:rFonts w:ascii="Arial" w:hAnsi="Arial" w:cs="Arial"/>
        </w:rPr>
        <w:t>would</w:t>
      </w:r>
      <w:r w:rsidRPr="00376602">
        <w:rPr>
          <w:rFonts w:ascii="Arial" w:hAnsi="Arial" w:cs="Arial"/>
        </w:rPr>
        <w:t xml:space="preserve"> </w:t>
      </w:r>
      <w:r w:rsidRPr="00376602">
        <w:rPr>
          <w:rFonts w:ascii="Arial" w:hAnsi="Arial" w:cs="Arial"/>
        </w:rPr>
        <w:t>expressly acknowledge that specific performance and equitable relief that may be awarded by a court following a prove</w:t>
      </w:r>
      <w:r w:rsidRPr="00376602">
        <w:rPr>
          <w:rFonts w:ascii="Arial" w:hAnsi="Arial" w:cs="Arial"/>
        </w:rPr>
        <w:t>n breach of the Community Agreement by the IETF Trust could include divestment of the IANA IPR assets. </w:t>
      </w:r>
    </w:p>
    <w:p w14:paraId="611E2568" w14:textId="77777777" w:rsidR="0049317D" w:rsidRPr="00376602" w:rsidRDefault="0049317D" w:rsidP="00376602">
      <w:pPr>
        <w:widowControl w:val="0"/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</w:p>
    <w:p w14:paraId="5C8DEC02" w14:textId="77777777" w:rsidR="0049317D" w:rsidRPr="00376602" w:rsidRDefault="00376602" w:rsidP="00376602">
      <w:pPr>
        <w:widowControl w:val="0"/>
        <w:autoSpaceDE w:val="0"/>
        <w:autoSpaceDN w:val="0"/>
        <w:adjustRightInd w:val="0"/>
        <w:ind w:right="-180"/>
        <w:jc w:val="left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376602">
        <w:rPr>
          <w:rFonts w:ascii="Arial" w:hAnsi="Arial" w:cs="Arial"/>
        </w:rPr>
        <w:t xml:space="preserve">.      </w:t>
      </w:r>
      <w:r w:rsidRPr="00376602">
        <w:rPr>
          <w:rFonts w:ascii="Arial" w:hAnsi="Arial" w:cs="Arial"/>
          <w:u w:val="single"/>
        </w:rPr>
        <w:t>Governing Law and Venue</w:t>
      </w:r>
      <w:r w:rsidRPr="00376602">
        <w:rPr>
          <w:rFonts w:ascii="Arial" w:hAnsi="Arial" w:cs="Arial"/>
        </w:rPr>
        <w:t>.</w:t>
      </w:r>
    </w:p>
    <w:p w14:paraId="4BA3F1C7" w14:textId="77777777" w:rsidR="0049317D" w:rsidRPr="00376602" w:rsidRDefault="00376602" w:rsidP="00376602">
      <w:pPr>
        <w:pStyle w:val="ListParagraph"/>
        <w:numPr>
          <w:ilvl w:val="0"/>
          <w:numId w:val="2"/>
        </w:numPr>
        <w:ind w:right="-180"/>
        <w:rPr>
          <w:rFonts w:ascii="Arial" w:hAnsi="Arial" w:cs="Arial"/>
        </w:rPr>
      </w:pPr>
      <w:r w:rsidRPr="00376602">
        <w:rPr>
          <w:rFonts w:ascii="Arial" w:hAnsi="Arial" w:cs="Arial"/>
        </w:rPr>
        <w:t xml:space="preserve">Use California law to govern the Agreements, but remain silent on venue, so there would be no requirement to litigate </w:t>
      </w:r>
      <w:r w:rsidRPr="00376602">
        <w:rPr>
          <w:rFonts w:ascii="Arial" w:hAnsi="Arial" w:cs="Arial"/>
        </w:rPr>
        <w:t xml:space="preserve">in California.  </w:t>
      </w:r>
    </w:p>
    <w:sectPr w:rsidR="0049317D" w:rsidRPr="0037660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C3F40" w14:textId="77777777" w:rsidR="0049317D" w:rsidRDefault="00376602">
      <w:r>
        <w:separator/>
      </w:r>
    </w:p>
  </w:endnote>
  <w:endnote w:type="continuationSeparator" w:id="0">
    <w:p w14:paraId="2A6288DD" w14:textId="77777777" w:rsidR="0049317D" w:rsidRDefault="0037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C58EA" w14:textId="77777777" w:rsidR="00376602" w:rsidRDefault="00376602" w:rsidP="009468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5BF668" w14:textId="77777777" w:rsidR="00376602" w:rsidRDefault="0037660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4D3B6" w14:textId="77777777" w:rsidR="00376602" w:rsidRDefault="00376602" w:rsidP="009468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DAF6C4" w14:textId="77777777" w:rsidR="00376602" w:rsidRDefault="0037660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F2C18" w14:textId="77777777" w:rsidR="0049317D" w:rsidRDefault="00376602">
      <w:r>
        <w:separator/>
      </w:r>
    </w:p>
  </w:footnote>
  <w:footnote w:type="continuationSeparator" w:id="0">
    <w:p w14:paraId="00688999" w14:textId="77777777" w:rsidR="0049317D" w:rsidRDefault="00376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58E"/>
    <w:multiLevelType w:val="hybridMultilevel"/>
    <w:tmpl w:val="7F7C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F4B3A"/>
    <w:multiLevelType w:val="hybridMultilevel"/>
    <w:tmpl w:val="5218C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56388"/>
    <w:multiLevelType w:val="hybridMultilevel"/>
    <w:tmpl w:val="4A8E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74DEA"/>
    <w:multiLevelType w:val="hybridMultilevel"/>
    <w:tmpl w:val="B04E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C4DDF"/>
    <w:multiLevelType w:val="hybridMultilevel"/>
    <w:tmpl w:val="779E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D52EA"/>
    <w:multiLevelType w:val="hybridMultilevel"/>
    <w:tmpl w:val="65BE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MRemoved" w:val="True"/>
    <w:docVar w:name="DateRemoved" w:val="True"/>
    <w:docVar w:name="DocIDAllPagesExceptFirst" w:val="False"/>
    <w:docVar w:name="DocIDAuthor" w:val="False"/>
    <w:docVar w:name="DocIDClientMatter" w:val="False"/>
    <w:docVar w:name="DocIDDate" w:val="False"/>
    <w:docVar w:name="DocIDDateText" w:val="False"/>
    <w:docVar w:name="DocIDDefaultsApplied" w:val="True"/>
    <w:docVar w:name="DocIDDraft" w:val="False"/>
    <w:docVar w:name="DocIDEOD" w:val="False"/>
    <w:docVar w:name="DocIDFileName" w:val="False"/>
    <w:docVar w:name="DocIDFirstPageFooter" w:val="True"/>
    <w:docVar w:name="DocIDFooter" w:val="False"/>
    <w:docVar w:name="DocIDLibrary" w:val="True"/>
    <w:docVar w:name="DocIDLongDate" w:val="False"/>
    <w:docVar w:name="DocIDPrefix" w:val="False"/>
    <w:docVar w:name="DocIDPrintedDate" w:val="False"/>
    <w:docVar w:name="DocIDRemoved" w:val="False"/>
    <w:docVar w:name="DocIDTime" w:val="False"/>
    <w:docVar w:name="DocIDType" w:val="FirstPageOnly"/>
    <w:docVar w:name="DocIDTypist" w:val="False"/>
    <w:docVar w:name="DocIDVersion" w:val="False"/>
    <w:docVar w:name="DraftRemoved" w:val="True"/>
    <w:docVar w:name="LegacyDocIDRemoved" w:val="True"/>
    <w:docVar w:name="TimeRemoved" w:val="True"/>
  </w:docVars>
  <w:rsids>
    <w:rsidRoot w:val="0049317D"/>
    <w:rsid w:val="00376602"/>
    <w:rsid w:val="0049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3A425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centered"/>
    <w:qFormat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pPr>
      <w:jc w:val="left"/>
    </w:pPr>
    <w:rPr>
      <w:rFonts w:ascii="Times New Roman" w:eastAsia="Times New Roman" w:hAnsi="Times New Roman" w:cs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sz w:val="20"/>
    </w:rPr>
  </w:style>
  <w:style w:type="paragraph" w:customStyle="1" w:styleId="BlockQuote">
    <w:name w:val="Block Quote"/>
    <w:basedOn w:val="Normal"/>
    <w:pPr>
      <w:widowControl w:val="0"/>
      <w:ind w:left="360" w:right="360" w:firstLine="360"/>
    </w:pPr>
    <w:rPr>
      <w:rFonts w:ascii="CG Times" w:eastAsia="Times New Roman" w:hAnsi="CG Times" w:cs="Times New Roman"/>
      <w:sz w:val="21"/>
      <w:szCs w:val="19"/>
    </w:rPr>
  </w:style>
  <w:style w:type="paragraph" w:customStyle="1" w:styleId="BlockQuoteinFootnote">
    <w:name w:val="Block Quote in Footnote"/>
    <w:basedOn w:val="FootnoteText"/>
    <w:pPr>
      <w:ind w:left="360" w:right="36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rFonts w:ascii="Times New Roman" w:hAnsi="Times New Roman" w:cs="Times New Roman"/>
      <w:b w:val="0"/>
      <w:i w:val="0"/>
      <w:caps w:val="0"/>
      <w:vanish w:val="0"/>
      <w:color w:val="000000"/>
      <w:sz w:val="14"/>
      <w:u w:val="none"/>
    </w:rPr>
  </w:style>
  <w:style w:type="character" w:styleId="PageNumber">
    <w:name w:val="page number"/>
    <w:basedOn w:val="DefaultParagraphFont"/>
    <w:uiPriority w:val="99"/>
    <w:semiHidden/>
    <w:unhideWhenUsed/>
    <w:rsid w:val="0037660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centered"/>
    <w:qFormat/>
    <w:rsid w:val="00BE203F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sid w:val="00A36D1D"/>
    <w:pPr>
      <w:jc w:val="left"/>
    </w:pPr>
    <w:rPr>
      <w:rFonts w:ascii="Times New Roman" w:eastAsia="Times New Roman" w:hAnsi="Times New Roman" w:cs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6D1D"/>
    <w:rPr>
      <w:rFonts w:ascii="Times New Roman" w:eastAsia="Times New Roman" w:hAnsi="Times New Roman" w:cs="Times New Roman"/>
      <w:sz w:val="20"/>
    </w:rPr>
  </w:style>
  <w:style w:type="paragraph" w:customStyle="1" w:styleId="BlockQuote">
    <w:name w:val="Block Quote"/>
    <w:basedOn w:val="Normal"/>
    <w:rsid w:val="00C2401F"/>
    <w:pPr>
      <w:widowControl w:val="0"/>
      <w:ind w:left="360" w:right="360" w:firstLine="360"/>
    </w:pPr>
    <w:rPr>
      <w:rFonts w:ascii="CG Times" w:eastAsia="Times New Roman" w:hAnsi="CG Times" w:cs="Times New Roman"/>
      <w:sz w:val="21"/>
      <w:szCs w:val="19"/>
    </w:rPr>
  </w:style>
  <w:style w:type="paragraph" w:customStyle="1" w:styleId="BlockQuoteinFootnote">
    <w:name w:val="Block Quote in Footnote"/>
    <w:basedOn w:val="FootnoteText"/>
    <w:rsid w:val="00C2401F"/>
    <w:pPr>
      <w:ind w:left="360" w:right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A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A0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0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498</Words>
  <Characters>2842</Characters>
  <Application>Microsoft Macintosh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Contreras</dc:creator>
  <cp:keywords/>
  <dc:description/>
  <cp:lastModifiedBy>Jorge Contreras</cp:lastModifiedBy>
  <cp:revision>5</cp:revision>
  <dcterms:created xsi:type="dcterms:W3CDTF">2016-08-02T22:47:00Z</dcterms:created>
  <dcterms:modified xsi:type="dcterms:W3CDTF">2016-08-02T23:40:00Z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ACTIVE 216540327</vt:lpwstr>
  </property>
  <property fmtid="{D5CDD505-2E9C-101B-9397-08002B2CF9AE}" pid="3" name="_AdHocReviewCycleID">
    <vt:i4>1243746746</vt:i4>
  </property>
  <property fmtid="{D5CDD505-2E9C-101B-9397-08002B2CF9AE}" pid="4" name="_NewReviewCycle">
    <vt:lpwstr/>
  </property>
  <property fmtid="{D5CDD505-2E9C-101B-9397-08002B2CF9AE}" pid="5" name="_EmailSubject">
    <vt:lpwstr>IANA IPR License and Community Agreements</vt:lpwstr>
  </property>
  <property fmtid="{D5CDD505-2E9C-101B-9397-08002B2CF9AE}" pid="6" name="_AuthorEmail">
    <vt:lpwstr>jhofheimer@sidley.com</vt:lpwstr>
  </property>
  <property fmtid="{D5CDD505-2E9C-101B-9397-08002B2CF9AE}" pid="7" name="_AuthorEmailDisplayName">
    <vt:lpwstr>Hofheimer, Joshua T.</vt:lpwstr>
  </property>
</Properties>
</file>