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CE2B41" w14:textId="6049978D" w:rsidR="00774145" w:rsidRPr="00FD106B" w:rsidRDefault="00C90798" w:rsidP="00774145">
      <w:pPr>
        <w:jc w:val="center"/>
        <w:rPr>
          <w:b/>
          <w:u w:val="single"/>
          <w:lang w:val="en-GB"/>
        </w:rPr>
      </w:pPr>
      <w:r w:rsidRPr="00FD106B">
        <w:rPr>
          <w:b/>
          <w:u w:val="single"/>
          <w:lang w:val="en-GB"/>
        </w:rPr>
        <w:t xml:space="preserve">Guidance </w:t>
      </w:r>
      <w:r w:rsidR="00774145" w:rsidRPr="00FD106B">
        <w:rPr>
          <w:b/>
          <w:u w:val="single"/>
          <w:lang w:val="en-GB"/>
        </w:rPr>
        <w:t>for the transition of stewardship of IANA functions</w:t>
      </w:r>
    </w:p>
    <w:p w14:paraId="145E1A22" w14:textId="58179895" w:rsidR="00774145" w:rsidRPr="00FD106B" w:rsidRDefault="00774145" w:rsidP="00774145">
      <w:pPr>
        <w:rPr>
          <w:rStyle w:val="Strong"/>
          <w:b w:val="0"/>
          <w:lang w:val="en-GB"/>
        </w:rPr>
      </w:pPr>
      <w:r w:rsidRPr="00FD106B">
        <w:rPr>
          <w:lang w:val="en-GB"/>
        </w:rPr>
        <w:t xml:space="preserve">This </w:t>
      </w:r>
      <w:r w:rsidR="00C90798" w:rsidRPr="00FD106B">
        <w:rPr>
          <w:lang w:val="en-GB"/>
        </w:rPr>
        <w:t xml:space="preserve">guidance </w:t>
      </w:r>
      <w:r w:rsidRPr="00FD106B">
        <w:rPr>
          <w:lang w:val="en-GB"/>
        </w:rPr>
        <w:t xml:space="preserve">for the transition of IANA functions stewardship from the U.S. Government to the Internet community was developed by </w:t>
      </w:r>
      <w:r w:rsidR="00940ACD" w:rsidRPr="00FD106B">
        <w:rPr>
          <w:lang w:val="en-GB"/>
        </w:rPr>
        <w:t xml:space="preserve">a number of direct consumers of </w:t>
      </w:r>
      <w:r w:rsidRPr="00FD106B">
        <w:rPr>
          <w:lang w:val="en-GB"/>
        </w:rPr>
        <w:t>IANA</w:t>
      </w:r>
      <w:r w:rsidR="00940ACD" w:rsidRPr="00FD106B">
        <w:rPr>
          <w:lang w:val="en-GB"/>
        </w:rPr>
        <w:t xml:space="preserve"> functions </w:t>
      </w:r>
      <w:r w:rsidRPr="00FD106B">
        <w:rPr>
          <w:lang w:val="en-GB"/>
        </w:rPr>
        <w:t xml:space="preserve">in particular a collaborative group of gTLD and ccTLD managers. </w:t>
      </w:r>
      <w:r w:rsidRPr="00FD106B">
        <w:rPr>
          <w:rStyle w:val="Strong"/>
          <w:b w:val="0"/>
          <w:lang w:val="en-GB"/>
        </w:rPr>
        <w:t xml:space="preserve"> </w:t>
      </w:r>
      <w:r w:rsidR="00080068" w:rsidRPr="00FD106B">
        <w:rPr>
          <w:rStyle w:val="Strong"/>
          <w:b w:val="0"/>
          <w:lang w:val="en-GB"/>
        </w:rPr>
        <w:t>As such, this document is focussed upon the continued management of naming functions performed by IANA.</w:t>
      </w:r>
    </w:p>
    <w:p w14:paraId="791D42B2" w14:textId="18C9770A" w:rsidR="00774145" w:rsidRPr="00FD106B" w:rsidRDefault="00774145" w:rsidP="00774145">
      <w:pPr>
        <w:rPr>
          <w:rStyle w:val="Strong"/>
          <w:b w:val="0"/>
          <w:color w:val="548DD4" w:themeColor="text2" w:themeTint="99"/>
          <w:lang w:val="en-GB"/>
        </w:rPr>
      </w:pPr>
      <w:r w:rsidRPr="00FD106B">
        <w:rPr>
          <w:rStyle w:val="Strong"/>
          <w:b w:val="0"/>
          <w:lang w:val="en-GB"/>
        </w:rPr>
        <w:t xml:space="preserve">This document defines structures, mechanisms, processes and key principles for the IANA transition. </w:t>
      </w:r>
      <w:r w:rsidR="00C90798" w:rsidRPr="00FD106B">
        <w:rPr>
          <w:rStyle w:val="Strong"/>
          <w:b w:val="0"/>
          <w:lang w:val="en-GB"/>
        </w:rPr>
        <w:t>It</w:t>
      </w:r>
      <w:r w:rsidRPr="00FD106B">
        <w:rPr>
          <w:rStyle w:val="Strong"/>
          <w:b w:val="0"/>
          <w:lang w:val="en-GB"/>
        </w:rPr>
        <w:t xml:space="preserve"> has been developed with two key goals in mind: </w:t>
      </w:r>
    </w:p>
    <w:p w14:paraId="72949747" w14:textId="77777777" w:rsidR="00774145" w:rsidRPr="00FD106B" w:rsidRDefault="00774145" w:rsidP="00774145">
      <w:pPr>
        <w:pStyle w:val="ListParagraph"/>
        <w:numPr>
          <w:ilvl w:val="0"/>
          <w:numId w:val="6"/>
        </w:numPr>
        <w:rPr>
          <w:rStyle w:val="Strong"/>
          <w:b w:val="0"/>
          <w:lang w:val="en-GB"/>
        </w:rPr>
      </w:pPr>
      <w:r w:rsidRPr="00FD106B">
        <w:rPr>
          <w:rStyle w:val="Strong"/>
          <w:b w:val="0"/>
          <w:lang w:val="en-GB"/>
        </w:rPr>
        <w:t xml:space="preserve">to deliver the minimal, most simple and lightweight structures possible, while still meeting the needs and expectations of stakeholders; and </w:t>
      </w:r>
    </w:p>
    <w:p w14:paraId="497C7F4B" w14:textId="77777777" w:rsidR="00774145" w:rsidRPr="00FD106B" w:rsidRDefault="00774145" w:rsidP="00774145">
      <w:pPr>
        <w:pStyle w:val="ListParagraph"/>
        <w:numPr>
          <w:ilvl w:val="0"/>
          <w:numId w:val="6"/>
        </w:numPr>
        <w:rPr>
          <w:rStyle w:val="Strong"/>
          <w:b w:val="0"/>
          <w:lang w:val="en-GB"/>
        </w:rPr>
      </w:pPr>
      <w:r w:rsidRPr="00FD106B">
        <w:rPr>
          <w:rStyle w:val="Strong"/>
          <w:b w:val="0"/>
          <w:lang w:val="en-GB"/>
        </w:rPr>
        <w:t xml:space="preserve">to avoid the creation of new, unnecessary structures and their associated complexities. </w:t>
      </w:r>
    </w:p>
    <w:p w14:paraId="66B40D85" w14:textId="1EF5F691" w:rsidR="00774145" w:rsidRPr="00FD106B" w:rsidRDefault="00F858B3" w:rsidP="00774145">
      <w:pPr>
        <w:rPr>
          <w:lang w:val="en-GB"/>
        </w:rPr>
      </w:pPr>
      <w:r w:rsidRPr="00FD106B">
        <w:rPr>
          <w:lang w:val="en-GB"/>
        </w:rPr>
        <w:t xml:space="preserve">Every </w:t>
      </w:r>
      <w:proofErr w:type="spellStart"/>
      <w:r w:rsidRPr="00FD106B">
        <w:rPr>
          <w:lang w:val="en-GB"/>
        </w:rPr>
        <w:t>TLD</w:t>
      </w:r>
      <w:proofErr w:type="spellEnd"/>
      <w:r w:rsidRPr="00FD106B">
        <w:rPr>
          <w:lang w:val="en-GB"/>
        </w:rPr>
        <w:t xml:space="preserve"> </w:t>
      </w:r>
      <w:r w:rsidR="00BF2F5C" w:rsidRPr="00FD106B">
        <w:rPr>
          <w:lang w:val="en-GB"/>
        </w:rPr>
        <w:t>registry operator has</w:t>
      </w:r>
      <w:r w:rsidR="00774145" w:rsidRPr="00FD106B">
        <w:rPr>
          <w:lang w:val="en-GB"/>
        </w:rPr>
        <w:t xml:space="preserve"> a direct relationship with the IANA </w:t>
      </w:r>
      <w:r w:rsidR="00FC6027" w:rsidRPr="00FD106B">
        <w:rPr>
          <w:lang w:val="en-GB"/>
        </w:rPr>
        <w:t xml:space="preserve">Functions Manager </w:t>
      </w:r>
      <w:r w:rsidR="00774145" w:rsidRPr="00FD106B">
        <w:rPr>
          <w:lang w:val="en-GB"/>
        </w:rPr>
        <w:t>(</w:t>
      </w:r>
      <w:proofErr w:type="spellStart"/>
      <w:r w:rsidR="00774145" w:rsidRPr="00FD106B">
        <w:rPr>
          <w:lang w:val="en-GB"/>
        </w:rPr>
        <w:t>IFM</w:t>
      </w:r>
      <w:proofErr w:type="spellEnd"/>
      <w:r w:rsidR="00774145" w:rsidRPr="00FD106B">
        <w:rPr>
          <w:lang w:val="en-GB"/>
        </w:rPr>
        <w:t xml:space="preserve">) governed by agreed service levels and performance metrics, including action timelines. </w:t>
      </w:r>
    </w:p>
    <w:p w14:paraId="57438158" w14:textId="455E8FD8" w:rsidR="005A134F" w:rsidRPr="00FD106B" w:rsidRDefault="005A134F" w:rsidP="005A134F">
      <w:pPr>
        <w:rPr>
          <w:lang w:val="en-GB"/>
        </w:rPr>
      </w:pPr>
      <w:r w:rsidRPr="00FD106B">
        <w:rPr>
          <w:lang w:val="en-GB"/>
        </w:rPr>
        <w:t xml:space="preserve">In 2012, in response to the US Government’s </w:t>
      </w:r>
      <w:r w:rsidR="00AE3984" w:rsidRPr="00FD106B">
        <w:rPr>
          <w:lang w:val="en-GB"/>
        </w:rPr>
        <w:t xml:space="preserve">solicitation for the </w:t>
      </w:r>
      <w:r w:rsidRPr="00FD106B">
        <w:rPr>
          <w:lang w:val="en-GB"/>
        </w:rPr>
        <w:t>perform</w:t>
      </w:r>
      <w:r w:rsidR="00AE3984" w:rsidRPr="00FD106B">
        <w:rPr>
          <w:lang w:val="en-GB"/>
        </w:rPr>
        <w:t xml:space="preserve">ance of the IANA functions, </w:t>
      </w:r>
      <w:r w:rsidRPr="00FD106B">
        <w:rPr>
          <w:lang w:val="en-GB"/>
        </w:rPr>
        <w:t>ICANN lodged a “submission of proposal”</w:t>
      </w:r>
      <w:r w:rsidR="00752F76" w:rsidRPr="00FD106B">
        <w:rPr>
          <w:rStyle w:val="FootnoteReference"/>
          <w:lang w:val="en-GB"/>
        </w:rPr>
        <w:footnoteReference w:id="1"/>
      </w:r>
      <w:r w:rsidR="00AE3984" w:rsidRPr="00FD106B">
        <w:rPr>
          <w:lang w:val="en-GB"/>
        </w:rPr>
        <w:t xml:space="preserve"> </w:t>
      </w:r>
      <w:r w:rsidR="00752F76" w:rsidRPr="00FD106B">
        <w:rPr>
          <w:lang w:val="en-GB"/>
        </w:rPr>
        <w:t xml:space="preserve">that detailed the functions ICANN would perform, and the levels to which it would do so. </w:t>
      </w:r>
      <w:r w:rsidR="003A58D3" w:rsidRPr="00FD106B">
        <w:rPr>
          <w:lang w:val="en-GB"/>
        </w:rPr>
        <w:t>ICANN also publishes a series</w:t>
      </w:r>
      <w:r w:rsidR="001346D8" w:rsidRPr="00FD106B">
        <w:rPr>
          <w:lang w:val="en-GB"/>
        </w:rPr>
        <w:t xml:space="preserve"> of timeline-related performance metrics.</w:t>
      </w:r>
      <w:r w:rsidR="001346D8" w:rsidRPr="00FD106B">
        <w:rPr>
          <w:rStyle w:val="FootnoteReference"/>
          <w:lang w:val="en-GB"/>
        </w:rPr>
        <w:footnoteReference w:id="2"/>
      </w:r>
      <w:r w:rsidR="003A58D3" w:rsidRPr="00FD106B">
        <w:rPr>
          <w:lang w:val="en-GB"/>
        </w:rPr>
        <w:t xml:space="preserve"> </w:t>
      </w:r>
      <w:r w:rsidR="0094118C" w:rsidRPr="00FD106B">
        <w:rPr>
          <w:lang w:val="en-GB"/>
        </w:rPr>
        <w:t xml:space="preserve">Subject to the current review of them by the </w:t>
      </w:r>
      <w:proofErr w:type="spellStart"/>
      <w:r w:rsidR="0094118C" w:rsidRPr="00FD106B">
        <w:rPr>
          <w:lang w:val="en-GB"/>
        </w:rPr>
        <w:t>CWG</w:t>
      </w:r>
      <w:proofErr w:type="spellEnd"/>
      <w:r w:rsidR="0094118C" w:rsidRPr="00FD106B">
        <w:rPr>
          <w:lang w:val="en-GB"/>
        </w:rPr>
        <w:t xml:space="preserve"> Design Team, u</w:t>
      </w:r>
      <w:r w:rsidR="00752F76" w:rsidRPr="00FD106B">
        <w:rPr>
          <w:lang w:val="en-GB"/>
        </w:rPr>
        <w:t xml:space="preserve">ntil such time as the </w:t>
      </w:r>
      <w:r w:rsidR="00A52F15" w:rsidRPr="00FD106B">
        <w:rPr>
          <w:lang w:val="en-GB"/>
        </w:rPr>
        <w:t>Direct User Group</w:t>
      </w:r>
      <w:r w:rsidR="00752F76" w:rsidRPr="00FD106B">
        <w:rPr>
          <w:lang w:val="en-GB"/>
        </w:rPr>
        <w:t xml:space="preserve"> (</w:t>
      </w:r>
      <w:r w:rsidR="00036F0E" w:rsidRPr="00FD106B">
        <w:rPr>
          <w:lang w:val="en-GB"/>
        </w:rPr>
        <w:t>“</w:t>
      </w:r>
      <w:r w:rsidR="00A52F15" w:rsidRPr="00FD106B">
        <w:rPr>
          <w:lang w:val="en-GB"/>
        </w:rPr>
        <w:t>DUG</w:t>
      </w:r>
      <w:r w:rsidR="00036F0E" w:rsidRPr="00FD106B">
        <w:rPr>
          <w:lang w:val="en-GB"/>
        </w:rPr>
        <w:t>”</w:t>
      </w:r>
      <w:r w:rsidR="00752F76" w:rsidRPr="00FD106B">
        <w:rPr>
          <w:lang w:val="en-GB"/>
        </w:rPr>
        <w:t xml:space="preserve"> – </w:t>
      </w:r>
      <w:r w:rsidR="00036F0E" w:rsidRPr="00FD106B">
        <w:rPr>
          <w:lang w:val="en-GB"/>
        </w:rPr>
        <w:t xml:space="preserve">as </w:t>
      </w:r>
      <w:r w:rsidR="00752F76" w:rsidRPr="00FD106B">
        <w:rPr>
          <w:lang w:val="en-GB"/>
        </w:rPr>
        <w:t>defined below) has negotiated</w:t>
      </w:r>
      <w:r w:rsidR="00036F0E" w:rsidRPr="00FD106B">
        <w:rPr>
          <w:lang w:val="en-GB"/>
        </w:rPr>
        <w:t xml:space="preserve"> any necessary improvements to these arrangements, ICANN will continue to abide the</w:t>
      </w:r>
      <w:r w:rsidR="001346D8" w:rsidRPr="00FD106B">
        <w:rPr>
          <w:lang w:val="en-GB"/>
        </w:rPr>
        <w:t>se commitments</w:t>
      </w:r>
      <w:r w:rsidR="00036F0E" w:rsidRPr="00FD106B">
        <w:rPr>
          <w:lang w:val="en-GB"/>
        </w:rPr>
        <w:t xml:space="preserve">. </w:t>
      </w:r>
      <w:r w:rsidR="00752F76" w:rsidRPr="00FD106B">
        <w:rPr>
          <w:lang w:val="en-GB"/>
        </w:rPr>
        <w:t xml:space="preserve"> </w:t>
      </w:r>
      <w:r w:rsidRPr="00FD106B">
        <w:rPr>
          <w:lang w:val="en-GB"/>
        </w:rPr>
        <w:t xml:space="preserve">  </w:t>
      </w:r>
    </w:p>
    <w:p w14:paraId="1B404390" w14:textId="522BC70F" w:rsidR="00774145" w:rsidRPr="00FD106B" w:rsidRDefault="00774145" w:rsidP="00774145">
      <w:pPr>
        <w:rPr>
          <w:lang w:val="en-GB"/>
        </w:rPr>
      </w:pPr>
      <w:r w:rsidRPr="00FD106B">
        <w:rPr>
          <w:lang w:val="en-GB"/>
        </w:rPr>
        <w:t xml:space="preserve">Disputes </w:t>
      </w:r>
      <w:r w:rsidR="00A860AC" w:rsidRPr="00FD106B">
        <w:rPr>
          <w:lang w:val="en-GB"/>
        </w:rPr>
        <w:t xml:space="preserve">about agreed service levels </w:t>
      </w:r>
      <w:r w:rsidR="00EA0B77" w:rsidRPr="00FD106B">
        <w:rPr>
          <w:lang w:val="en-GB"/>
        </w:rPr>
        <w:t xml:space="preserve">or performance </w:t>
      </w:r>
      <w:r w:rsidRPr="00FD106B">
        <w:rPr>
          <w:lang w:val="en-GB"/>
        </w:rPr>
        <w:t xml:space="preserve">that arise between </w:t>
      </w:r>
      <w:bookmarkStart w:id="0" w:name="OLE_LINK3"/>
      <w:bookmarkStart w:id="1" w:name="OLE_LINK4"/>
      <w:bookmarkStart w:id="2" w:name="OLE_LINK5"/>
      <w:r w:rsidRPr="00FD106B">
        <w:rPr>
          <w:lang w:val="en-GB"/>
        </w:rPr>
        <w:t xml:space="preserve">a </w:t>
      </w:r>
      <w:proofErr w:type="spellStart"/>
      <w:r w:rsidR="00314CD2" w:rsidRPr="00FD106B">
        <w:rPr>
          <w:lang w:val="en-GB"/>
        </w:rPr>
        <w:t>TLD</w:t>
      </w:r>
      <w:proofErr w:type="spellEnd"/>
      <w:r w:rsidR="00314CD2" w:rsidRPr="00FD106B">
        <w:rPr>
          <w:lang w:val="en-GB"/>
        </w:rPr>
        <w:t xml:space="preserve"> registry operator</w:t>
      </w:r>
      <w:bookmarkEnd w:id="0"/>
      <w:bookmarkEnd w:id="1"/>
      <w:bookmarkEnd w:id="2"/>
      <w:r w:rsidR="00314CD2" w:rsidRPr="00FD106B">
        <w:rPr>
          <w:lang w:val="en-GB"/>
        </w:rPr>
        <w:t xml:space="preserve"> </w:t>
      </w:r>
      <w:r w:rsidRPr="00FD106B">
        <w:rPr>
          <w:lang w:val="en-GB"/>
        </w:rPr>
        <w:t xml:space="preserve">and the </w:t>
      </w:r>
      <w:proofErr w:type="spellStart"/>
      <w:r w:rsidRPr="00FD106B">
        <w:rPr>
          <w:lang w:val="en-GB"/>
        </w:rPr>
        <w:t>IFM</w:t>
      </w:r>
      <w:proofErr w:type="spellEnd"/>
      <w:r w:rsidRPr="00FD106B">
        <w:rPr>
          <w:lang w:val="en-GB"/>
        </w:rPr>
        <w:t xml:space="preserve"> should be addressed, in the first instance, between </w:t>
      </w:r>
      <w:r w:rsidR="00FA6CE5" w:rsidRPr="00FD106B">
        <w:rPr>
          <w:lang w:val="en-GB"/>
        </w:rPr>
        <w:t>the two</w:t>
      </w:r>
      <w:r w:rsidR="00314CD2" w:rsidRPr="00FD106B">
        <w:rPr>
          <w:lang w:val="en-GB"/>
        </w:rPr>
        <w:t xml:space="preserve"> parties</w:t>
      </w:r>
      <w:r w:rsidRPr="00FD106B">
        <w:rPr>
          <w:lang w:val="en-GB"/>
        </w:rPr>
        <w:t>.</w:t>
      </w:r>
    </w:p>
    <w:p w14:paraId="0B6CAE14" w14:textId="49B30E19" w:rsidR="00774145" w:rsidRPr="00FD106B" w:rsidRDefault="00774145" w:rsidP="00774145">
      <w:pPr>
        <w:rPr>
          <w:lang w:val="en-GB"/>
        </w:rPr>
      </w:pPr>
      <w:r w:rsidRPr="00FD106B">
        <w:rPr>
          <w:lang w:val="en-GB"/>
        </w:rPr>
        <w:t xml:space="preserve">In instances where direct negotiation cannot resolve a dispute </w:t>
      </w:r>
      <w:r w:rsidR="0000083C" w:rsidRPr="00FD106B">
        <w:rPr>
          <w:lang w:val="en-GB"/>
        </w:rPr>
        <w:t xml:space="preserve">the </w:t>
      </w:r>
      <w:r w:rsidRPr="00FD106B">
        <w:rPr>
          <w:lang w:val="en-GB"/>
        </w:rPr>
        <w:t>escalation mechanisms should be activated. The first of these mechanisms is a “</w:t>
      </w:r>
      <w:r w:rsidR="00A52F15" w:rsidRPr="00FD106B">
        <w:rPr>
          <w:lang w:val="en-GB"/>
        </w:rPr>
        <w:t>Direct User Group</w:t>
      </w:r>
      <w:r w:rsidR="00F254A4" w:rsidRPr="00FD106B">
        <w:rPr>
          <w:lang w:val="en-GB"/>
        </w:rPr>
        <w:t>” (</w:t>
      </w:r>
      <w:r w:rsidR="00A52F15" w:rsidRPr="00FD106B">
        <w:rPr>
          <w:lang w:val="en-GB"/>
        </w:rPr>
        <w:t>DUG</w:t>
      </w:r>
      <w:r w:rsidR="00F254A4" w:rsidRPr="00FD106B">
        <w:rPr>
          <w:lang w:val="en-GB"/>
        </w:rPr>
        <w:t>).</w:t>
      </w:r>
    </w:p>
    <w:p w14:paraId="25F2D1A1" w14:textId="65E1BA5B" w:rsidR="00D4614D" w:rsidRPr="00FD106B" w:rsidRDefault="00A52F15" w:rsidP="00992D6A">
      <w:pPr>
        <w:pStyle w:val="ListParagraph"/>
        <w:numPr>
          <w:ilvl w:val="0"/>
          <w:numId w:val="15"/>
        </w:numPr>
        <w:rPr>
          <w:rStyle w:val="Strong"/>
          <w:lang w:val="en-GB"/>
        </w:rPr>
      </w:pPr>
      <w:r w:rsidRPr="00FD106B">
        <w:rPr>
          <w:rStyle w:val="Strong"/>
          <w:lang w:val="en-GB"/>
        </w:rPr>
        <w:t>Direct User Group (DUG)</w:t>
      </w:r>
    </w:p>
    <w:p w14:paraId="5C7AF015" w14:textId="54CA3F16" w:rsidR="00975D65" w:rsidRPr="00FD106B" w:rsidRDefault="00820EE3" w:rsidP="00975D65">
      <w:pPr>
        <w:pStyle w:val="CommentText"/>
        <w:rPr>
          <w:sz w:val="22"/>
          <w:szCs w:val="22"/>
          <w:lang w:val="en-GB"/>
        </w:rPr>
      </w:pPr>
      <w:r w:rsidRPr="00FD106B">
        <w:rPr>
          <w:sz w:val="22"/>
          <w:szCs w:val="22"/>
          <w:lang w:val="en-GB"/>
        </w:rPr>
        <w:t xml:space="preserve">The </w:t>
      </w:r>
      <w:r w:rsidR="00A52F15" w:rsidRPr="00FD106B">
        <w:rPr>
          <w:sz w:val="22"/>
          <w:szCs w:val="22"/>
          <w:lang w:val="en-GB"/>
        </w:rPr>
        <w:t>DUG</w:t>
      </w:r>
      <w:r w:rsidRPr="00FD106B">
        <w:rPr>
          <w:sz w:val="22"/>
          <w:szCs w:val="22"/>
          <w:lang w:val="en-GB"/>
        </w:rPr>
        <w:t xml:space="preserve"> is intended to represent the direct naming functions customers of IANA and so </w:t>
      </w:r>
      <w:r w:rsidR="001B2407" w:rsidRPr="00FD106B">
        <w:rPr>
          <w:sz w:val="22"/>
          <w:szCs w:val="22"/>
          <w:lang w:val="en-GB"/>
        </w:rPr>
        <w:t xml:space="preserve">its membership </w:t>
      </w:r>
      <w:r w:rsidRPr="00FD106B">
        <w:rPr>
          <w:sz w:val="22"/>
          <w:szCs w:val="22"/>
          <w:lang w:val="en-GB"/>
        </w:rPr>
        <w:t>will be drawn from the ccTLD and gTLD registry community.</w:t>
      </w:r>
      <w:r w:rsidR="00EC0547" w:rsidRPr="00FD106B">
        <w:rPr>
          <w:rStyle w:val="FootnoteReference"/>
          <w:sz w:val="22"/>
          <w:szCs w:val="22"/>
          <w:lang w:val="en-GB"/>
        </w:rPr>
        <w:footnoteReference w:id="3"/>
      </w:r>
      <w:r w:rsidR="0017353B" w:rsidRPr="00FD106B">
        <w:rPr>
          <w:sz w:val="22"/>
          <w:szCs w:val="22"/>
          <w:lang w:val="en-GB"/>
        </w:rPr>
        <w:t xml:space="preserve"> </w:t>
      </w:r>
      <w:r w:rsidR="00975D65" w:rsidRPr="00FD106B">
        <w:rPr>
          <w:sz w:val="22"/>
          <w:szCs w:val="22"/>
          <w:lang w:val="en-GB"/>
        </w:rPr>
        <w:t xml:space="preserve">Members </w:t>
      </w:r>
      <w:r w:rsidR="0017353B" w:rsidRPr="00FD106B">
        <w:rPr>
          <w:sz w:val="22"/>
          <w:szCs w:val="22"/>
          <w:lang w:val="en-GB"/>
        </w:rPr>
        <w:t>o</w:t>
      </w:r>
      <w:r w:rsidR="00975D65" w:rsidRPr="00FD106B">
        <w:rPr>
          <w:sz w:val="22"/>
          <w:szCs w:val="22"/>
          <w:lang w:val="en-GB"/>
        </w:rPr>
        <w:t xml:space="preserve">f the </w:t>
      </w:r>
      <w:r w:rsidR="00A52F15" w:rsidRPr="00FD106B">
        <w:rPr>
          <w:sz w:val="22"/>
          <w:szCs w:val="22"/>
          <w:lang w:val="en-GB"/>
        </w:rPr>
        <w:t>DUG</w:t>
      </w:r>
      <w:r w:rsidR="00975D65" w:rsidRPr="00FD106B">
        <w:rPr>
          <w:sz w:val="22"/>
          <w:szCs w:val="22"/>
          <w:lang w:val="en-GB"/>
        </w:rPr>
        <w:t xml:space="preserve"> must possess relevant technical experience. </w:t>
      </w:r>
      <w:r w:rsidR="001B2407" w:rsidRPr="00FD106B">
        <w:rPr>
          <w:sz w:val="22"/>
          <w:szCs w:val="22"/>
          <w:lang w:val="en-GB"/>
        </w:rPr>
        <w:t>While t</w:t>
      </w:r>
      <w:r w:rsidRPr="00FD106B">
        <w:rPr>
          <w:sz w:val="22"/>
          <w:szCs w:val="22"/>
          <w:lang w:val="en-GB"/>
        </w:rPr>
        <w:t xml:space="preserve">he </w:t>
      </w:r>
      <w:r w:rsidR="00E01F9C" w:rsidRPr="00FD106B">
        <w:rPr>
          <w:sz w:val="22"/>
          <w:szCs w:val="22"/>
          <w:lang w:val="en-GB"/>
        </w:rPr>
        <w:t>structure</w:t>
      </w:r>
      <w:r w:rsidRPr="00FD106B">
        <w:rPr>
          <w:sz w:val="22"/>
          <w:szCs w:val="22"/>
          <w:lang w:val="en-GB"/>
        </w:rPr>
        <w:t xml:space="preserve"> of the </w:t>
      </w:r>
      <w:r w:rsidR="00A52F15" w:rsidRPr="00FD106B">
        <w:rPr>
          <w:sz w:val="22"/>
          <w:szCs w:val="22"/>
          <w:lang w:val="en-GB"/>
        </w:rPr>
        <w:t>DUG</w:t>
      </w:r>
      <w:r w:rsidRPr="00FD106B">
        <w:rPr>
          <w:sz w:val="22"/>
          <w:szCs w:val="22"/>
          <w:lang w:val="en-GB"/>
        </w:rPr>
        <w:t xml:space="preserve"> </w:t>
      </w:r>
      <w:r w:rsidR="00E01F9C" w:rsidRPr="00FD106B">
        <w:rPr>
          <w:sz w:val="22"/>
          <w:szCs w:val="22"/>
          <w:lang w:val="en-GB"/>
        </w:rPr>
        <w:t>must</w:t>
      </w:r>
      <w:r w:rsidRPr="00FD106B">
        <w:rPr>
          <w:sz w:val="22"/>
          <w:szCs w:val="22"/>
          <w:lang w:val="en-GB"/>
        </w:rPr>
        <w:t xml:space="preserve"> allow it to be representative of direct </w:t>
      </w:r>
      <w:r w:rsidR="00E01F9C" w:rsidRPr="00FD106B">
        <w:rPr>
          <w:sz w:val="22"/>
          <w:szCs w:val="22"/>
          <w:lang w:val="en-GB"/>
        </w:rPr>
        <w:t>stakeholders,</w:t>
      </w:r>
      <w:r w:rsidR="00FA6CE5" w:rsidRPr="00FD106B">
        <w:rPr>
          <w:sz w:val="22"/>
          <w:szCs w:val="22"/>
          <w:lang w:val="en-GB"/>
        </w:rPr>
        <w:t xml:space="preserve"> its size should not limit its efficiency and responsiveness. As such, </w:t>
      </w:r>
      <w:r w:rsidR="00C03B5B" w:rsidRPr="00FD106B">
        <w:rPr>
          <w:sz w:val="22"/>
          <w:szCs w:val="22"/>
          <w:lang w:val="en-GB"/>
        </w:rPr>
        <w:t xml:space="preserve">a sensible size for </w:t>
      </w:r>
      <w:r w:rsidR="00FA6CE5" w:rsidRPr="00FD106B">
        <w:rPr>
          <w:sz w:val="22"/>
          <w:szCs w:val="22"/>
          <w:lang w:val="en-GB"/>
        </w:rPr>
        <w:t xml:space="preserve">the committee </w:t>
      </w:r>
      <w:r w:rsidR="00C03B5B" w:rsidRPr="00FD106B">
        <w:rPr>
          <w:sz w:val="22"/>
          <w:szCs w:val="22"/>
          <w:lang w:val="en-GB"/>
        </w:rPr>
        <w:t>would be</w:t>
      </w:r>
      <w:r w:rsidR="00FA6CE5" w:rsidRPr="00FD106B">
        <w:rPr>
          <w:sz w:val="22"/>
          <w:szCs w:val="22"/>
          <w:lang w:val="en-GB"/>
        </w:rPr>
        <w:t xml:space="preserve"> </w:t>
      </w:r>
      <w:r w:rsidR="00F106E7" w:rsidRPr="00FD106B">
        <w:rPr>
          <w:sz w:val="22"/>
          <w:szCs w:val="22"/>
          <w:lang w:val="en-GB"/>
        </w:rPr>
        <w:t>8</w:t>
      </w:r>
      <w:r w:rsidR="00FA6CE5" w:rsidRPr="00FD106B">
        <w:rPr>
          <w:sz w:val="22"/>
          <w:szCs w:val="22"/>
          <w:lang w:val="en-GB"/>
        </w:rPr>
        <w:t xml:space="preserve"> </w:t>
      </w:r>
      <w:r w:rsidR="00D91517" w:rsidRPr="00FD106B">
        <w:rPr>
          <w:sz w:val="22"/>
          <w:szCs w:val="22"/>
          <w:lang w:val="en-GB"/>
        </w:rPr>
        <w:t>participants</w:t>
      </w:r>
      <w:r w:rsidR="00BA5F48" w:rsidRPr="00FD106B">
        <w:rPr>
          <w:sz w:val="22"/>
          <w:szCs w:val="22"/>
          <w:lang w:val="en-GB"/>
        </w:rPr>
        <w:t xml:space="preserve"> </w:t>
      </w:r>
      <w:r w:rsidR="00F00CEA" w:rsidRPr="00FD106B">
        <w:rPr>
          <w:sz w:val="22"/>
          <w:szCs w:val="22"/>
          <w:lang w:val="en-GB"/>
        </w:rPr>
        <w:t>with</w:t>
      </w:r>
      <w:r w:rsidR="00D91517" w:rsidRPr="00FD106B">
        <w:rPr>
          <w:sz w:val="22"/>
          <w:szCs w:val="22"/>
          <w:lang w:val="en-GB"/>
        </w:rPr>
        <w:t xml:space="preserve"> two or three </w:t>
      </w:r>
      <w:r w:rsidR="00F00CEA" w:rsidRPr="00FD106B">
        <w:rPr>
          <w:sz w:val="22"/>
          <w:szCs w:val="22"/>
          <w:lang w:val="en-GB"/>
        </w:rPr>
        <w:t xml:space="preserve">non-voting liaisons </w:t>
      </w:r>
      <w:r w:rsidR="00D91517" w:rsidRPr="00FD106B">
        <w:rPr>
          <w:sz w:val="22"/>
          <w:szCs w:val="22"/>
          <w:lang w:val="en-GB"/>
        </w:rPr>
        <w:t>fro</w:t>
      </w:r>
      <w:r w:rsidR="00C1218F" w:rsidRPr="00FD106B">
        <w:rPr>
          <w:sz w:val="22"/>
          <w:szCs w:val="22"/>
          <w:lang w:val="en-GB"/>
        </w:rPr>
        <w:t>m the technical community</w:t>
      </w:r>
      <w:r w:rsidR="00FA6CE5" w:rsidRPr="00FD106B">
        <w:rPr>
          <w:sz w:val="22"/>
          <w:szCs w:val="22"/>
          <w:lang w:val="en-GB"/>
        </w:rPr>
        <w:t>.</w:t>
      </w:r>
      <w:r w:rsidR="00AA02BE" w:rsidRPr="00FD106B">
        <w:rPr>
          <w:sz w:val="22"/>
          <w:szCs w:val="22"/>
          <w:lang w:val="en-GB"/>
        </w:rPr>
        <w:t xml:space="preserve"> </w:t>
      </w:r>
      <w:r w:rsidR="00213A1F" w:rsidRPr="00FD106B">
        <w:rPr>
          <w:sz w:val="22"/>
          <w:szCs w:val="22"/>
          <w:lang w:val="en-GB"/>
        </w:rPr>
        <w:t xml:space="preserve"> </w:t>
      </w:r>
    </w:p>
    <w:p w14:paraId="5B0FA317" w14:textId="79A204BC" w:rsidR="00975D65" w:rsidRPr="00FD106B" w:rsidRDefault="00975D65" w:rsidP="00975D65">
      <w:pPr>
        <w:pStyle w:val="CommentText"/>
        <w:rPr>
          <w:sz w:val="22"/>
          <w:szCs w:val="22"/>
          <w:lang w:val="en-GB"/>
        </w:rPr>
      </w:pPr>
      <w:r w:rsidRPr="00FD106B">
        <w:rPr>
          <w:sz w:val="22"/>
          <w:szCs w:val="22"/>
          <w:lang w:val="en-GB"/>
        </w:rPr>
        <w:t xml:space="preserve">The </w:t>
      </w:r>
      <w:r w:rsidR="00A52F15" w:rsidRPr="00FD106B">
        <w:rPr>
          <w:sz w:val="22"/>
          <w:szCs w:val="22"/>
          <w:lang w:val="en-GB"/>
        </w:rPr>
        <w:t>DUG</w:t>
      </w:r>
      <w:r w:rsidRPr="00FD106B">
        <w:rPr>
          <w:sz w:val="22"/>
          <w:szCs w:val="22"/>
          <w:lang w:val="en-GB"/>
        </w:rPr>
        <w:t xml:space="preserve"> will </w:t>
      </w:r>
      <w:r w:rsidR="00F85381" w:rsidRPr="00FD106B">
        <w:rPr>
          <w:sz w:val="22"/>
          <w:szCs w:val="22"/>
          <w:lang w:val="en-GB"/>
        </w:rPr>
        <w:t xml:space="preserve">be a standing body that will </w:t>
      </w:r>
      <w:r w:rsidRPr="00FD106B">
        <w:rPr>
          <w:sz w:val="22"/>
          <w:szCs w:val="22"/>
          <w:lang w:val="en-GB"/>
        </w:rPr>
        <w:t>operate under a Charter defin</w:t>
      </w:r>
      <w:r w:rsidR="00F85381" w:rsidRPr="00FD106B">
        <w:rPr>
          <w:sz w:val="22"/>
          <w:szCs w:val="22"/>
          <w:lang w:val="en-GB"/>
        </w:rPr>
        <w:t>ing</w:t>
      </w:r>
      <w:r w:rsidRPr="00FD106B">
        <w:rPr>
          <w:sz w:val="22"/>
          <w:szCs w:val="22"/>
          <w:lang w:val="en-GB"/>
        </w:rPr>
        <w:t xml:space="preserve"> the role of the group, including the appointment of a Chair and </w:t>
      </w:r>
      <w:r w:rsidR="003719A8" w:rsidRPr="00FD106B">
        <w:rPr>
          <w:sz w:val="22"/>
          <w:szCs w:val="22"/>
          <w:lang w:val="en-GB"/>
        </w:rPr>
        <w:t xml:space="preserve">set out the lines of communication between the </w:t>
      </w:r>
      <w:r w:rsidR="00A52F15" w:rsidRPr="00FD106B">
        <w:rPr>
          <w:sz w:val="22"/>
          <w:szCs w:val="22"/>
          <w:lang w:val="en-GB"/>
        </w:rPr>
        <w:t>DUG</w:t>
      </w:r>
      <w:r w:rsidR="003719A8" w:rsidRPr="00FD106B">
        <w:rPr>
          <w:sz w:val="22"/>
          <w:szCs w:val="22"/>
          <w:lang w:val="en-GB"/>
        </w:rPr>
        <w:t xml:space="preserve"> and IANA staff</w:t>
      </w:r>
      <w:r w:rsidRPr="00FD106B">
        <w:rPr>
          <w:sz w:val="22"/>
          <w:szCs w:val="22"/>
          <w:lang w:val="en-GB"/>
        </w:rPr>
        <w:t xml:space="preserve">. </w:t>
      </w:r>
    </w:p>
    <w:p w14:paraId="6C40255B" w14:textId="1922A242" w:rsidR="00AA02BE" w:rsidRPr="00FD106B" w:rsidRDefault="00AA02BE" w:rsidP="00AA02BE">
      <w:pPr>
        <w:rPr>
          <w:lang w:val="en-GB"/>
        </w:rPr>
      </w:pPr>
    </w:p>
    <w:p w14:paraId="452861FB" w14:textId="04EECBFA" w:rsidR="00225B71" w:rsidRPr="00FD106B" w:rsidRDefault="005E4A2A" w:rsidP="00975D65">
      <w:pPr>
        <w:rPr>
          <w:lang w:val="en-GB"/>
        </w:rPr>
      </w:pPr>
      <w:r w:rsidRPr="00FD106B">
        <w:rPr>
          <w:lang w:val="en-GB"/>
        </w:rPr>
        <w:lastRenderedPageBreak/>
        <w:t>The</w:t>
      </w:r>
      <w:r w:rsidRPr="00FD106B">
        <w:rPr>
          <w:i/>
          <w:lang w:val="en-GB"/>
        </w:rPr>
        <w:t xml:space="preserve"> </w:t>
      </w:r>
      <w:r w:rsidR="00A52F15" w:rsidRPr="00FD106B">
        <w:rPr>
          <w:lang w:val="en-GB"/>
        </w:rPr>
        <w:t>DUG</w:t>
      </w:r>
      <w:r w:rsidRPr="00FD106B">
        <w:rPr>
          <w:lang w:val="en-GB"/>
        </w:rPr>
        <w:t xml:space="preserve"> will perform </w:t>
      </w:r>
      <w:r w:rsidR="00F2519D" w:rsidRPr="00FD106B">
        <w:rPr>
          <w:lang w:val="en-GB"/>
        </w:rPr>
        <w:t>f</w:t>
      </w:r>
      <w:r w:rsidR="00391E77" w:rsidRPr="00FD106B">
        <w:rPr>
          <w:lang w:val="en-GB"/>
        </w:rPr>
        <w:t>ive</w:t>
      </w:r>
      <w:r w:rsidRPr="00FD106B">
        <w:rPr>
          <w:lang w:val="en-GB"/>
        </w:rPr>
        <w:t xml:space="preserve"> main functions.</w:t>
      </w:r>
    </w:p>
    <w:p w14:paraId="5E496CCC" w14:textId="76102036" w:rsidR="00861FF6" w:rsidRPr="00FD106B" w:rsidRDefault="00861FF6" w:rsidP="004B3283">
      <w:pPr>
        <w:pStyle w:val="ListParagraph"/>
        <w:numPr>
          <w:ilvl w:val="0"/>
          <w:numId w:val="14"/>
        </w:numPr>
        <w:rPr>
          <w:lang w:val="en-GB"/>
        </w:rPr>
      </w:pPr>
      <w:r w:rsidRPr="00FD106B">
        <w:rPr>
          <w:lang w:val="en-GB"/>
        </w:rPr>
        <w:t>Dealing with disputes:</w:t>
      </w:r>
    </w:p>
    <w:p w14:paraId="4A03FB75" w14:textId="6AF4E9EC" w:rsidR="005E4A2A" w:rsidRPr="00FD106B" w:rsidRDefault="005E4A2A" w:rsidP="004B3283">
      <w:pPr>
        <w:ind w:left="360"/>
        <w:rPr>
          <w:lang w:val="en-GB"/>
        </w:rPr>
      </w:pPr>
      <w:r w:rsidRPr="00FD106B">
        <w:rPr>
          <w:lang w:val="en-GB"/>
        </w:rPr>
        <w:t xml:space="preserve">The </w:t>
      </w:r>
      <w:r w:rsidR="00A52F15" w:rsidRPr="00FD106B">
        <w:rPr>
          <w:lang w:val="en-GB"/>
        </w:rPr>
        <w:t>DUG</w:t>
      </w:r>
      <w:r w:rsidRPr="00FD106B">
        <w:rPr>
          <w:lang w:val="en-GB"/>
        </w:rPr>
        <w:t xml:space="preserve"> will be the first point of escalation in the instance of a dispute between </w:t>
      </w:r>
      <w:r w:rsidR="009C55B5" w:rsidRPr="00FD106B">
        <w:rPr>
          <w:lang w:val="en-GB"/>
        </w:rPr>
        <w:t xml:space="preserve">a </w:t>
      </w:r>
      <w:proofErr w:type="spellStart"/>
      <w:r w:rsidR="009C55B5" w:rsidRPr="00FD106B">
        <w:rPr>
          <w:lang w:val="en-GB"/>
        </w:rPr>
        <w:t>TLD</w:t>
      </w:r>
      <w:proofErr w:type="spellEnd"/>
      <w:r w:rsidR="009C55B5" w:rsidRPr="00FD106B">
        <w:rPr>
          <w:lang w:val="en-GB"/>
        </w:rPr>
        <w:t xml:space="preserve"> registry operator </w:t>
      </w:r>
      <w:r w:rsidRPr="00FD106B">
        <w:rPr>
          <w:lang w:val="en-GB"/>
        </w:rPr>
        <w:t xml:space="preserve">and the </w:t>
      </w:r>
      <w:proofErr w:type="spellStart"/>
      <w:r w:rsidRPr="00FD106B">
        <w:rPr>
          <w:lang w:val="en-GB"/>
        </w:rPr>
        <w:t>IFM</w:t>
      </w:r>
      <w:proofErr w:type="spellEnd"/>
      <w:r w:rsidRPr="00FD106B">
        <w:rPr>
          <w:lang w:val="en-GB"/>
        </w:rPr>
        <w:t xml:space="preserve"> regarding levels of service and performance metrics where resolution cannot be reached between the parties. The </w:t>
      </w:r>
      <w:r w:rsidR="00A52F15" w:rsidRPr="00FD106B">
        <w:rPr>
          <w:lang w:val="en-GB"/>
        </w:rPr>
        <w:t>DUG</w:t>
      </w:r>
      <w:r w:rsidRPr="00FD106B">
        <w:rPr>
          <w:lang w:val="en-GB"/>
        </w:rPr>
        <w:t xml:space="preserve"> will be empowered to act as </w:t>
      </w:r>
      <w:r w:rsidR="00655319" w:rsidRPr="00FD106B">
        <w:rPr>
          <w:lang w:val="en-GB"/>
        </w:rPr>
        <w:t xml:space="preserve">an intermediary </w:t>
      </w:r>
      <w:r w:rsidRPr="00FD106B">
        <w:rPr>
          <w:lang w:val="en-GB"/>
        </w:rPr>
        <w:t xml:space="preserve">and, if appropriate, issue instructions to the </w:t>
      </w:r>
      <w:proofErr w:type="spellStart"/>
      <w:r w:rsidRPr="00FD106B">
        <w:rPr>
          <w:lang w:val="en-GB"/>
        </w:rPr>
        <w:t>IFM</w:t>
      </w:r>
      <w:proofErr w:type="spellEnd"/>
      <w:r w:rsidR="00655319" w:rsidRPr="00FD106B">
        <w:rPr>
          <w:lang w:val="en-GB"/>
        </w:rPr>
        <w:t>.</w:t>
      </w:r>
      <w:r w:rsidRPr="00FD106B">
        <w:rPr>
          <w:lang w:val="en-GB"/>
        </w:rPr>
        <w:t xml:space="preserve"> </w:t>
      </w:r>
    </w:p>
    <w:p w14:paraId="471407CE" w14:textId="21750244" w:rsidR="009B7D4A" w:rsidRPr="00FD106B" w:rsidRDefault="009B7D4A" w:rsidP="004B3283">
      <w:pPr>
        <w:ind w:left="360"/>
        <w:rPr>
          <w:lang w:val="en-GB"/>
        </w:rPr>
      </w:pPr>
      <w:bookmarkStart w:id="3" w:name="OLE_LINK1"/>
      <w:bookmarkStart w:id="4" w:name="OLE_LINK2"/>
      <w:r w:rsidRPr="00FD106B">
        <w:rPr>
          <w:lang w:val="en-GB"/>
        </w:rPr>
        <w:t xml:space="preserve">Disputes arising in respect </w:t>
      </w:r>
      <w:r w:rsidR="00BB5DA9" w:rsidRPr="00FD106B">
        <w:rPr>
          <w:lang w:val="en-GB"/>
        </w:rPr>
        <w:t xml:space="preserve">the delegation or re-delegation of a </w:t>
      </w:r>
      <w:proofErr w:type="spellStart"/>
      <w:r w:rsidR="00BB5DA9" w:rsidRPr="00FD106B">
        <w:rPr>
          <w:lang w:val="en-GB"/>
        </w:rPr>
        <w:t>TLD</w:t>
      </w:r>
      <w:proofErr w:type="spellEnd"/>
      <w:r w:rsidR="00BB5DA9" w:rsidRPr="00FD106B">
        <w:rPr>
          <w:lang w:val="en-GB"/>
        </w:rPr>
        <w:t xml:space="preserve"> are specifically excluded from this process.</w:t>
      </w:r>
      <w:r w:rsidR="00EE17C9" w:rsidRPr="00FD106B">
        <w:rPr>
          <w:lang w:val="en-GB"/>
        </w:rPr>
        <w:t xml:space="preserve"> Further, a dispute between an individual </w:t>
      </w:r>
      <w:proofErr w:type="spellStart"/>
      <w:r w:rsidR="00EE17C9" w:rsidRPr="00FD106B">
        <w:rPr>
          <w:lang w:val="en-GB"/>
        </w:rPr>
        <w:t>TLD</w:t>
      </w:r>
      <w:proofErr w:type="spellEnd"/>
      <w:r w:rsidR="00EE17C9" w:rsidRPr="00FD106B">
        <w:rPr>
          <w:lang w:val="en-GB"/>
        </w:rPr>
        <w:t xml:space="preserve"> registry operator and the </w:t>
      </w:r>
      <w:proofErr w:type="spellStart"/>
      <w:r w:rsidR="00EE17C9" w:rsidRPr="00FD106B">
        <w:rPr>
          <w:lang w:val="en-GB"/>
        </w:rPr>
        <w:t>IFM</w:t>
      </w:r>
      <w:proofErr w:type="spellEnd"/>
      <w:r w:rsidR="00EE17C9" w:rsidRPr="00FD106B">
        <w:rPr>
          <w:lang w:val="en-GB"/>
        </w:rPr>
        <w:t xml:space="preserve"> need not automatically lead to the engagement of the </w:t>
      </w:r>
      <w:r w:rsidR="00A52F15" w:rsidRPr="00FD106B">
        <w:rPr>
          <w:lang w:val="en-GB"/>
        </w:rPr>
        <w:t>DUG</w:t>
      </w:r>
      <w:r w:rsidR="00220E00" w:rsidRPr="00FD106B">
        <w:rPr>
          <w:lang w:val="en-GB"/>
        </w:rPr>
        <w:t xml:space="preserve">. The proposed model does not limit the operator's right to initiate direct legal action against the </w:t>
      </w:r>
      <w:proofErr w:type="spellStart"/>
      <w:r w:rsidR="00220E00" w:rsidRPr="00FD106B">
        <w:rPr>
          <w:lang w:val="en-GB"/>
        </w:rPr>
        <w:t>IFM</w:t>
      </w:r>
      <w:proofErr w:type="spellEnd"/>
      <w:r w:rsidR="00EE17C9" w:rsidRPr="00FD106B">
        <w:rPr>
          <w:lang w:val="en-GB"/>
        </w:rPr>
        <w:t xml:space="preserve">. </w:t>
      </w:r>
      <w:r w:rsidR="00BB5DA9" w:rsidRPr="00FD106B">
        <w:rPr>
          <w:lang w:val="en-GB"/>
        </w:rPr>
        <w:t xml:space="preserve"> </w:t>
      </w:r>
      <w:r w:rsidR="009234DF" w:rsidRPr="00FD106B">
        <w:rPr>
          <w:lang w:val="en-GB"/>
        </w:rPr>
        <w:t xml:space="preserve">  </w:t>
      </w:r>
    </w:p>
    <w:bookmarkEnd w:id="3"/>
    <w:bookmarkEnd w:id="4"/>
    <w:p w14:paraId="2959C2EA" w14:textId="056F5FC4" w:rsidR="00D830B7" w:rsidRPr="00FD106B" w:rsidRDefault="007B5841" w:rsidP="00D830B7">
      <w:pPr>
        <w:ind w:left="360"/>
        <w:rPr>
          <w:lang w:val="en-GB"/>
        </w:rPr>
      </w:pPr>
      <w:r w:rsidRPr="00FD106B">
        <w:rPr>
          <w:lang w:val="en-GB"/>
        </w:rPr>
        <w:t xml:space="preserve">In instances where a dispute </w:t>
      </w:r>
      <w:r w:rsidR="00C878A8" w:rsidRPr="00FD106B">
        <w:rPr>
          <w:lang w:val="en-GB"/>
        </w:rPr>
        <w:t xml:space="preserve">regarding </w:t>
      </w:r>
      <w:r w:rsidR="00EA0B77" w:rsidRPr="00FD106B">
        <w:rPr>
          <w:lang w:val="en-GB"/>
        </w:rPr>
        <w:t xml:space="preserve">agreed </w:t>
      </w:r>
      <w:r w:rsidR="00C878A8" w:rsidRPr="00FD106B">
        <w:rPr>
          <w:lang w:val="en-GB"/>
        </w:rPr>
        <w:t xml:space="preserve">levels of service </w:t>
      </w:r>
      <w:r w:rsidR="00EA0B77" w:rsidRPr="00FD106B">
        <w:rPr>
          <w:lang w:val="en-GB"/>
        </w:rPr>
        <w:t>or</w:t>
      </w:r>
      <w:r w:rsidR="00C878A8" w:rsidRPr="00FD106B">
        <w:rPr>
          <w:lang w:val="en-GB"/>
        </w:rPr>
        <w:t xml:space="preserve"> performance </w:t>
      </w:r>
      <w:r w:rsidRPr="00FD106B">
        <w:rPr>
          <w:lang w:val="en-GB"/>
        </w:rPr>
        <w:t xml:space="preserve">between </w:t>
      </w:r>
      <w:r w:rsidR="00937F6D" w:rsidRPr="00FD106B">
        <w:rPr>
          <w:lang w:val="en-GB"/>
        </w:rPr>
        <w:t xml:space="preserve">a </w:t>
      </w:r>
      <w:proofErr w:type="spellStart"/>
      <w:r w:rsidR="00937F6D" w:rsidRPr="00FD106B">
        <w:rPr>
          <w:lang w:val="en-GB"/>
        </w:rPr>
        <w:t>TLD</w:t>
      </w:r>
      <w:proofErr w:type="spellEnd"/>
      <w:r w:rsidR="00937F6D" w:rsidRPr="00FD106B">
        <w:rPr>
          <w:lang w:val="en-GB"/>
        </w:rPr>
        <w:t xml:space="preserve"> registry operator </w:t>
      </w:r>
      <w:r w:rsidRPr="00FD106B">
        <w:rPr>
          <w:lang w:val="en-GB"/>
        </w:rPr>
        <w:t xml:space="preserve">and the </w:t>
      </w:r>
      <w:proofErr w:type="spellStart"/>
      <w:r w:rsidRPr="00FD106B">
        <w:rPr>
          <w:lang w:val="en-GB"/>
        </w:rPr>
        <w:t>IFM</w:t>
      </w:r>
      <w:proofErr w:type="spellEnd"/>
      <w:r w:rsidRPr="00FD106B">
        <w:rPr>
          <w:lang w:val="en-GB"/>
        </w:rPr>
        <w:t xml:space="preserve"> is escalated, and</w:t>
      </w:r>
      <w:r w:rsidR="003777AD" w:rsidRPr="00FD106B">
        <w:rPr>
          <w:lang w:val="en-GB"/>
        </w:rPr>
        <w:t xml:space="preserve"> </w:t>
      </w:r>
      <w:r w:rsidR="00006AA9" w:rsidRPr="00FD106B">
        <w:rPr>
          <w:lang w:val="en-GB"/>
        </w:rPr>
        <w:t>facilitation</w:t>
      </w:r>
      <w:r w:rsidRPr="00FD106B">
        <w:rPr>
          <w:lang w:val="en-GB"/>
        </w:rPr>
        <w:t xml:space="preserve"> by the </w:t>
      </w:r>
      <w:r w:rsidR="00A52F15" w:rsidRPr="00FD106B">
        <w:rPr>
          <w:lang w:val="en-GB"/>
        </w:rPr>
        <w:t>DUG</w:t>
      </w:r>
      <w:r w:rsidRPr="00FD106B">
        <w:rPr>
          <w:lang w:val="en-GB"/>
        </w:rPr>
        <w:t xml:space="preserve"> does not provide resolution, a</w:t>
      </w:r>
      <w:r w:rsidR="00006AA9" w:rsidRPr="00FD106B">
        <w:rPr>
          <w:lang w:val="en-GB"/>
        </w:rPr>
        <w:t xml:space="preserve"> binding</w:t>
      </w:r>
      <w:r w:rsidRPr="00FD106B">
        <w:rPr>
          <w:lang w:val="en-GB"/>
        </w:rPr>
        <w:t xml:space="preserve"> independent appeals mechanism will be activated (see </w:t>
      </w:r>
      <w:r w:rsidR="000C70CC" w:rsidRPr="00FD106B">
        <w:rPr>
          <w:lang w:val="en-GB"/>
        </w:rPr>
        <w:t xml:space="preserve">additional detail </w:t>
      </w:r>
      <w:r w:rsidRPr="00FD106B">
        <w:rPr>
          <w:lang w:val="en-GB"/>
        </w:rPr>
        <w:t xml:space="preserve">below). </w:t>
      </w:r>
    </w:p>
    <w:p w14:paraId="3AEB37CB" w14:textId="5EACDE26" w:rsidR="00655319" w:rsidRPr="00FD106B" w:rsidRDefault="00655319" w:rsidP="00D830B7">
      <w:pPr>
        <w:ind w:left="360"/>
        <w:rPr>
          <w:lang w:val="en-GB"/>
        </w:rPr>
      </w:pPr>
      <w:r w:rsidRPr="00FD106B">
        <w:rPr>
          <w:lang w:val="en-GB"/>
        </w:rPr>
        <w:t xml:space="preserve">Information provided to the </w:t>
      </w:r>
      <w:r w:rsidR="00A52F15" w:rsidRPr="00FD106B">
        <w:rPr>
          <w:lang w:val="en-GB"/>
        </w:rPr>
        <w:t>DUG</w:t>
      </w:r>
      <w:r w:rsidRPr="00FD106B">
        <w:rPr>
          <w:lang w:val="en-GB"/>
        </w:rPr>
        <w:t xml:space="preserve"> regarding such disputes will remain confidential, unless the involved parties agree otherwise.</w:t>
      </w:r>
    </w:p>
    <w:p w14:paraId="0FC19749" w14:textId="16D28455" w:rsidR="00A213DF" w:rsidRPr="00FD106B" w:rsidRDefault="00006AA9" w:rsidP="004B3283">
      <w:pPr>
        <w:pStyle w:val="ListParagraph"/>
        <w:numPr>
          <w:ilvl w:val="0"/>
          <w:numId w:val="14"/>
        </w:numPr>
        <w:rPr>
          <w:lang w:val="en-GB"/>
        </w:rPr>
      </w:pPr>
      <w:r w:rsidRPr="00FD106B">
        <w:rPr>
          <w:lang w:val="en-GB"/>
        </w:rPr>
        <w:t>Regular report</w:t>
      </w:r>
      <w:r w:rsidR="00F341DE" w:rsidRPr="00FD106B">
        <w:rPr>
          <w:lang w:val="en-GB"/>
        </w:rPr>
        <w:t>ing</w:t>
      </w:r>
      <w:r w:rsidR="00A213DF" w:rsidRPr="00FD106B">
        <w:rPr>
          <w:lang w:val="en-GB"/>
        </w:rPr>
        <w:t>:</w:t>
      </w:r>
    </w:p>
    <w:p w14:paraId="1293FEE4" w14:textId="0981B07E" w:rsidR="00A213DF" w:rsidRPr="00FD106B" w:rsidRDefault="005E4A2A" w:rsidP="00A9585B">
      <w:pPr>
        <w:ind w:left="360"/>
        <w:rPr>
          <w:lang w:val="en-GB"/>
        </w:rPr>
      </w:pPr>
      <w:r w:rsidRPr="00FD106B">
        <w:rPr>
          <w:lang w:val="en-GB"/>
        </w:rPr>
        <w:t xml:space="preserve">The </w:t>
      </w:r>
      <w:proofErr w:type="spellStart"/>
      <w:r w:rsidRPr="00FD106B">
        <w:rPr>
          <w:lang w:val="en-GB"/>
        </w:rPr>
        <w:t>IFM</w:t>
      </w:r>
      <w:proofErr w:type="spellEnd"/>
      <w:r w:rsidRPr="00FD106B">
        <w:rPr>
          <w:lang w:val="en-GB"/>
        </w:rPr>
        <w:t xml:space="preserve"> </w:t>
      </w:r>
      <w:r w:rsidR="00F341DE" w:rsidRPr="00FD106B">
        <w:rPr>
          <w:lang w:val="en-GB"/>
        </w:rPr>
        <w:t xml:space="preserve">will develop, and publish, regular performance reports. The </w:t>
      </w:r>
      <w:r w:rsidR="00A52F15" w:rsidRPr="00FD106B">
        <w:rPr>
          <w:lang w:val="en-GB"/>
        </w:rPr>
        <w:t>DUG</w:t>
      </w:r>
      <w:r w:rsidR="00F341DE" w:rsidRPr="00FD106B">
        <w:rPr>
          <w:lang w:val="en-GB"/>
        </w:rPr>
        <w:t xml:space="preserve"> will</w:t>
      </w:r>
      <w:r w:rsidRPr="00FD106B">
        <w:rPr>
          <w:lang w:val="en-GB"/>
        </w:rPr>
        <w:t xml:space="preserve"> review these against agreed service levels and performance metrics. </w:t>
      </w:r>
      <w:r w:rsidR="00F341DE" w:rsidRPr="00FD106B">
        <w:t xml:space="preserve">The </w:t>
      </w:r>
      <w:r w:rsidR="00A52F15" w:rsidRPr="00FD106B">
        <w:t>DUG</w:t>
      </w:r>
      <w:r w:rsidR="00F341DE" w:rsidRPr="00FD106B">
        <w:t xml:space="preserve"> can provide advice to the </w:t>
      </w:r>
      <w:proofErr w:type="spellStart"/>
      <w:r w:rsidR="00F341DE" w:rsidRPr="00FD106B">
        <w:t>IFM</w:t>
      </w:r>
      <w:proofErr w:type="spellEnd"/>
      <w:r w:rsidR="00F341DE" w:rsidRPr="00FD106B">
        <w:t xml:space="preserve"> on the type, frequency and content of the reports</w:t>
      </w:r>
      <w:r w:rsidR="00A52F15" w:rsidRPr="00FD106B">
        <w:t>.</w:t>
      </w:r>
      <w:r w:rsidR="00A52F15" w:rsidRPr="00FD106B">
        <w:rPr>
          <w:rStyle w:val="FootnoteReference"/>
        </w:rPr>
        <w:footnoteReference w:id="4"/>
      </w:r>
    </w:p>
    <w:p w14:paraId="11217FB5" w14:textId="5EA7E601" w:rsidR="00A213DF" w:rsidRPr="00FD106B" w:rsidRDefault="00A213DF" w:rsidP="004B3283">
      <w:pPr>
        <w:pStyle w:val="ListParagraph"/>
        <w:numPr>
          <w:ilvl w:val="0"/>
          <w:numId w:val="14"/>
        </w:numPr>
        <w:rPr>
          <w:lang w:val="en-GB"/>
        </w:rPr>
      </w:pPr>
      <w:r w:rsidRPr="00FD106B">
        <w:rPr>
          <w:lang w:val="en-GB"/>
        </w:rPr>
        <w:t>Periodic audit:</w:t>
      </w:r>
    </w:p>
    <w:p w14:paraId="46DABFE8" w14:textId="2BD27587" w:rsidR="000D12B4" w:rsidRPr="00FD106B" w:rsidRDefault="00227CA6" w:rsidP="004B3283">
      <w:pPr>
        <w:ind w:left="360"/>
        <w:rPr>
          <w:lang w:val="en-GB"/>
        </w:rPr>
      </w:pPr>
      <w:r w:rsidRPr="00FD106B">
        <w:rPr>
          <w:lang w:val="en-GB"/>
        </w:rPr>
        <w:t>Every 3 years t</w:t>
      </w:r>
      <w:r w:rsidR="005E4A2A" w:rsidRPr="00FD106B">
        <w:rPr>
          <w:lang w:val="en-GB"/>
        </w:rPr>
        <w:t xml:space="preserve">he </w:t>
      </w:r>
      <w:r w:rsidR="00A52F15" w:rsidRPr="00FD106B">
        <w:rPr>
          <w:lang w:val="en-GB"/>
        </w:rPr>
        <w:t>DUG</w:t>
      </w:r>
      <w:r w:rsidR="005E4A2A" w:rsidRPr="00FD106B">
        <w:rPr>
          <w:lang w:val="en-GB"/>
        </w:rPr>
        <w:t xml:space="preserve"> will </w:t>
      </w:r>
      <w:r w:rsidR="00A06324" w:rsidRPr="00FD106B">
        <w:rPr>
          <w:lang w:val="en-GB"/>
        </w:rPr>
        <w:t xml:space="preserve">commission an independent organisation with the relevant technical expertise to undertake a </w:t>
      </w:r>
      <w:r w:rsidR="005E4A2A" w:rsidRPr="00FD106B">
        <w:rPr>
          <w:lang w:val="en-GB"/>
        </w:rPr>
        <w:t>detailed audit of the performance of the IANA func</w:t>
      </w:r>
      <w:r w:rsidRPr="00FD106B">
        <w:rPr>
          <w:lang w:val="en-GB"/>
        </w:rPr>
        <w:t>tions operator</w:t>
      </w:r>
      <w:r w:rsidR="005E4A2A" w:rsidRPr="00FD106B">
        <w:rPr>
          <w:lang w:val="en-GB"/>
        </w:rPr>
        <w:t>.</w:t>
      </w:r>
      <w:r w:rsidR="000D12B4" w:rsidRPr="00FD106B">
        <w:rPr>
          <w:lang w:val="en-GB"/>
        </w:rPr>
        <w:t xml:space="preserve"> </w:t>
      </w:r>
      <w:r w:rsidR="000D12B4" w:rsidRPr="00FD106B">
        <w:t xml:space="preserve">The </w:t>
      </w:r>
      <w:r w:rsidR="00A52F15" w:rsidRPr="00FD106B">
        <w:t>DUG</w:t>
      </w:r>
      <w:r w:rsidR="000D12B4" w:rsidRPr="00FD106B">
        <w:t xml:space="preserve"> will publish</w:t>
      </w:r>
      <w:r w:rsidR="00DE0716" w:rsidRPr="00FD106B">
        <w:t xml:space="preserve"> the audit results and seek</w:t>
      </w:r>
      <w:r w:rsidR="000D12B4" w:rsidRPr="00FD106B">
        <w:t xml:space="preserve"> feedback from the community</w:t>
      </w:r>
      <w:r w:rsidR="00DE0716" w:rsidRPr="00FD106B">
        <w:t>.</w:t>
      </w:r>
      <w:r w:rsidR="005E4A2A" w:rsidRPr="00FD106B">
        <w:rPr>
          <w:lang w:val="en-GB"/>
        </w:rPr>
        <w:t xml:space="preserve"> </w:t>
      </w:r>
    </w:p>
    <w:p w14:paraId="2B8F5EEB" w14:textId="43F37C68" w:rsidR="000D12B4" w:rsidRPr="00FD106B" w:rsidRDefault="00A06324" w:rsidP="004B3283">
      <w:pPr>
        <w:ind w:left="360"/>
        <w:rPr>
          <w:lang w:val="en-GB"/>
        </w:rPr>
      </w:pPr>
      <w:r w:rsidRPr="00FD106B">
        <w:rPr>
          <w:lang w:val="en-GB"/>
        </w:rPr>
        <w:t xml:space="preserve">As a result of </w:t>
      </w:r>
      <w:r w:rsidR="00105299" w:rsidRPr="00FD106B">
        <w:rPr>
          <w:lang w:val="en-GB"/>
        </w:rPr>
        <w:t xml:space="preserve">this </w:t>
      </w:r>
      <w:r w:rsidR="006625BA" w:rsidRPr="00FD106B">
        <w:rPr>
          <w:lang w:val="en-GB"/>
        </w:rPr>
        <w:t xml:space="preserve">independent </w:t>
      </w:r>
      <w:r w:rsidR="00105299" w:rsidRPr="00FD106B">
        <w:rPr>
          <w:lang w:val="en-GB"/>
        </w:rPr>
        <w:t xml:space="preserve">audit process </w:t>
      </w:r>
      <w:r w:rsidR="00DE0716" w:rsidRPr="00FD106B">
        <w:rPr>
          <w:lang w:val="en-GB"/>
        </w:rPr>
        <w:t xml:space="preserve">and the community feedback </w:t>
      </w:r>
      <w:r w:rsidR="00105299" w:rsidRPr="00FD106B">
        <w:rPr>
          <w:lang w:val="en-GB"/>
        </w:rPr>
        <w:t xml:space="preserve">the </w:t>
      </w:r>
      <w:r w:rsidR="00A52F15" w:rsidRPr="00FD106B">
        <w:rPr>
          <w:lang w:val="en-GB"/>
        </w:rPr>
        <w:t>DUG</w:t>
      </w:r>
      <w:r w:rsidR="00105299" w:rsidRPr="00FD106B">
        <w:rPr>
          <w:lang w:val="en-GB"/>
        </w:rPr>
        <w:t xml:space="preserve"> will </w:t>
      </w:r>
      <w:r w:rsidR="005B1A1F" w:rsidRPr="00FD106B">
        <w:rPr>
          <w:lang w:val="en-GB"/>
        </w:rPr>
        <w:t>examine and if necessary</w:t>
      </w:r>
      <w:r w:rsidR="00105299" w:rsidRPr="00FD106B">
        <w:rPr>
          <w:lang w:val="en-GB"/>
        </w:rPr>
        <w:t xml:space="preserve"> refine </w:t>
      </w:r>
      <w:r w:rsidR="005B1A1F" w:rsidRPr="00FD106B">
        <w:rPr>
          <w:lang w:val="en-GB"/>
        </w:rPr>
        <w:t xml:space="preserve">the agreed levels of service and performance metrics. </w:t>
      </w:r>
      <w:r w:rsidR="00A54A3B" w:rsidRPr="00FD106B">
        <w:rPr>
          <w:lang w:val="en-GB"/>
        </w:rPr>
        <w:t xml:space="preserve"> </w:t>
      </w:r>
    </w:p>
    <w:p w14:paraId="15D2A3B4" w14:textId="363914AB" w:rsidR="005E4A2A" w:rsidRPr="00FD106B" w:rsidRDefault="00A54A3B" w:rsidP="004B3283">
      <w:pPr>
        <w:ind w:left="360"/>
        <w:rPr>
          <w:lang w:val="en-GB"/>
        </w:rPr>
      </w:pPr>
      <w:r w:rsidRPr="00FD106B">
        <w:rPr>
          <w:lang w:val="en-GB"/>
        </w:rPr>
        <w:t>The results of the audit will help inform the periodic reviews to be undertaken by the Review Team (see below).</w:t>
      </w:r>
    </w:p>
    <w:p w14:paraId="4D802EAD" w14:textId="07385DBE" w:rsidR="00D87E87" w:rsidRPr="00FD106B" w:rsidRDefault="00D87E87" w:rsidP="004B3283">
      <w:pPr>
        <w:ind w:left="360"/>
        <w:rPr>
          <w:lang w:val="en-GB"/>
        </w:rPr>
      </w:pPr>
      <w:r w:rsidRPr="00FD106B">
        <w:rPr>
          <w:lang w:val="en-GB"/>
        </w:rPr>
        <w:t>4.  Urgent Review</w:t>
      </w:r>
    </w:p>
    <w:p w14:paraId="4EA6F30D" w14:textId="6A8ADF56" w:rsidR="00C323E2" w:rsidRPr="00FD106B" w:rsidRDefault="00F2519D" w:rsidP="004B3283">
      <w:pPr>
        <w:ind w:left="360"/>
        <w:rPr>
          <w:lang w:val="en-GB"/>
        </w:rPr>
      </w:pPr>
      <w:r w:rsidRPr="00FD106B">
        <w:rPr>
          <w:lang w:val="en-GB"/>
        </w:rPr>
        <w:t>Outside of one-to-one dispute</w:t>
      </w:r>
      <w:r w:rsidR="00D87E87" w:rsidRPr="00FD106B">
        <w:rPr>
          <w:lang w:val="en-GB"/>
        </w:rPr>
        <w:t>s</w:t>
      </w:r>
      <w:r w:rsidRPr="00FD106B">
        <w:rPr>
          <w:lang w:val="en-GB"/>
        </w:rPr>
        <w:t xml:space="preserve">, the </w:t>
      </w:r>
      <w:r w:rsidR="00A52F15" w:rsidRPr="00FD106B">
        <w:rPr>
          <w:lang w:val="en-GB"/>
        </w:rPr>
        <w:t>DUG</w:t>
      </w:r>
      <w:r w:rsidRPr="00FD106B">
        <w:rPr>
          <w:lang w:val="en-GB"/>
        </w:rPr>
        <w:t xml:space="preserve"> will be empowered to initiate an urgent review in cases</w:t>
      </w:r>
      <w:r w:rsidR="002135AD">
        <w:rPr>
          <w:lang w:val="en-GB"/>
        </w:rPr>
        <w:t xml:space="preserve"> </w:t>
      </w:r>
      <w:r w:rsidRPr="00FD106B">
        <w:rPr>
          <w:lang w:val="en-GB"/>
        </w:rPr>
        <w:t xml:space="preserve">where a significant, systemic breach </w:t>
      </w:r>
      <w:r w:rsidR="00C878A8" w:rsidRPr="00FD106B">
        <w:rPr>
          <w:lang w:val="en-GB"/>
        </w:rPr>
        <w:t xml:space="preserve">of </w:t>
      </w:r>
      <w:r w:rsidR="00EA0B77" w:rsidRPr="00FD106B">
        <w:rPr>
          <w:lang w:val="en-GB"/>
        </w:rPr>
        <w:t xml:space="preserve">agreed </w:t>
      </w:r>
      <w:r w:rsidR="00C878A8" w:rsidRPr="00FD106B">
        <w:rPr>
          <w:lang w:val="en-GB"/>
        </w:rPr>
        <w:t xml:space="preserve">levels of service </w:t>
      </w:r>
      <w:r w:rsidR="00EA0B77" w:rsidRPr="00FD106B">
        <w:rPr>
          <w:lang w:val="en-GB"/>
        </w:rPr>
        <w:t>or</w:t>
      </w:r>
      <w:r w:rsidR="00C878A8" w:rsidRPr="00FD106B">
        <w:rPr>
          <w:lang w:val="en-GB"/>
        </w:rPr>
        <w:t xml:space="preserve"> performance </w:t>
      </w:r>
      <w:r w:rsidRPr="00FD106B">
        <w:rPr>
          <w:lang w:val="en-GB"/>
        </w:rPr>
        <w:t xml:space="preserve">by the </w:t>
      </w:r>
      <w:proofErr w:type="spellStart"/>
      <w:r w:rsidR="00D87E87" w:rsidRPr="00FD106B">
        <w:rPr>
          <w:lang w:val="en-GB"/>
        </w:rPr>
        <w:t>IFM</w:t>
      </w:r>
      <w:proofErr w:type="spellEnd"/>
      <w:r w:rsidRPr="00FD106B">
        <w:rPr>
          <w:lang w:val="en-GB"/>
        </w:rPr>
        <w:t xml:space="preserve"> is identified. This may be due to a single extreme event or an escalated number of </w:t>
      </w:r>
      <w:proofErr w:type="spellStart"/>
      <w:r w:rsidR="00937F6D" w:rsidRPr="00FD106B">
        <w:rPr>
          <w:lang w:val="en-GB"/>
        </w:rPr>
        <w:t>TLD</w:t>
      </w:r>
      <w:proofErr w:type="spellEnd"/>
      <w:r w:rsidR="00937F6D" w:rsidRPr="00FD106B">
        <w:rPr>
          <w:lang w:val="en-GB"/>
        </w:rPr>
        <w:t xml:space="preserve"> registry operator/</w:t>
      </w:r>
      <w:proofErr w:type="spellStart"/>
      <w:r w:rsidR="00937F6D" w:rsidRPr="00FD106B">
        <w:rPr>
          <w:lang w:val="en-GB"/>
        </w:rPr>
        <w:t>IFM</w:t>
      </w:r>
      <w:proofErr w:type="spellEnd"/>
      <w:r w:rsidR="00937F6D" w:rsidRPr="00FD106B">
        <w:rPr>
          <w:lang w:val="en-GB"/>
        </w:rPr>
        <w:t xml:space="preserve"> </w:t>
      </w:r>
      <w:r w:rsidRPr="00FD106B">
        <w:rPr>
          <w:lang w:val="en-GB"/>
        </w:rPr>
        <w:t xml:space="preserve">disputes. While the </w:t>
      </w:r>
      <w:r w:rsidR="00A52F15" w:rsidRPr="00FD106B">
        <w:rPr>
          <w:lang w:val="en-GB"/>
        </w:rPr>
        <w:t>DUG</w:t>
      </w:r>
      <w:r w:rsidRPr="00FD106B">
        <w:rPr>
          <w:lang w:val="en-GB"/>
        </w:rPr>
        <w:t xml:space="preserve"> is the organ through which the urgent review process is </w:t>
      </w:r>
      <w:r w:rsidRPr="00FD106B">
        <w:rPr>
          <w:lang w:val="en-GB"/>
        </w:rPr>
        <w:lastRenderedPageBreak/>
        <w:t xml:space="preserve">undertaken, the </w:t>
      </w:r>
      <w:r w:rsidR="00A52F15" w:rsidRPr="00FD106B">
        <w:rPr>
          <w:lang w:val="en-GB"/>
        </w:rPr>
        <w:t>DUG</w:t>
      </w:r>
      <w:r w:rsidRPr="00FD106B">
        <w:rPr>
          <w:lang w:val="en-GB"/>
        </w:rPr>
        <w:t xml:space="preserve"> will not be able to execute </w:t>
      </w:r>
      <w:r w:rsidR="00A5717E" w:rsidRPr="00FD106B">
        <w:rPr>
          <w:lang w:val="en-GB"/>
        </w:rPr>
        <w:t>on the ‘</w:t>
      </w:r>
      <w:r w:rsidR="002135AD">
        <w:rPr>
          <w:lang w:val="en-GB"/>
        </w:rPr>
        <w:t>Further Escalation O</w:t>
      </w:r>
      <w:r w:rsidR="00A5717E" w:rsidRPr="00FD106B">
        <w:rPr>
          <w:lang w:val="en-GB"/>
        </w:rPr>
        <w:t>ption</w:t>
      </w:r>
      <w:r w:rsidR="002135AD">
        <w:rPr>
          <w:lang w:val="en-GB"/>
        </w:rPr>
        <w:t>s</w:t>
      </w:r>
      <w:r w:rsidR="00A5717E" w:rsidRPr="00FD106B">
        <w:rPr>
          <w:lang w:val="en-GB"/>
        </w:rPr>
        <w:t>’</w:t>
      </w:r>
      <w:r w:rsidRPr="00FD106B">
        <w:rPr>
          <w:lang w:val="en-GB"/>
        </w:rPr>
        <w:t xml:space="preserve"> </w:t>
      </w:r>
      <w:r w:rsidR="002135AD">
        <w:rPr>
          <w:lang w:val="en-GB"/>
        </w:rPr>
        <w:t xml:space="preserve">(see below) </w:t>
      </w:r>
      <w:r w:rsidRPr="00FD106B">
        <w:rPr>
          <w:lang w:val="en-GB"/>
        </w:rPr>
        <w:t xml:space="preserve">without explicit </w:t>
      </w:r>
      <w:r w:rsidR="00A5717E" w:rsidRPr="00FD106B">
        <w:rPr>
          <w:lang w:val="en-GB"/>
        </w:rPr>
        <w:t xml:space="preserve">consent </w:t>
      </w:r>
      <w:r w:rsidRPr="00FD106B">
        <w:rPr>
          <w:lang w:val="en-GB"/>
        </w:rPr>
        <w:t xml:space="preserve">from </w:t>
      </w:r>
      <w:proofErr w:type="spellStart"/>
      <w:r w:rsidR="00577A34" w:rsidRPr="00FD106B">
        <w:rPr>
          <w:lang w:val="en-GB"/>
        </w:rPr>
        <w:t>IANA's</w:t>
      </w:r>
      <w:proofErr w:type="spellEnd"/>
      <w:r w:rsidR="00577A34" w:rsidRPr="00FD106B">
        <w:rPr>
          <w:lang w:val="en-GB"/>
        </w:rPr>
        <w:t xml:space="preserve"> naming customers (ccTLDs and gTLDs)</w:t>
      </w:r>
      <w:r w:rsidR="0084337C" w:rsidRPr="00FD106B">
        <w:rPr>
          <w:lang w:val="en-GB"/>
        </w:rPr>
        <w:t>.</w:t>
      </w:r>
      <w:r w:rsidRPr="00FD106B">
        <w:rPr>
          <w:lang w:val="en-GB"/>
        </w:rPr>
        <w:t xml:space="preserve"> </w:t>
      </w:r>
    </w:p>
    <w:p w14:paraId="48330B2B" w14:textId="77777777" w:rsidR="0084337C" w:rsidRPr="00FD106B" w:rsidRDefault="0084337C" w:rsidP="00391E77">
      <w:pPr>
        <w:ind w:left="360"/>
        <w:rPr>
          <w:lang w:val="en-GB"/>
        </w:rPr>
      </w:pPr>
    </w:p>
    <w:p w14:paraId="465C56B6" w14:textId="59D185A9" w:rsidR="00391E77" w:rsidRPr="00FD106B" w:rsidRDefault="00391E77" w:rsidP="00391E77">
      <w:pPr>
        <w:ind w:left="360"/>
        <w:rPr>
          <w:lang w:val="en-GB"/>
        </w:rPr>
      </w:pPr>
      <w:r w:rsidRPr="00FD106B">
        <w:rPr>
          <w:lang w:val="en-GB"/>
        </w:rPr>
        <w:t xml:space="preserve">5. Introduction of </w:t>
      </w:r>
      <w:r w:rsidR="008B4FE4" w:rsidRPr="00FD106B">
        <w:rPr>
          <w:lang w:val="en-GB"/>
        </w:rPr>
        <w:t>technical changes</w:t>
      </w:r>
    </w:p>
    <w:p w14:paraId="4C1ED28C" w14:textId="77777777" w:rsidR="00973FE6" w:rsidRPr="00FD106B" w:rsidRDefault="00391E77" w:rsidP="00973FE6">
      <w:pPr>
        <w:ind w:left="360"/>
        <w:rPr>
          <w:lang w:val="en-GB"/>
        </w:rPr>
      </w:pPr>
      <w:r w:rsidRPr="00FD106B">
        <w:rPr>
          <w:lang w:val="en-GB"/>
        </w:rPr>
        <w:t xml:space="preserve">On occasion, the </w:t>
      </w:r>
      <w:proofErr w:type="spellStart"/>
      <w:r w:rsidRPr="00FD106B">
        <w:rPr>
          <w:lang w:val="en-GB"/>
        </w:rPr>
        <w:t>IFM</w:t>
      </w:r>
      <w:proofErr w:type="spellEnd"/>
      <w:r w:rsidRPr="00FD106B">
        <w:rPr>
          <w:lang w:val="en-GB"/>
        </w:rPr>
        <w:t xml:space="preserve"> may be required to address matters that are outside of its existing scope</w:t>
      </w:r>
      <w:r w:rsidR="00025292" w:rsidRPr="00FD106B">
        <w:rPr>
          <w:lang w:val="en-GB"/>
        </w:rPr>
        <w:t xml:space="preserve"> or deal with technical changes or additions to the IANA functions</w:t>
      </w:r>
      <w:r w:rsidRPr="00FD106B">
        <w:rPr>
          <w:lang w:val="en-GB"/>
        </w:rPr>
        <w:t>. This has occurred, in the past, with issues suc</w:t>
      </w:r>
      <w:r w:rsidR="008B4FE4" w:rsidRPr="00FD106B">
        <w:rPr>
          <w:lang w:val="en-GB"/>
        </w:rPr>
        <w:t xml:space="preserve">h as the introduction of DNSSEC. </w:t>
      </w:r>
    </w:p>
    <w:p w14:paraId="02A1D3D2" w14:textId="17637698" w:rsidR="00A6596C" w:rsidRPr="00477FB1" w:rsidRDefault="00973FE6" w:rsidP="00477FB1">
      <w:pPr>
        <w:ind w:left="360"/>
      </w:pPr>
      <w:r w:rsidRPr="00A6596C">
        <w:rPr>
          <w:lang w:val="en-GB"/>
        </w:rPr>
        <w:t xml:space="preserve">In some instances, these changes are the result of policy developed within ICANN and its </w:t>
      </w:r>
      <w:proofErr w:type="spellStart"/>
      <w:r w:rsidRPr="00A6596C">
        <w:rPr>
          <w:lang w:val="en-GB"/>
        </w:rPr>
        <w:t>SOs</w:t>
      </w:r>
      <w:proofErr w:type="spellEnd"/>
      <w:r w:rsidRPr="00A6596C">
        <w:rPr>
          <w:lang w:val="en-GB"/>
        </w:rPr>
        <w:t xml:space="preserve"> and </w:t>
      </w:r>
      <w:proofErr w:type="spellStart"/>
      <w:r w:rsidRPr="00A6596C">
        <w:rPr>
          <w:lang w:val="en-GB"/>
        </w:rPr>
        <w:t>ACs</w:t>
      </w:r>
      <w:proofErr w:type="spellEnd"/>
      <w:r w:rsidRPr="00A6596C">
        <w:rPr>
          <w:lang w:val="en-GB"/>
        </w:rPr>
        <w:t>. The adoption of these policies and subsequent implementation are subject to the relevant ICANN bylaws and</w:t>
      </w:r>
      <w:r w:rsidR="00F106E7" w:rsidRPr="00A6596C">
        <w:rPr>
          <w:lang w:val="en-GB"/>
        </w:rPr>
        <w:t xml:space="preserve"> are</w:t>
      </w:r>
      <w:r w:rsidRPr="00A6596C">
        <w:rPr>
          <w:lang w:val="en-GB"/>
        </w:rPr>
        <w:t xml:space="preserve"> outside the scope of the </w:t>
      </w:r>
      <w:r w:rsidR="00A52F15" w:rsidRPr="00A6596C">
        <w:rPr>
          <w:lang w:val="en-GB"/>
        </w:rPr>
        <w:t>DUG</w:t>
      </w:r>
      <w:r w:rsidRPr="00A6596C">
        <w:rPr>
          <w:lang w:val="en-GB"/>
        </w:rPr>
        <w:t>. However, in instances where an operational / technical change is not the result of policy processes, and has an effect on the IANA naming functions stakeholder community,</w:t>
      </w:r>
      <w:r w:rsidR="00F106E7" w:rsidRPr="00A6596C">
        <w:rPr>
          <w:lang w:val="en-GB"/>
        </w:rPr>
        <w:t xml:space="preserve"> the </w:t>
      </w:r>
      <w:r w:rsidR="00A52F15" w:rsidRPr="00A6596C">
        <w:rPr>
          <w:lang w:val="en-GB"/>
        </w:rPr>
        <w:t>DUG</w:t>
      </w:r>
      <w:r w:rsidR="00F106E7" w:rsidRPr="00A6596C">
        <w:rPr>
          <w:lang w:val="en-GB"/>
        </w:rPr>
        <w:t xml:space="preserve"> will liaise with the </w:t>
      </w:r>
      <w:proofErr w:type="spellStart"/>
      <w:r w:rsidR="00F106E7" w:rsidRPr="00A6596C">
        <w:rPr>
          <w:lang w:val="en-GB"/>
        </w:rPr>
        <w:t>IFM</w:t>
      </w:r>
      <w:proofErr w:type="spellEnd"/>
      <w:r w:rsidR="00F106E7" w:rsidRPr="00A6596C">
        <w:rPr>
          <w:lang w:val="en-GB"/>
        </w:rPr>
        <w:t xml:space="preserve"> and agree implementation plans on behalf of the </w:t>
      </w:r>
      <w:proofErr w:type="spellStart"/>
      <w:r w:rsidR="00F106E7" w:rsidRPr="00A6596C">
        <w:rPr>
          <w:lang w:val="en-GB"/>
        </w:rPr>
        <w:t>TLD</w:t>
      </w:r>
      <w:proofErr w:type="spellEnd"/>
      <w:r w:rsidR="00F106E7" w:rsidRPr="00A6596C">
        <w:rPr>
          <w:lang w:val="en-GB"/>
        </w:rPr>
        <w:t xml:space="preserve"> registry operators.</w:t>
      </w:r>
      <w:r w:rsidR="00B028C6" w:rsidRPr="00FD106B">
        <w:t>The</w:t>
      </w:r>
      <w:r w:rsidRPr="00FD106B">
        <w:t xml:space="preserve"> </w:t>
      </w:r>
      <w:proofErr w:type="spellStart"/>
      <w:r w:rsidRPr="00FD106B">
        <w:t>IFM</w:t>
      </w:r>
      <w:proofErr w:type="spellEnd"/>
      <w:r w:rsidRPr="00FD106B">
        <w:t xml:space="preserve"> should publish implementation plans for significant technical changes, initiate an RFC process, and then issue a statement based on the comments received. </w:t>
      </w:r>
    </w:p>
    <w:p w14:paraId="3DE8FF06" w14:textId="100B2507" w:rsidR="00D830B7" w:rsidRPr="00FD106B" w:rsidRDefault="005C0898" w:rsidP="00D830B7">
      <w:pPr>
        <w:pStyle w:val="ListParagraph"/>
        <w:numPr>
          <w:ilvl w:val="0"/>
          <w:numId w:val="15"/>
        </w:numPr>
        <w:rPr>
          <w:b/>
          <w:lang w:val="en-GB"/>
        </w:rPr>
      </w:pPr>
      <w:r w:rsidRPr="00FD106B">
        <w:rPr>
          <w:b/>
          <w:lang w:val="en-GB"/>
        </w:rPr>
        <w:t>Detailed e</w:t>
      </w:r>
      <w:r w:rsidR="00D830B7" w:rsidRPr="00FD106B">
        <w:rPr>
          <w:b/>
          <w:lang w:val="en-GB"/>
        </w:rPr>
        <w:t>scalation procedures</w:t>
      </w:r>
    </w:p>
    <w:p w14:paraId="5234E3D2" w14:textId="2B2FBF6A" w:rsidR="000C70CC" w:rsidRPr="00FD106B" w:rsidRDefault="000C70CC" w:rsidP="00D830B7">
      <w:pPr>
        <w:rPr>
          <w:lang w:val="en-GB"/>
        </w:rPr>
      </w:pPr>
      <w:r w:rsidRPr="00FD106B">
        <w:rPr>
          <w:lang w:val="en-GB"/>
        </w:rPr>
        <w:t xml:space="preserve">As noted above, engagement of the </w:t>
      </w:r>
      <w:r w:rsidR="00A52F15" w:rsidRPr="00FD106B">
        <w:rPr>
          <w:lang w:val="en-GB"/>
        </w:rPr>
        <w:t>DUG</w:t>
      </w:r>
      <w:r w:rsidRPr="00FD106B">
        <w:rPr>
          <w:lang w:val="en-GB"/>
        </w:rPr>
        <w:t xml:space="preserve"> will be the fi</w:t>
      </w:r>
      <w:r w:rsidR="003C73C2" w:rsidRPr="00FD106B">
        <w:rPr>
          <w:lang w:val="en-GB"/>
        </w:rPr>
        <w:t>rst step in dispute escalation, both in instances of individual party disputes and systemic failure.</w:t>
      </w:r>
    </w:p>
    <w:p w14:paraId="2F204AD5" w14:textId="77777777" w:rsidR="00615538" w:rsidRPr="00FD106B" w:rsidRDefault="00415B38" w:rsidP="00615538">
      <w:pPr>
        <w:rPr>
          <w:u w:val="single"/>
          <w:lang w:val="en-GB"/>
        </w:rPr>
      </w:pPr>
      <w:r w:rsidRPr="00FD106B">
        <w:rPr>
          <w:u w:val="single"/>
          <w:lang w:val="en-GB"/>
        </w:rPr>
        <w:t>Individual party dispute</w:t>
      </w:r>
    </w:p>
    <w:p w14:paraId="38EF6154" w14:textId="6FC52D44" w:rsidR="00415B38" w:rsidRPr="00FD106B" w:rsidRDefault="00CC44AD" w:rsidP="00615538">
      <w:pPr>
        <w:pStyle w:val="ListParagraph"/>
        <w:numPr>
          <w:ilvl w:val="0"/>
          <w:numId w:val="20"/>
        </w:numPr>
        <w:rPr>
          <w:lang w:val="en-GB"/>
        </w:rPr>
      </w:pPr>
      <w:r w:rsidRPr="00FD106B">
        <w:rPr>
          <w:lang w:val="en-GB"/>
        </w:rPr>
        <w:t>Where a</w:t>
      </w:r>
      <w:r w:rsidR="000C70CC" w:rsidRPr="00FD106B">
        <w:rPr>
          <w:lang w:val="en-GB"/>
        </w:rPr>
        <w:t xml:space="preserve"> </w:t>
      </w:r>
      <w:proofErr w:type="spellStart"/>
      <w:r w:rsidR="001A6329" w:rsidRPr="00FD106B">
        <w:rPr>
          <w:lang w:val="en-GB"/>
        </w:rPr>
        <w:t>TLD</w:t>
      </w:r>
      <w:proofErr w:type="spellEnd"/>
      <w:r w:rsidR="001A6329" w:rsidRPr="00FD106B">
        <w:rPr>
          <w:lang w:val="en-GB"/>
        </w:rPr>
        <w:t xml:space="preserve"> registry operator </w:t>
      </w:r>
      <w:r w:rsidR="00415B38" w:rsidRPr="00FD106B">
        <w:rPr>
          <w:lang w:val="en-GB"/>
        </w:rPr>
        <w:t xml:space="preserve">has </w:t>
      </w:r>
      <w:r w:rsidR="00A46726" w:rsidRPr="00FD106B">
        <w:rPr>
          <w:lang w:val="en-GB"/>
        </w:rPr>
        <w:t>a dispute</w:t>
      </w:r>
      <w:r w:rsidR="00415B38" w:rsidRPr="00FD106B">
        <w:rPr>
          <w:lang w:val="en-GB"/>
        </w:rPr>
        <w:t xml:space="preserve"> </w:t>
      </w:r>
      <w:r w:rsidR="00A46726" w:rsidRPr="00FD106B">
        <w:rPr>
          <w:lang w:val="en-GB"/>
        </w:rPr>
        <w:t xml:space="preserve">regarding </w:t>
      </w:r>
      <w:r w:rsidR="00EA0B77" w:rsidRPr="00FD106B">
        <w:rPr>
          <w:lang w:val="en-GB"/>
        </w:rPr>
        <w:t xml:space="preserve">agreed </w:t>
      </w:r>
      <w:r w:rsidR="00A46726" w:rsidRPr="00FD106B">
        <w:rPr>
          <w:lang w:val="en-GB"/>
        </w:rPr>
        <w:t xml:space="preserve">levels of service </w:t>
      </w:r>
      <w:r w:rsidR="00EA0B77" w:rsidRPr="00FD106B">
        <w:rPr>
          <w:lang w:val="en-GB"/>
        </w:rPr>
        <w:t xml:space="preserve">or </w:t>
      </w:r>
      <w:r w:rsidR="00A46726" w:rsidRPr="00FD106B">
        <w:rPr>
          <w:lang w:val="en-GB"/>
        </w:rPr>
        <w:t xml:space="preserve">performance </w:t>
      </w:r>
      <w:r w:rsidR="00415B38" w:rsidRPr="00FD106B">
        <w:rPr>
          <w:lang w:val="en-GB"/>
        </w:rPr>
        <w:t xml:space="preserve">with the </w:t>
      </w:r>
      <w:proofErr w:type="spellStart"/>
      <w:r w:rsidR="00415B38" w:rsidRPr="00FD106B">
        <w:rPr>
          <w:lang w:val="en-GB"/>
        </w:rPr>
        <w:t>IFM</w:t>
      </w:r>
      <w:proofErr w:type="spellEnd"/>
      <w:r w:rsidR="00415B38" w:rsidRPr="00FD106B">
        <w:rPr>
          <w:lang w:val="en-GB"/>
        </w:rPr>
        <w:t xml:space="preserve">, and the parties have been unable to negotiate a satisfactory outcome, the </w:t>
      </w:r>
      <w:proofErr w:type="spellStart"/>
      <w:r w:rsidR="001A6329" w:rsidRPr="00FD106B">
        <w:rPr>
          <w:lang w:val="en-GB"/>
        </w:rPr>
        <w:t>TLD</w:t>
      </w:r>
      <w:proofErr w:type="spellEnd"/>
      <w:r w:rsidR="001A6329" w:rsidRPr="00FD106B">
        <w:rPr>
          <w:lang w:val="en-GB"/>
        </w:rPr>
        <w:t xml:space="preserve"> registry operator</w:t>
      </w:r>
      <w:r w:rsidR="00415B38" w:rsidRPr="00FD106B">
        <w:rPr>
          <w:lang w:val="en-GB"/>
        </w:rPr>
        <w:t xml:space="preserve"> </w:t>
      </w:r>
      <w:r w:rsidR="006C2DD9">
        <w:rPr>
          <w:lang w:val="en-GB"/>
        </w:rPr>
        <w:t>may</w:t>
      </w:r>
      <w:bookmarkStart w:id="5" w:name="_GoBack"/>
      <w:bookmarkEnd w:id="5"/>
      <w:r w:rsidR="005C0898" w:rsidRPr="00FD106B">
        <w:rPr>
          <w:lang w:val="en-GB"/>
        </w:rPr>
        <w:t xml:space="preserve"> lodge a written complaint with the </w:t>
      </w:r>
      <w:r w:rsidR="00A52F15" w:rsidRPr="00FD106B">
        <w:rPr>
          <w:lang w:val="en-GB"/>
        </w:rPr>
        <w:t>DUG</w:t>
      </w:r>
      <w:r w:rsidR="005C0898" w:rsidRPr="00FD106B">
        <w:rPr>
          <w:lang w:val="en-GB"/>
        </w:rPr>
        <w:t xml:space="preserve">. The </w:t>
      </w:r>
      <w:r w:rsidR="00A52F15" w:rsidRPr="00FD106B">
        <w:rPr>
          <w:lang w:val="en-GB"/>
        </w:rPr>
        <w:t>DUG</w:t>
      </w:r>
      <w:r w:rsidR="005C0898" w:rsidRPr="00FD106B">
        <w:rPr>
          <w:lang w:val="en-GB"/>
        </w:rPr>
        <w:t xml:space="preserve"> will request a written response from the </w:t>
      </w:r>
      <w:proofErr w:type="spellStart"/>
      <w:r w:rsidR="000C1B05" w:rsidRPr="00FD106B">
        <w:rPr>
          <w:lang w:val="en-GB"/>
        </w:rPr>
        <w:t>IFM</w:t>
      </w:r>
      <w:proofErr w:type="spellEnd"/>
      <w:r w:rsidR="000C1B05" w:rsidRPr="00FD106B">
        <w:rPr>
          <w:lang w:val="en-GB"/>
        </w:rPr>
        <w:t xml:space="preserve"> </w:t>
      </w:r>
      <w:r w:rsidR="005C0898" w:rsidRPr="00FD106B">
        <w:rPr>
          <w:lang w:val="en-GB"/>
        </w:rPr>
        <w:t xml:space="preserve">within </w:t>
      </w:r>
      <w:r w:rsidR="00240899" w:rsidRPr="00FD106B">
        <w:rPr>
          <w:lang w:val="en-GB"/>
        </w:rPr>
        <w:t xml:space="preserve">10 working </w:t>
      </w:r>
      <w:r w:rsidR="005C0898" w:rsidRPr="00FD106B">
        <w:rPr>
          <w:lang w:val="en-GB"/>
        </w:rPr>
        <w:t>days, will assess the circumstances, and will attempt to facilitate an agreed outcome between the parties.</w:t>
      </w:r>
      <w:r w:rsidR="003C73C2" w:rsidRPr="00FD106B">
        <w:rPr>
          <w:lang w:val="en-GB"/>
        </w:rPr>
        <w:t xml:space="preserve"> All disputes between the </w:t>
      </w:r>
      <w:proofErr w:type="spellStart"/>
      <w:r w:rsidR="003C73C2" w:rsidRPr="00FD106B">
        <w:rPr>
          <w:lang w:val="en-GB"/>
        </w:rPr>
        <w:t>IFM</w:t>
      </w:r>
      <w:proofErr w:type="spellEnd"/>
      <w:r w:rsidR="003C73C2" w:rsidRPr="00FD106B">
        <w:rPr>
          <w:lang w:val="en-GB"/>
        </w:rPr>
        <w:t xml:space="preserve"> and </w:t>
      </w:r>
      <w:proofErr w:type="spellStart"/>
      <w:r w:rsidR="001A6329" w:rsidRPr="00FD106B">
        <w:rPr>
          <w:lang w:val="en-GB"/>
        </w:rPr>
        <w:t>TLD</w:t>
      </w:r>
      <w:proofErr w:type="spellEnd"/>
      <w:r w:rsidR="001A6329" w:rsidRPr="00FD106B">
        <w:rPr>
          <w:lang w:val="en-GB"/>
        </w:rPr>
        <w:t xml:space="preserve"> registry operators </w:t>
      </w:r>
      <w:r w:rsidR="003C73C2" w:rsidRPr="00FD106B">
        <w:rPr>
          <w:lang w:val="en-GB"/>
        </w:rPr>
        <w:t xml:space="preserve">will be archived for future reference. </w:t>
      </w:r>
      <w:r w:rsidR="00615538" w:rsidRPr="00FD106B">
        <w:rPr>
          <w:lang w:val="en-GB"/>
        </w:rPr>
        <w:br/>
      </w:r>
    </w:p>
    <w:p w14:paraId="7837C048" w14:textId="7F86B2A4" w:rsidR="00615538" w:rsidRPr="00FD106B" w:rsidRDefault="00615538" w:rsidP="00615538">
      <w:pPr>
        <w:pStyle w:val="ListParagraph"/>
        <w:numPr>
          <w:ilvl w:val="0"/>
          <w:numId w:val="20"/>
        </w:numPr>
        <w:rPr>
          <w:lang w:val="en-GB"/>
        </w:rPr>
      </w:pPr>
      <w:r w:rsidRPr="00FD106B">
        <w:rPr>
          <w:lang w:val="en-GB"/>
        </w:rPr>
        <w:t xml:space="preserve">Should this stage of resolution fail, the </w:t>
      </w:r>
      <w:r w:rsidR="00A52F15" w:rsidRPr="00FD106B">
        <w:rPr>
          <w:lang w:val="en-GB"/>
        </w:rPr>
        <w:t>DUG</w:t>
      </w:r>
      <w:r w:rsidRPr="00FD106B">
        <w:rPr>
          <w:lang w:val="en-GB"/>
        </w:rPr>
        <w:t xml:space="preserve"> will engage the services of an external mediator and will provide reports to the mediator on previous attempts at re</w:t>
      </w:r>
      <w:r w:rsidR="00865E7E" w:rsidRPr="00FD106B">
        <w:rPr>
          <w:lang w:val="en-GB"/>
        </w:rPr>
        <w:t xml:space="preserve">solution. </w:t>
      </w:r>
      <w:r w:rsidR="00D15AA2" w:rsidRPr="00FD106B">
        <w:rPr>
          <w:lang w:val="en-GB"/>
        </w:rPr>
        <w:t xml:space="preserve">The </w:t>
      </w:r>
      <w:proofErr w:type="spellStart"/>
      <w:r w:rsidR="00D15AA2" w:rsidRPr="00FD106B">
        <w:rPr>
          <w:lang w:val="en-GB"/>
        </w:rPr>
        <w:t>IFM</w:t>
      </w:r>
      <w:proofErr w:type="spellEnd"/>
      <w:r w:rsidR="00D15AA2" w:rsidRPr="00FD106B">
        <w:rPr>
          <w:lang w:val="en-GB"/>
        </w:rPr>
        <w:t xml:space="preserve"> will also provide a report to the mediator. </w:t>
      </w:r>
      <w:r w:rsidR="000F0427" w:rsidRPr="00FD106B">
        <w:rPr>
          <w:lang w:val="en-GB"/>
        </w:rPr>
        <w:t>If the media</w:t>
      </w:r>
      <w:r w:rsidR="007B731E" w:rsidRPr="00FD106B">
        <w:rPr>
          <w:lang w:val="en-GB"/>
        </w:rPr>
        <w:t>tor is able to bring the partie</w:t>
      </w:r>
      <w:r w:rsidR="000F0427" w:rsidRPr="00FD106B">
        <w:rPr>
          <w:lang w:val="en-GB"/>
        </w:rPr>
        <w:t>s to an agreed</w:t>
      </w:r>
      <w:r w:rsidR="00932E1C" w:rsidRPr="00FD106B">
        <w:rPr>
          <w:lang w:val="en-GB"/>
        </w:rPr>
        <w:t xml:space="preserve"> </w:t>
      </w:r>
      <w:r w:rsidR="00865E7E" w:rsidRPr="00FD106B">
        <w:rPr>
          <w:lang w:val="en-GB"/>
        </w:rPr>
        <w:t>outcome, appropriate remedial action will be taken and records of the dispute will be archived.</w:t>
      </w:r>
      <w:r w:rsidR="00240899" w:rsidRPr="00FD106B">
        <w:rPr>
          <w:lang w:val="en-GB"/>
        </w:rPr>
        <w:t xml:space="preserve"> </w:t>
      </w:r>
    </w:p>
    <w:p w14:paraId="5D56489D" w14:textId="77777777" w:rsidR="00865E7E" w:rsidRPr="00FD106B" w:rsidRDefault="00865E7E" w:rsidP="00865E7E">
      <w:pPr>
        <w:pStyle w:val="ListParagraph"/>
        <w:rPr>
          <w:lang w:val="en-GB"/>
        </w:rPr>
      </w:pPr>
    </w:p>
    <w:p w14:paraId="0BC74F3E" w14:textId="6D802786" w:rsidR="00615538" w:rsidRPr="00FD106B" w:rsidRDefault="00D15AA2" w:rsidP="00615538">
      <w:pPr>
        <w:pStyle w:val="ListParagraph"/>
        <w:numPr>
          <w:ilvl w:val="0"/>
          <w:numId w:val="20"/>
        </w:numPr>
        <w:rPr>
          <w:lang w:val="en-GB"/>
        </w:rPr>
      </w:pPr>
      <w:r w:rsidRPr="00FD106B">
        <w:rPr>
          <w:lang w:val="en-GB"/>
        </w:rPr>
        <w:t xml:space="preserve">Should mediation fail, </w:t>
      </w:r>
      <w:r w:rsidR="00865E7E" w:rsidRPr="00FD106B">
        <w:rPr>
          <w:lang w:val="en-GB"/>
        </w:rPr>
        <w:t>an Independent Appeals Panel (</w:t>
      </w:r>
      <w:proofErr w:type="spellStart"/>
      <w:r w:rsidR="00865E7E" w:rsidRPr="00FD106B">
        <w:rPr>
          <w:lang w:val="en-GB"/>
        </w:rPr>
        <w:t>IAP</w:t>
      </w:r>
      <w:proofErr w:type="spellEnd"/>
      <w:r w:rsidR="00865E7E" w:rsidRPr="00FD106B">
        <w:rPr>
          <w:lang w:val="en-GB"/>
        </w:rPr>
        <w:t xml:space="preserve"> – see below) will be engaged by the </w:t>
      </w:r>
      <w:r w:rsidR="00A52F15" w:rsidRPr="00FD106B">
        <w:rPr>
          <w:lang w:val="en-GB"/>
        </w:rPr>
        <w:t>DUG</w:t>
      </w:r>
      <w:r w:rsidR="00865E7E" w:rsidRPr="00FD106B">
        <w:rPr>
          <w:lang w:val="en-GB"/>
        </w:rPr>
        <w:t xml:space="preserve">. All previous attempts at resolution will be considered. </w:t>
      </w:r>
      <w:r w:rsidR="001A1035" w:rsidRPr="00FD106B">
        <w:rPr>
          <w:lang w:val="en-GB"/>
        </w:rPr>
        <w:t xml:space="preserve">The </w:t>
      </w:r>
      <w:proofErr w:type="spellStart"/>
      <w:r w:rsidR="001A1035" w:rsidRPr="00FD106B">
        <w:rPr>
          <w:lang w:val="en-GB"/>
        </w:rPr>
        <w:t>IAP</w:t>
      </w:r>
      <w:proofErr w:type="spellEnd"/>
      <w:r w:rsidR="001A1035" w:rsidRPr="00FD106B">
        <w:rPr>
          <w:lang w:val="en-GB"/>
        </w:rPr>
        <w:t xml:space="preserve"> will take a decision that is binding upon both the </w:t>
      </w:r>
      <w:proofErr w:type="spellStart"/>
      <w:r w:rsidR="0098323B" w:rsidRPr="00FD106B">
        <w:rPr>
          <w:lang w:val="en-GB"/>
        </w:rPr>
        <w:t>TLD</w:t>
      </w:r>
      <w:proofErr w:type="spellEnd"/>
      <w:r w:rsidR="0098323B" w:rsidRPr="00FD106B">
        <w:rPr>
          <w:lang w:val="en-GB"/>
        </w:rPr>
        <w:t xml:space="preserve"> registry operator </w:t>
      </w:r>
      <w:r w:rsidR="001A1035" w:rsidRPr="00FD106B">
        <w:rPr>
          <w:lang w:val="en-GB"/>
        </w:rPr>
        <w:t xml:space="preserve">and </w:t>
      </w:r>
      <w:proofErr w:type="spellStart"/>
      <w:r w:rsidR="001A1035" w:rsidRPr="00FD106B">
        <w:rPr>
          <w:lang w:val="en-GB"/>
        </w:rPr>
        <w:t>IFM</w:t>
      </w:r>
      <w:proofErr w:type="spellEnd"/>
      <w:r w:rsidR="001A1035" w:rsidRPr="00FD106B">
        <w:rPr>
          <w:lang w:val="en-GB"/>
        </w:rPr>
        <w:t>.</w:t>
      </w:r>
      <w:r w:rsidR="00A30353" w:rsidRPr="00FD106B">
        <w:rPr>
          <w:lang w:val="en-GB"/>
        </w:rPr>
        <w:t xml:space="preserve"> The </w:t>
      </w:r>
      <w:proofErr w:type="spellStart"/>
      <w:r w:rsidR="00A30353" w:rsidRPr="00FD106B">
        <w:rPr>
          <w:lang w:val="en-GB"/>
        </w:rPr>
        <w:t>IAP's</w:t>
      </w:r>
      <w:proofErr w:type="spellEnd"/>
      <w:r w:rsidR="00A30353" w:rsidRPr="00FD106B">
        <w:rPr>
          <w:lang w:val="en-GB"/>
        </w:rPr>
        <w:t xml:space="preserve"> decision will be binding upon the registry based upon that entity's </w:t>
      </w:r>
      <w:r w:rsidR="00904946" w:rsidRPr="00FD106B">
        <w:rPr>
          <w:lang w:val="en-GB"/>
        </w:rPr>
        <w:t xml:space="preserve">explicit </w:t>
      </w:r>
      <w:r w:rsidR="00A30353" w:rsidRPr="00FD106B">
        <w:rPr>
          <w:lang w:val="en-GB"/>
        </w:rPr>
        <w:t>agreement to</w:t>
      </w:r>
      <w:r w:rsidR="00B028C6" w:rsidRPr="00FD106B">
        <w:rPr>
          <w:lang w:val="en-GB"/>
        </w:rPr>
        <w:t xml:space="preserve"> enter into the escalation and mediation process outlined above.</w:t>
      </w:r>
      <w:r w:rsidR="00904946" w:rsidRPr="00FD106B">
        <w:rPr>
          <w:rStyle w:val="FootnoteReference"/>
          <w:lang w:val="en-GB"/>
        </w:rPr>
        <w:footnoteReference w:id="5"/>
      </w:r>
    </w:p>
    <w:p w14:paraId="5FDA38D2" w14:textId="77777777" w:rsidR="001A1035" w:rsidRPr="00FD106B" w:rsidRDefault="001A1035" w:rsidP="001A1035">
      <w:pPr>
        <w:pStyle w:val="ListParagraph"/>
        <w:rPr>
          <w:lang w:val="en-GB"/>
        </w:rPr>
      </w:pPr>
    </w:p>
    <w:p w14:paraId="06F76E88" w14:textId="6077A2CA" w:rsidR="001A1035" w:rsidRPr="00FD106B" w:rsidRDefault="001A1035" w:rsidP="001A1035">
      <w:pPr>
        <w:rPr>
          <w:u w:val="single"/>
          <w:lang w:val="en-GB"/>
        </w:rPr>
      </w:pPr>
      <w:r w:rsidRPr="00FD106B">
        <w:rPr>
          <w:u w:val="single"/>
          <w:lang w:val="en-GB"/>
        </w:rPr>
        <w:t>“Systemic failure”</w:t>
      </w:r>
    </w:p>
    <w:p w14:paraId="68AD0CC7" w14:textId="03142F75" w:rsidR="001A1035" w:rsidRPr="00FD106B" w:rsidRDefault="001A1035" w:rsidP="001A1035">
      <w:pPr>
        <w:rPr>
          <w:lang w:val="en-GB"/>
        </w:rPr>
      </w:pPr>
      <w:r w:rsidRPr="00FD106B">
        <w:rPr>
          <w:lang w:val="en-GB"/>
        </w:rPr>
        <w:t xml:space="preserve">The escalation process for a systemic or critical failure of the </w:t>
      </w:r>
      <w:proofErr w:type="spellStart"/>
      <w:r w:rsidRPr="00FD106B">
        <w:rPr>
          <w:lang w:val="en-GB"/>
        </w:rPr>
        <w:t>IFM</w:t>
      </w:r>
      <w:proofErr w:type="spellEnd"/>
      <w:r w:rsidRPr="00FD106B">
        <w:rPr>
          <w:lang w:val="en-GB"/>
        </w:rPr>
        <w:t xml:space="preserve"> </w:t>
      </w:r>
      <w:r w:rsidR="00B068E6" w:rsidRPr="00FD106B">
        <w:rPr>
          <w:lang w:val="en-GB"/>
        </w:rPr>
        <w:t xml:space="preserve">regarding </w:t>
      </w:r>
      <w:r w:rsidR="00EA0B77" w:rsidRPr="00FD106B">
        <w:rPr>
          <w:lang w:val="en-GB"/>
        </w:rPr>
        <w:t xml:space="preserve">agreed </w:t>
      </w:r>
      <w:r w:rsidR="00B068E6" w:rsidRPr="00FD106B">
        <w:rPr>
          <w:lang w:val="en-GB"/>
        </w:rPr>
        <w:t xml:space="preserve">levels of service </w:t>
      </w:r>
      <w:r w:rsidR="00EA0B77" w:rsidRPr="00FD106B">
        <w:rPr>
          <w:lang w:val="en-GB"/>
        </w:rPr>
        <w:t xml:space="preserve">or </w:t>
      </w:r>
      <w:r w:rsidR="00B068E6" w:rsidRPr="00FD106B">
        <w:rPr>
          <w:lang w:val="en-GB"/>
        </w:rPr>
        <w:t xml:space="preserve">performance </w:t>
      </w:r>
      <w:r w:rsidRPr="00FD106B">
        <w:rPr>
          <w:lang w:val="en-GB"/>
        </w:rPr>
        <w:t xml:space="preserve">will follow </w:t>
      </w:r>
      <w:r w:rsidR="005664A2" w:rsidRPr="00FD106B">
        <w:rPr>
          <w:lang w:val="en-GB"/>
        </w:rPr>
        <w:t xml:space="preserve">different </w:t>
      </w:r>
      <w:r w:rsidRPr="00FD106B">
        <w:rPr>
          <w:lang w:val="en-GB"/>
        </w:rPr>
        <w:t>process</w:t>
      </w:r>
      <w:r w:rsidR="002E119C" w:rsidRPr="00FD106B">
        <w:rPr>
          <w:lang w:val="en-GB"/>
        </w:rPr>
        <w:t>es</w:t>
      </w:r>
      <w:r w:rsidRPr="00FD106B">
        <w:rPr>
          <w:lang w:val="en-GB"/>
        </w:rPr>
        <w:t xml:space="preserve"> </w:t>
      </w:r>
      <w:r w:rsidR="002E119C" w:rsidRPr="00FD106B">
        <w:rPr>
          <w:lang w:val="en-GB"/>
        </w:rPr>
        <w:t>to those associated with</w:t>
      </w:r>
      <w:r w:rsidRPr="00FD106B">
        <w:rPr>
          <w:lang w:val="en-GB"/>
        </w:rPr>
        <w:t xml:space="preserve"> a </w:t>
      </w:r>
      <w:r w:rsidR="00566DB6" w:rsidRPr="00FD106B">
        <w:rPr>
          <w:lang w:val="en-GB"/>
        </w:rPr>
        <w:t xml:space="preserve">dispute raised by </w:t>
      </w:r>
      <w:r w:rsidR="0098323B" w:rsidRPr="00FD106B">
        <w:rPr>
          <w:lang w:val="en-GB"/>
        </w:rPr>
        <w:t xml:space="preserve">a </w:t>
      </w:r>
      <w:proofErr w:type="spellStart"/>
      <w:r w:rsidR="0098323B" w:rsidRPr="00FD106B">
        <w:rPr>
          <w:lang w:val="en-GB"/>
        </w:rPr>
        <w:t>TLD</w:t>
      </w:r>
      <w:proofErr w:type="spellEnd"/>
      <w:r w:rsidR="0098323B" w:rsidRPr="00FD106B">
        <w:rPr>
          <w:lang w:val="en-GB"/>
        </w:rPr>
        <w:t xml:space="preserve"> registry operator</w:t>
      </w:r>
      <w:r w:rsidR="005664A2" w:rsidRPr="00FD106B">
        <w:rPr>
          <w:lang w:val="en-GB"/>
        </w:rPr>
        <w:t>.</w:t>
      </w:r>
    </w:p>
    <w:p w14:paraId="1F5DE019" w14:textId="558FB871" w:rsidR="002E119C" w:rsidRPr="00FD106B" w:rsidRDefault="00566DB6" w:rsidP="002E119C">
      <w:pPr>
        <w:pStyle w:val="ListParagraph"/>
        <w:numPr>
          <w:ilvl w:val="0"/>
          <w:numId w:val="25"/>
        </w:numPr>
        <w:rPr>
          <w:lang w:val="en-GB"/>
        </w:rPr>
      </w:pPr>
      <w:r w:rsidRPr="00FD106B">
        <w:rPr>
          <w:lang w:val="en-GB"/>
        </w:rPr>
        <w:t xml:space="preserve">The </w:t>
      </w:r>
      <w:r w:rsidR="00A52F15" w:rsidRPr="00FD106B">
        <w:rPr>
          <w:lang w:val="en-GB"/>
        </w:rPr>
        <w:t>DUG</w:t>
      </w:r>
      <w:r w:rsidRPr="00FD106B">
        <w:rPr>
          <w:lang w:val="en-GB"/>
        </w:rPr>
        <w:t xml:space="preserve"> is empowered to determine a significant</w:t>
      </w:r>
      <w:r w:rsidR="00E54E25" w:rsidRPr="00FD106B">
        <w:rPr>
          <w:lang w:val="en-GB"/>
        </w:rPr>
        <w:t xml:space="preserve"> or systemic</w:t>
      </w:r>
      <w:r w:rsidRPr="00FD106B">
        <w:rPr>
          <w:lang w:val="en-GB"/>
        </w:rPr>
        <w:t xml:space="preserve"> failure of the </w:t>
      </w:r>
      <w:proofErr w:type="spellStart"/>
      <w:r w:rsidRPr="00FD106B">
        <w:rPr>
          <w:lang w:val="en-GB"/>
        </w:rPr>
        <w:t>IFM</w:t>
      </w:r>
      <w:proofErr w:type="spellEnd"/>
      <w:r w:rsidRPr="00FD106B">
        <w:rPr>
          <w:lang w:val="en-GB"/>
        </w:rPr>
        <w:t xml:space="preserve">, either due to the outcome of a periodic audit or the </w:t>
      </w:r>
      <w:proofErr w:type="spellStart"/>
      <w:r w:rsidR="00A52F15" w:rsidRPr="00FD106B">
        <w:rPr>
          <w:lang w:val="en-GB"/>
        </w:rPr>
        <w:t>DUG</w:t>
      </w:r>
      <w:r w:rsidRPr="00FD106B">
        <w:rPr>
          <w:lang w:val="en-GB"/>
        </w:rPr>
        <w:t>’s</w:t>
      </w:r>
      <w:proofErr w:type="spellEnd"/>
      <w:r w:rsidRPr="00FD106B">
        <w:rPr>
          <w:lang w:val="en-GB"/>
        </w:rPr>
        <w:t xml:space="preserve"> evaluation of a rising number of </w:t>
      </w:r>
      <w:proofErr w:type="spellStart"/>
      <w:r w:rsidR="00C63A66" w:rsidRPr="00FD106B">
        <w:rPr>
          <w:lang w:val="en-GB"/>
        </w:rPr>
        <w:t>TLD</w:t>
      </w:r>
      <w:proofErr w:type="spellEnd"/>
      <w:r w:rsidR="00C63A66" w:rsidRPr="00FD106B">
        <w:rPr>
          <w:lang w:val="en-GB"/>
        </w:rPr>
        <w:t xml:space="preserve"> registry operator </w:t>
      </w:r>
      <w:r w:rsidRPr="00FD106B">
        <w:rPr>
          <w:lang w:val="en-GB"/>
        </w:rPr>
        <w:t>complaints.</w:t>
      </w:r>
      <w:r w:rsidR="002E119C" w:rsidRPr="00FD106B">
        <w:rPr>
          <w:lang w:val="en-GB"/>
        </w:rPr>
        <w:t xml:space="preserve"> </w:t>
      </w:r>
    </w:p>
    <w:p w14:paraId="4FD303BC" w14:textId="77777777" w:rsidR="002E119C" w:rsidRPr="00FD106B" w:rsidRDefault="002E119C" w:rsidP="00502254">
      <w:pPr>
        <w:pStyle w:val="ListParagraph"/>
        <w:rPr>
          <w:lang w:val="en-GB"/>
        </w:rPr>
      </w:pPr>
    </w:p>
    <w:p w14:paraId="704CC18B" w14:textId="05A3AB75" w:rsidR="005664A2" w:rsidRPr="00FD106B" w:rsidRDefault="002E119C" w:rsidP="002E119C">
      <w:pPr>
        <w:pStyle w:val="ListParagraph"/>
        <w:numPr>
          <w:ilvl w:val="0"/>
          <w:numId w:val="25"/>
        </w:numPr>
        <w:rPr>
          <w:lang w:val="en-GB"/>
        </w:rPr>
      </w:pPr>
      <w:r w:rsidRPr="00FD106B">
        <w:rPr>
          <w:lang w:val="en-GB"/>
        </w:rPr>
        <w:t>In the instance of</w:t>
      </w:r>
      <w:r w:rsidR="005664A2" w:rsidRPr="00FD106B">
        <w:rPr>
          <w:lang w:val="en-GB"/>
        </w:rPr>
        <w:t xml:space="preserve"> a </w:t>
      </w:r>
      <w:r w:rsidRPr="00FD106B">
        <w:rPr>
          <w:lang w:val="en-GB"/>
        </w:rPr>
        <w:t xml:space="preserve">failure, the </w:t>
      </w:r>
      <w:r w:rsidR="00A52F15" w:rsidRPr="00FD106B">
        <w:rPr>
          <w:lang w:val="en-GB"/>
        </w:rPr>
        <w:t>DUG</w:t>
      </w:r>
      <w:r w:rsidR="005664A2" w:rsidRPr="00FD106B">
        <w:rPr>
          <w:lang w:val="en-GB"/>
        </w:rPr>
        <w:t xml:space="preserve"> will</w:t>
      </w:r>
      <w:r w:rsidRPr="00FD106B">
        <w:rPr>
          <w:lang w:val="en-GB"/>
        </w:rPr>
        <w:t xml:space="preserve"> appoint a team of experts</w:t>
      </w:r>
      <w:r w:rsidR="005664A2" w:rsidRPr="00FD106B">
        <w:rPr>
          <w:lang w:val="en-GB"/>
        </w:rPr>
        <w:t>, with appropriate technical knowledge,</w:t>
      </w:r>
      <w:r w:rsidRPr="00FD106B">
        <w:rPr>
          <w:lang w:val="en-GB"/>
        </w:rPr>
        <w:t xml:space="preserve"> to engage with </w:t>
      </w:r>
      <w:r w:rsidR="005664A2" w:rsidRPr="00FD106B">
        <w:rPr>
          <w:lang w:val="en-GB"/>
        </w:rPr>
        <w:t xml:space="preserve">the </w:t>
      </w:r>
      <w:proofErr w:type="spellStart"/>
      <w:r w:rsidRPr="00FD106B">
        <w:rPr>
          <w:lang w:val="en-GB"/>
        </w:rPr>
        <w:t>IFM</w:t>
      </w:r>
      <w:proofErr w:type="spellEnd"/>
      <w:r w:rsidRPr="00FD106B">
        <w:rPr>
          <w:lang w:val="en-GB"/>
        </w:rPr>
        <w:t xml:space="preserve"> </w:t>
      </w:r>
      <w:r w:rsidR="005664A2" w:rsidRPr="00FD106B">
        <w:rPr>
          <w:lang w:val="en-GB"/>
        </w:rPr>
        <w:t>to ascertain the problem and its</w:t>
      </w:r>
      <w:r w:rsidRPr="00FD106B">
        <w:rPr>
          <w:lang w:val="en-GB"/>
        </w:rPr>
        <w:t xml:space="preserve"> root cause</w:t>
      </w:r>
      <w:r w:rsidR="005664A2" w:rsidRPr="00FD106B">
        <w:rPr>
          <w:lang w:val="en-GB"/>
        </w:rPr>
        <w:t>.</w:t>
      </w:r>
    </w:p>
    <w:p w14:paraId="3B2C96D9" w14:textId="77777777" w:rsidR="00E54E25" w:rsidRPr="00FD106B" w:rsidRDefault="00E54E25" w:rsidP="00E54E25">
      <w:pPr>
        <w:pStyle w:val="ListParagraph"/>
        <w:rPr>
          <w:lang w:val="en-GB"/>
        </w:rPr>
      </w:pPr>
    </w:p>
    <w:p w14:paraId="29648ED9" w14:textId="7CA9C124" w:rsidR="00E54E25" w:rsidRPr="00FD106B" w:rsidRDefault="005664A2" w:rsidP="00E54E25">
      <w:pPr>
        <w:pStyle w:val="ListParagraph"/>
        <w:numPr>
          <w:ilvl w:val="0"/>
          <w:numId w:val="25"/>
        </w:numPr>
        <w:rPr>
          <w:lang w:val="en-GB"/>
        </w:rPr>
      </w:pPr>
      <w:r w:rsidRPr="00FD106B">
        <w:rPr>
          <w:lang w:val="en-GB"/>
        </w:rPr>
        <w:t xml:space="preserve">The </w:t>
      </w:r>
      <w:r w:rsidR="00A52F15" w:rsidRPr="00FD106B">
        <w:rPr>
          <w:lang w:val="en-GB"/>
        </w:rPr>
        <w:t>DUG</w:t>
      </w:r>
      <w:r w:rsidR="00E54E25" w:rsidRPr="00FD106B">
        <w:rPr>
          <w:lang w:val="en-GB"/>
        </w:rPr>
        <w:t xml:space="preserve"> and its technical experts</w:t>
      </w:r>
      <w:r w:rsidRPr="00FD106B">
        <w:rPr>
          <w:lang w:val="en-GB"/>
        </w:rPr>
        <w:t xml:space="preserve"> will </w:t>
      </w:r>
      <w:r w:rsidR="002E119C" w:rsidRPr="00FD106B">
        <w:rPr>
          <w:lang w:val="en-GB"/>
        </w:rPr>
        <w:t>discuss</w:t>
      </w:r>
      <w:r w:rsidR="00E54E25" w:rsidRPr="00FD106B">
        <w:rPr>
          <w:lang w:val="en-GB"/>
        </w:rPr>
        <w:t xml:space="preserve"> </w:t>
      </w:r>
      <w:r w:rsidR="002E119C" w:rsidRPr="00FD106B">
        <w:rPr>
          <w:lang w:val="en-GB"/>
        </w:rPr>
        <w:t>planned remediation</w:t>
      </w:r>
      <w:r w:rsidR="00E54E25" w:rsidRPr="00FD106B">
        <w:rPr>
          <w:lang w:val="en-GB"/>
        </w:rPr>
        <w:t xml:space="preserve"> with the </w:t>
      </w:r>
      <w:proofErr w:type="spellStart"/>
      <w:r w:rsidR="00E54E25" w:rsidRPr="00FD106B">
        <w:rPr>
          <w:lang w:val="en-GB"/>
        </w:rPr>
        <w:t>IFM</w:t>
      </w:r>
      <w:proofErr w:type="spellEnd"/>
      <w:r w:rsidR="00477FB1">
        <w:rPr>
          <w:lang w:val="en-GB"/>
        </w:rPr>
        <w:t xml:space="preserve"> and work with the </w:t>
      </w:r>
      <w:proofErr w:type="spellStart"/>
      <w:r w:rsidR="00477FB1">
        <w:rPr>
          <w:lang w:val="en-GB"/>
        </w:rPr>
        <w:t>IFM</w:t>
      </w:r>
      <w:proofErr w:type="spellEnd"/>
      <w:r w:rsidR="00477FB1">
        <w:rPr>
          <w:lang w:val="en-GB"/>
        </w:rPr>
        <w:t xml:space="preserve"> to complete the remediation</w:t>
      </w:r>
      <w:r w:rsidR="002E119C" w:rsidRPr="00FD106B">
        <w:rPr>
          <w:lang w:val="en-GB"/>
        </w:rPr>
        <w:t>.</w:t>
      </w:r>
      <w:r w:rsidRPr="00FD106B">
        <w:rPr>
          <w:lang w:val="en-GB"/>
        </w:rPr>
        <w:t xml:space="preserve"> </w:t>
      </w:r>
    </w:p>
    <w:p w14:paraId="604BF69C" w14:textId="77777777" w:rsidR="00E54E25" w:rsidRPr="00FD106B" w:rsidRDefault="00E54E25" w:rsidP="00502254">
      <w:pPr>
        <w:pStyle w:val="ListParagraph"/>
        <w:rPr>
          <w:lang w:val="en-GB"/>
        </w:rPr>
      </w:pPr>
    </w:p>
    <w:p w14:paraId="59723913" w14:textId="1071722F" w:rsidR="005664A2" w:rsidRPr="00FD106B" w:rsidRDefault="00E54E25" w:rsidP="00E54E25">
      <w:pPr>
        <w:pStyle w:val="ListParagraph"/>
        <w:numPr>
          <w:ilvl w:val="0"/>
          <w:numId w:val="25"/>
        </w:numPr>
        <w:rPr>
          <w:lang w:val="en-GB"/>
        </w:rPr>
      </w:pPr>
      <w:r w:rsidRPr="00FD106B">
        <w:rPr>
          <w:lang w:val="en-GB"/>
        </w:rPr>
        <w:t xml:space="preserve">The </w:t>
      </w:r>
      <w:r w:rsidR="00A52F15" w:rsidRPr="00FD106B">
        <w:rPr>
          <w:lang w:val="en-GB"/>
        </w:rPr>
        <w:t>DUG</w:t>
      </w:r>
      <w:r w:rsidRPr="00FD106B">
        <w:rPr>
          <w:lang w:val="en-GB"/>
        </w:rPr>
        <w:t>-appointed</w:t>
      </w:r>
      <w:r w:rsidR="005664A2" w:rsidRPr="00FD106B">
        <w:rPr>
          <w:lang w:val="en-GB"/>
        </w:rPr>
        <w:t xml:space="preserve"> </w:t>
      </w:r>
      <w:r w:rsidRPr="00FD106B">
        <w:rPr>
          <w:lang w:val="en-GB"/>
        </w:rPr>
        <w:t>experts will</w:t>
      </w:r>
      <w:r w:rsidR="005664A2" w:rsidRPr="00FD106B">
        <w:rPr>
          <w:lang w:val="en-GB"/>
        </w:rPr>
        <w:t xml:space="preserve"> then advise </w:t>
      </w:r>
      <w:r w:rsidRPr="00FD106B">
        <w:rPr>
          <w:lang w:val="en-GB"/>
        </w:rPr>
        <w:t xml:space="preserve">on whether the issue </w:t>
      </w:r>
      <w:r w:rsidR="00EC0547" w:rsidRPr="00FD106B">
        <w:rPr>
          <w:lang w:val="en-GB"/>
        </w:rPr>
        <w:t>is deemed a</w:t>
      </w:r>
      <w:r w:rsidRPr="00FD106B">
        <w:rPr>
          <w:lang w:val="en-GB"/>
        </w:rPr>
        <w:t xml:space="preserve"> </w:t>
      </w:r>
      <w:r w:rsidR="005664A2" w:rsidRPr="00FD106B">
        <w:rPr>
          <w:lang w:val="en-GB"/>
        </w:rPr>
        <w:t xml:space="preserve">critical or </w:t>
      </w:r>
      <w:r w:rsidRPr="00FD106B">
        <w:rPr>
          <w:lang w:val="en-GB"/>
        </w:rPr>
        <w:t>systemic failure. I</w:t>
      </w:r>
      <w:r w:rsidR="005664A2" w:rsidRPr="00FD106B">
        <w:rPr>
          <w:lang w:val="en-GB"/>
        </w:rPr>
        <w:t xml:space="preserve">f </w:t>
      </w:r>
      <w:r w:rsidR="00EC0547" w:rsidRPr="00FD106B">
        <w:rPr>
          <w:lang w:val="en-GB"/>
        </w:rPr>
        <w:t>this determination is made</w:t>
      </w:r>
      <w:r w:rsidRPr="00FD106B">
        <w:rPr>
          <w:lang w:val="en-GB"/>
        </w:rPr>
        <w:t>,</w:t>
      </w:r>
      <w:r w:rsidR="005664A2" w:rsidRPr="00FD106B">
        <w:rPr>
          <w:lang w:val="en-GB"/>
        </w:rPr>
        <w:t xml:space="preserve"> </w:t>
      </w:r>
      <w:r w:rsidR="00EC0547" w:rsidRPr="00FD106B">
        <w:rPr>
          <w:lang w:val="en-GB"/>
        </w:rPr>
        <w:t xml:space="preserve">further </w:t>
      </w:r>
      <w:r w:rsidR="005664A2" w:rsidRPr="00FD106B">
        <w:rPr>
          <w:lang w:val="en-GB"/>
        </w:rPr>
        <w:t xml:space="preserve">escalation steps </w:t>
      </w:r>
      <w:r w:rsidR="00EC0547" w:rsidRPr="00FD106B">
        <w:rPr>
          <w:lang w:val="en-GB"/>
        </w:rPr>
        <w:t xml:space="preserve">will </w:t>
      </w:r>
      <w:r w:rsidR="005664A2" w:rsidRPr="00FD106B">
        <w:rPr>
          <w:lang w:val="en-GB"/>
        </w:rPr>
        <w:t xml:space="preserve">be </w:t>
      </w:r>
      <w:r w:rsidR="00EC0547" w:rsidRPr="00FD106B">
        <w:rPr>
          <w:lang w:val="en-GB"/>
        </w:rPr>
        <w:t>taken</w:t>
      </w:r>
      <w:r w:rsidR="005664A2" w:rsidRPr="00FD106B">
        <w:rPr>
          <w:lang w:val="en-GB"/>
        </w:rPr>
        <w:t xml:space="preserve"> to </w:t>
      </w:r>
      <w:r w:rsidR="00EC0547" w:rsidRPr="00FD106B">
        <w:rPr>
          <w:lang w:val="en-GB"/>
        </w:rPr>
        <w:t>en</w:t>
      </w:r>
      <w:r w:rsidR="005664A2" w:rsidRPr="00FD106B">
        <w:rPr>
          <w:lang w:val="en-GB"/>
        </w:rPr>
        <w:t xml:space="preserve">sure necessary long term changes are </w:t>
      </w:r>
      <w:r w:rsidR="00EC0547" w:rsidRPr="00FD106B">
        <w:rPr>
          <w:lang w:val="en-GB"/>
        </w:rPr>
        <w:t>implemented</w:t>
      </w:r>
      <w:r w:rsidR="005664A2" w:rsidRPr="00FD106B">
        <w:rPr>
          <w:lang w:val="en-GB"/>
        </w:rPr>
        <w:t>.</w:t>
      </w:r>
    </w:p>
    <w:p w14:paraId="1F8D57EB" w14:textId="77777777" w:rsidR="005664A2" w:rsidRPr="00FD106B" w:rsidRDefault="005664A2" w:rsidP="00502254">
      <w:pPr>
        <w:pStyle w:val="ListParagraph"/>
        <w:rPr>
          <w:lang w:val="en-GB"/>
        </w:rPr>
      </w:pPr>
    </w:p>
    <w:p w14:paraId="15BD50BE" w14:textId="668FE398" w:rsidR="001A1035" w:rsidRPr="00FD106B" w:rsidRDefault="001A1035" w:rsidP="002E119C">
      <w:pPr>
        <w:pStyle w:val="ListParagraph"/>
        <w:numPr>
          <w:ilvl w:val="0"/>
          <w:numId w:val="25"/>
        </w:numPr>
        <w:rPr>
          <w:lang w:val="en-GB"/>
        </w:rPr>
      </w:pPr>
      <w:r w:rsidRPr="00FD106B">
        <w:rPr>
          <w:lang w:val="en-GB"/>
        </w:rPr>
        <w:t xml:space="preserve">Should this stage of resolution fail, the </w:t>
      </w:r>
      <w:r w:rsidR="00A52F15" w:rsidRPr="00FD106B">
        <w:rPr>
          <w:lang w:val="en-GB"/>
        </w:rPr>
        <w:t>DUG</w:t>
      </w:r>
      <w:r w:rsidRPr="00FD106B">
        <w:rPr>
          <w:lang w:val="en-GB"/>
        </w:rPr>
        <w:t xml:space="preserve"> will engage the services of an external mediator and will provide reports to the mediator on previous attempts at resolution. </w:t>
      </w:r>
      <w:r w:rsidR="007B731E" w:rsidRPr="00FD106B">
        <w:rPr>
          <w:lang w:val="en-GB"/>
        </w:rPr>
        <w:t>If the mediator is able to bring the parties to an agree</w:t>
      </w:r>
      <w:r w:rsidR="002E119C" w:rsidRPr="00FD106B">
        <w:rPr>
          <w:lang w:val="en-GB"/>
        </w:rPr>
        <w:t>ment,</w:t>
      </w:r>
      <w:r w:rsidRPr="00FD106B">
        <w:rPr>
          <w:lang w:val="en-GB"/>
        </w:rPr>
        <w:t xml:space="preserve"> appropriate remedial action will be taken and records of the dispute will be archived.</w:t>
      </w:r>
    </w:p>
    <w:p w14:paraId="1ACF4172" w14:textId="77777777" w:rsidR="001A1035" w:rsidRPr="00FD106B" w:rsidRDefault="001A1035" w:rsidP="001A1035">
      <w:pPr>
        <w:pStyle w:val="ListParagraph"/>
        <w:rPr>
          <w:lang w:val="en-GB"/>
        </w:rPr>
      </w:pPr>
    </w:p>
    <w:p w14:paraId="2E8C5E86" w14:textId="63ACB89F" w:rsidR="00D830B7" w:rsidRPr="00FD106B" w:rsidRDefault="001A1035" w:rsidP="002E119C">
      <w:pPr>
        <w:pStyle w:val="ListParagraph"/>
        <w:numPr>
          <w:ilvl w:val="0"/>
          <w:numId w:val="25"/>
        </w:numPr>
        <w:rPr>
          <w:lang w:val="en-GB"/>
        </w:rPr>
      </w:pPr>
      <w:r w:rsidRPr="00FD106B">
        <w:rPr>
          <w:lang w:val="en-GB"/>
        </w:rPr>
        <w:t>Should mediation fail, an Independent Appeals Panel (</w:t>
      </w:r>
      <w:proofErr w:type="spellStart"/>
      <w:r w:rsidRPr="00FD106B">
        <w:rPr>
          <w:lang w:val="en-GB"/>
        </w:rPr>
        <w:t>IAP</w:t>
      </w:r>
      <w:proofErr w:type="spellEnd"/>
      <w:r w:rsidRPr="00FD106B">
        <w:rPr>
          <w:lang w:val="en-GB"/>
        </w:rPr>
        <w:t xml:space="preserve"> – see below) will be engaged by the </w:t>
      </w:r>
      <w:r w:rsidR="00A52F15" w:rsidRPr="00FD106B">
        <w:rPr>
          <w:lang w:val="en-GB"/>
        </w:rPr>
        <w:t>DUG</w:t>
      </w:r>
      <w:r w:rsidRPr="00FD106B">
        <w:rPr>
          <w:lang w:val="en-GB"/>
        </w:rPr>
        <w:t xml:space="preserve">. All previous attempts at resolution will be considered. The </w:t>
      </w:r>
      <w:proofErr w:type="spellStart"/>
      <w:r w:rsidRPr="00FD106B">
        <w:rPr>
          <w:lang w:val="en-GB"/>
        </w:rPr>
        <w:t>IAP</w:t>
      </w:r>
      <w:proofErr w:type="spellEnd"/>
      <w:r w:rsidRPr="00FD106B">
        <w:rPr>
          <w:lang w:val="en-GB"/>
        </w:rPr>
        <w:t xml:space="preserve"> will take a decision that is binding upon </w:t>
      </w:r>
      <w:r w:rsidR="00C63A66" w:rsidRPr="00FD106B">
        <w:rPr>
          <w:lang w:val="en-GB"/>
        </w:rPr>
        <w:t xml:space="preserve">the </w:t>
      </w:r>
      <w:proofErr w:type="spellStart"/>
      <w:r w:rsidR="00C63A66" w:rsidRPr="00FD106B">
        <w:rPr>
          <w:lang w:val="en-GB"/>
        </w:rPr>
        <w:t>TLD</w:t>
      </w:r>
      <w:proofErr w:type="spellEnd"/>
      <w:r w:rsidR="00C63A66" w:rsidRPr="00FD106B">
        <w:rPr>
          <w:lang w:val="en-GB"/>
        </w:rPr>
        <w:t xml:space="preserve"> registry operator (where applicable), </w:t>
      </w:r>
      <w:r w:rsidR="00A52F15" w:rsidRPr="00FD106B">
        <w:rPr>
          <w:lang w:val="en-GB"/>
        </w:rPr>
        <w:t>DUG</w:t>
      </w:r>
      <w:r w:rsidR="00C63A66" w:rsidRPr="00FD106B">
        <w:rPr>
          <w:lang w:val="en-GB"/>
        </w:rPr>
        <w:t xml:space="preserve"> </w:t>
      </w:r>
      <w:r w:rsidRPr="00FD106B">
        <w:rPr>
          <w:lang w:val="en-GB"/>
        </w:rPr>
        <w:t xml:space="preserve">and </w:t>
      </w:r>
      <w:proofErr w:type="spellStart"/>
      <w:r w:rsidRPr="00FD106B">
        <w:rPr>
          <w:lang w:val="en-GB"/>
        </w:rPr>
        <w:t>IFM</w:t>
      </w:r>
      <w:proofErr w:type="spellEnd"/>
      <w:r w:rsidRPr="00FD106B">
        <w:rPr>
          <w:lang w:val="en-GB"/>
        </w:rPr>
        <w:t>.</w:t>
      </w:r>
      <w:r w:rsidR="00A30353" w:rsidRPr="00FD106B">
        <w:rPr>
          <w:lang w:val="en-GB"/>
        </w:rPr>
        <w:t xml:space="preserve"> </w:t>
      </w:r>
      <w:r w:rsidR="004333F2" w:rsidRPr="00FD106B">
        <w:rPr>
          <w:lang w:val="en-GB"/>
        </w:rPr>
        <w:br/>
      </w:r>
    </w:p>
    <w:p w14:paraId="6FF05F8A" w14:textId="384C52A8" w:rsidR="00A9585B" w:rsidRPr="00FD106B" w:rsidRDefault="00A9585B" w:rsidP="00992D6A">
      <w:pPr>
        <w:pStyle w:val="ListParagraph"/>
        <w:numPr>
          <w:ilvl w:val="0"/>
          <w:numId w:val="15"/>
        </w:numPr>
        <w:rPr>
          <w:b/>
          <w:lang w:val="en-GB"/>
        </w:rPr>
      </w:pPr>
      <w:r w:rsidRPr="00FD106B">
        <w:rPr>
          <w:b/>
          <w:lang w:val="en-GB"/>
        </w:rPr>
        <w:t>Independent Appeals Process</w:t>
      </w:r>
    </w:p>
    <w:p w14:paraId="738E2019" w14:textId="7BA6E7ED" w:rsidR="00A9585B" w:rsidRPr="00FD106B" w:rsidRDefault="00A9585B" w:rsidP="00A9585B">
      <w:pPr>
        <w:rPr>
          <w:lang w:val="en-GB"/>
        </w:rPr>
      </w:pPr>
      <w:r w:rsidRPr="00FD106B">
        <w:rPr>
          <w:lang w:val="en-GB"/>
        </w:rPr>
        <w:t>Th</w:t>
      </w:r>
      <w:r w:rsidR="0079666B" w:rsidRPr="00FD106B">
        <w:rPr>
          <w:lang w:val="en-GB"/>
        </w:rPr>
        <w:t xml:space="preserve">e </w:t>
      </w:r>
      <w:proofErr w:type="spellStart"/>
      <w:r w:rsidR="0079666B" w:rsidRPr="00FD106B">
        <w:rPr>
          <w:lang w:val="en-GB"/>
        </w:rPr>
        <w:t>IAP</w:t>
      </w:r>
      <w:proofErr w:type="spellEnd"/>
      <w:r w:rsidRPr="00FD106B">
        <w:rPr>
          <w:lang w:val="en-GB"/>
        </w:rPr>
        <w:t xml:space="preserve"> will be a binding mechanism, utilising the services of an independent</w:t>
      </w:r>
      <w:r w:rsidR="00AA282D" w:rsidRPr="00FD106B">
        <w:rPr>
          <w:lang w:val="en-GB"/>
        </w:rPr>
        <w:t>,</w:t>
      </w:r>
      <w:r w:rsidR="00057A21" w:rsidRPr="00FD106B">
        <w:rPr>
          <w:lang w:val="en-GB"/>
        </w:rPr>
        <w:t xml:space="preserve"> </w:t>
      </w:r>
      <w:r w:rsidR="00AA282D" w:rsidRPr="00FD106B">
        <w:rPr>
          <w:lang w:val="en-GB"/>
        </w:rPr>
        <w:t>external</w:t>
      </w:r>
      <w:r w:rsidRPr="00FD106B">
        <w:rPr>
          <w:lang w:val="en-GB"/>
        </w:rPr>
        <w:t xml:space="preserve"> arbitration organisation.</w:t>
      </w:r>
      <w:r w:rsidR="004333F2" w:rsidRPr="00FD106B">
        <w:rPr>
          <w:lang w:val="en-GB"/>
        </w:rPr>
        <w:t xml:space="preserve"> </w:t>
      </w:r>
      <w:r w:rsidRPr="00FD106B">
        <w:rPr>
          <w:lang w:val="en-GB"/>
        </w:rPr>
        <w:t xml:space="preserve"> </w:t>
      </w:r>
      <w:r w:rsidR="00FF20F2" w:rsidRPr="00FD106B">
        <w:rPr>
          <w:lang w:val="en-GB"/>
        </w:rPr>
        <w:t>Such an ICANN</w:t>
      </w:r>
      <w:r w:rsidR="002E119C" w:rsidRPr="00FD106B">
        <w:rPr>
          <w:lang w:val="en-GB"/>
        </w:rPr>
        <w:t>-</w:t>
      </w:r>
      <w:r w:rsidR="00FF20F2" w:rsidRPr="00FD106B">
        <w:rPr>
          <w:lang w:val="en-GB"/>
        </w:rPr>
        <w:t xml:space="preserve">wide mechanism is expected to be developed by the </w:t>
      </w:r>
      <w:proofErr w:type="spellStart"/>
      <w:r w:rsidR="00FF20F2" w:rsidRPr="00FD106B">
        <w:rPr>
          <w:lang w:val="en-GB"/>
        </w:rPr>
        <w:t>CCWG</w:t>
      </w:r>
      <w:proofErr w:type="spellEnd"/>
      <w:r w:rsidR="00FF20F2" w:rsidRPr="00FD106B">
        <w:rPr>
          <w:lang w:val="en-GB"/>
        </w:rPr>
        <w:t xml:space="preserve"> on Accountability</w:t>
      </w:r>
      <w:r w:rsidR="002E119C" w:rsidRPr="00FD106B">
        <w:rPr>
          <w:lang w:val="en-GB"/>
        </w:rPr>
        <w:t>.</w:t>
      </w:r>
      <w:r w:rsidR="00FF20F2" w:rsidRPr="00FD106B">
        <w:rPr>
          <w:lang w:val="en-GB"/>
        </w:rPr>
        <w:t xml:space="preserve"> </w:t>
      </w:r>
    </w:p>
    <w:p w14:paraId="22C9EE70" w14:textId="4D1C7764" w:rsidR="00640897" w:rsidRPr="00FD106B" w:rsidRDefault="004333F2" w:rsidP="00640897">
      <w:pPr>
        <w:rPr>
          <w:lang w:val="en-GB"/>
        </w:rPr>
      </w:pPr>
      <w:r w:rsidRPr="00FD106B">
        <w:rPr>
          <w:lang w:val="en-GB"/>
        </w:rPr>
        <w:t xml:space="preserve">The </w:t>
      </w:r>
      <w:proofErr w:type="spellStart"/>
      <w:r w:rsidRPr="00FD106B">
        <w:rPr>
          <w:lang w:val="en-GB"/>
        </w:rPr>
        <w:t>IAP’s</w:t>
      </w:r>
      <w:proofErr w:type="spellEnd"/>
      <w:r w:rsidRPr="00FD106B">
        <w:rPr>
          <w:lang w:val="en-GB"/>
        </w:rPr>
        <w:t xml:space="preserve"> </w:t>
      </w:r>
      <w:r w:rsidR="00A9585B" w:rsidRPr="00FD106B">
        <w:rPr>
          <w:lang w:val="en-GB"/>
        </w:rPr>
        <w:t>scope will be limited to providing arbitration between</w:t>
      </w:r>
      <w:r w:rsidR="00A11EA0" w:rsidRPr="00FD106B">
        <w:rPr>
          <w:lang w:val="en-GB"/>
        </w:rPr>
        <w:t xml:space="preserve"> the</w:t>
      </w:r>
      <w:r w:rsidR="00A9585B" w:rsidRPr="00FD106B">
        <w:rPr>
          <w:lang w:val="en-GB"/>
        </w:rPr>
        <w:t xml:space="preserve"> </w:t>
      </w:r>
      <w:proofErr w:type="spellStart"/>
      <w:r w:rsidR="00A11EA0" w:rsidRPr="00FD106B">
        <w:rPr>
          <w:lang w:val="en-GB"/>
        </w:rPr>
        <w:t>IFM</w:t>
      </w:r>
      <w:proofErr w:type="spellEnd"/>
      <w:r w:rsidR="00A11EA0" w:rsidRPr="00FD106B">
        <w:rPr>
          <w:lang w:val="en-GB"/>
        </w:rPr>
        <w:t xml:space="preserve"> </w:t>
      </w:r>
      <w:r w:rsidR="00A9585B" w:rsidRPr="00FD106B">
        <w:rPr>
          <w:lang w:val="en-GB"/>
        </w:rPr>
        <w:t xml:space="preserve">and </w:t>
      </w:r>
      <w:r w:rsidR="00460C23" w:rsidRPr="00FD106B">
        <w:rPr>
          <w:lang w:val="en-GB"/>
        </w:rPr>
        <w:t xml:space="preserve">a </w:t>
      </w:r>
      <w:proofErr w:type="spellStart"/>
      <w:r w:rsidR="00460C23" w:rsidRPr="00FD106B">
        <w:rPr>
          <w:lang w:val="en-GB"/>
        </w:rPr>
        <w:t>TLD</w:t>
      </w:r>
      <w:proofErr w:type="spellEnd"/>
      <w:r w:rsidR="00460C23" w:rsidRPr="00FD106B">
        <w:rPr>
          <w:lang w:val="en-GB"/>
        </w:rPr>
        <w:t xml:space="preserve"> registry operator </w:t>
      </w:r>
      <w:r w:rsidR="00A9585B" w:rsidRPr="00FD106B">
        <w:rPr>
          <w:lang w:val="en-GB"/>
        </w:rPr>
        <w:t xml:space="preserve">and, when appropriate, </w:t>
      </w:r>
      <w:r w:rsidR="00A11EA0" w:rsidRPr="00FD106B">
        <w:rPr>
          <w:lang w:val="en-GB"/>
        </w:rPr>
        <w:t xml:space="preserve">the </w:t>
      </w:r>
      <w:proofErr w:type="spellStart"/>
      <w:r w:rsidR="00A11EA0" w:rsidRPr="00FD106B">
        <w:rPr>
          <w:lang w:val="en-GB"/>
        </w:rPr>
        <w:t>IFM</w:t>
      </w:r>
      <w:proofErr w:type="spellEnd"/>
      <w:r w:rsidR="00A11EA0" w:rsidRPr="00FD106B">
        <w:rPr>
          <w:lang w:val="en-GB"/>
        </w:rPr>
        <w:t xml:space="preserve"> </w:t>
      </w:r>
      <w:r w:rsidR="00A9585B" w:rsidRPr="00FD106B">
        <w:rPr>
          <w:lang w:val="en-GB"/>
        </w:rPr>
        <w:t xml:space="preserve">and the </w:t>
      </w:r>
      <w:r w:rsidR="00A52F15" w:rsidRPr="00FD106B">
        <w:rPr>
          <w:lang w:val="en-GB"/>
        </w:rPr>
        <w:t>DUG</w:t>
      </w:r>
      <w:r w:rsidR="00B068E6" w:rsidRPr="00FD106B">
        <w:rPr>
          <w:lang w:val="en-GB"/>
        </w:rPr>
        <w:t xml:space="preserve"> in respect to disputes on </w:t>
      </w:r>
      <w:r w:rsidR="00EA0B77" w:rsidRPr="00FD106B">
        <w:rPr>
          <w:lang w:val="en-GB"/>
        </w:rPr>
        <w:t xml:space="preserve">agreed </w:t>
      </w:r>
      <w:r w:rsidR="00B068E6" w:rsidRPr="00FD106B">
        <w:rPr>
          <w:lang w:val="en-GB"/>
        </w:rPr>
        <w:t xml:space="preserve">levels of service </w:t>
      </w:r>
      <w:r w:rsidR="00EA0B77" w:rsidRPr="00FD106B">
        <w:rPr>
          <w:lang w:val="en-GB"/>
        </w:rPr>
        <w:t xml:space="preserve">or </w:t>
      </w:r>
      <w:r w:rsidR="00B068E6" w:rsidRPr="00FD106B">
        <w:rPr>
          <w:lang w:val="en-GB"/>
        </w:rPr>
        <w:t>performance</w:t>
      </w:r>
      <w:r w:rsidR="002E119C" w:rsidRPr="00FD106B">
        <w:rPr>
          <w:lang w:val="en-GB"/>
        </w:rPr>
        <w:t xml:space="preserve">, relating to the </w:t>
      </w:r>
      <w:proofErr w:type="spellStart"/>
      <w:r w:rsidR="002E119C" w:rsidRPr="00FD106B">
        <w:rPr>
          <w:lang w:val="en-GB"/>
        </w:rPr>
        <w:t>IFM's</w:t>
      </w:r>
      <w:proofErr w:type="spellEnd"/>
      <w:r w:rsidR="002E119C" w:rsidRPr="00FD106B">
        <w:rPr>
          <w:lang w:val="en-GB"/>
        </w:rPr>
        <w:t xml:space="preserve"> naming functions.</w:t>
      </w:r>
      <w:r w:rsidR="00B068E6" w:rsidRPr="00FD106B">
        <w:rPr>
          <w:lang w:val="en-GB"/>
        </w:rPr>
        <w:t xml:space="preserve"> </w:t>
      </w:r>
      <w:r w:rsidR="00A9585B" w:rsidRPr="00FD106B">
        <w:rPr>
          <w:lang w:val="en-GB"/>
        </w:rPr>
        <w:t xml:space="preserve">The </w:t>
      </w:r>
      <w:proofErr w:type="spellStart"/>
      <w:r w:rsidR="00A9585B" w:rsidRPr="00FD106B">
        <w:rPr>
          <w:lang w:val="en-GB"/>
        </w:rPr>
        <w:t>IAP</w:t>
      </w:r>
      <w:proofErr w:type="spellEnd"/>
      <w:r w:rsidR="00A9585B" w:rsidRPr="00FD106B">
        <w:rPr>
          <w:lang w:val="en-GB"/>
        </w:rPr>
        <w:t xml:space="preserve"> will not </w:t>
      </w:r>
      <w:r w:rsidR="00CF2A32" w:rsidRPr="00FD106B">
        <w:rPr>
          <w:lang w:val="en-GB"/>
        </w:rPr>
        <w:t>ad</w:t>
      </w:r>
      <w:r w:rsidR="00A9585B" w:rsidRPr="00FD106B">
        <w:rPr>
          <w:lang w:val="en-GB"/>
        </w:rPr>
        <w:t xml:space="preserve">dress </w:t>
      </w:r>
      <w:r w:rsidR="00AF118B" w:rsidRPr="00FD106B">
        <w:rPr>
          <w:lang w:val="en-GB"/>
        </w:rPr>
        <w:t>policy</w:t>
      </w:r>
      <w:r w:rsidR="00A9585B" w:rsidRPr="00FD106B">
        <w:rPr>
          <w:lang w:val="en-GB"/>
        </w:rPr>
        <w:t>-related matter</w:t>
      </w:r>
      <w:r w:rsidR="00F11622" w:rsidRPr="00FD106B">
        <w:rPr>
          <w:lang w:val="en-GB"/>
        </w:rPr>
        <w:t>s</w:t>
      </w:r>
      <w:r w:rsidR="00A9585B" w:rsidRPr="00FD106B">
        <w:rPr>
          <w:lang w:val="en-GB"/>
        </w:rPr>
        <w:t xml:space="preserve">, </w:t>
      </w:r>
      <w:r w:rsidR="0038166B" w:rsidRPr="00FD106B">
        <w:rPr>
          <w:lang w:val="en-GB"/>
        </w:rPr>
        <w:t xml:space="preserve">and disputes arising in respect the delegation or re-delegation of a </w:t>
      </w:r>
      <w:proofErr w:type="spellStart"/>
      <w:r w:rsidR="0038166B" w:rsidRPr="00FD106B">
        <w:rPr>
          <w:lang w:val="en-GB"/>
        </w:rPr>
        <w:t>TLD</w:t>
      </w:r>
      <w:proofErr w:type="spellEnd"/>
      <w:r w:rsidR="0038166B" w:rsidRPr="00FD106B">
        <w:rPr>
          <w:lang w:val="en-GB"/>
        </w:rPr>
        <w:t xml:space="preserve"> are specifically excluded from this process. </w:t>
      </w:r>
    </w:p>
    <w:p w14:paraId="005252C7" w14:textId="45DE9C1C" w:rsidR="00041AC4" w:rsidRPr="00FD106B" w:rsidRDefault="009C2797" w:rsidP="00640897">
      <w:pPr>
        <w:rPr>
          <w:lang w:val="en-GB"/>
        </w:rPr>
      </w:pPr>
      <w:r w:rsidRPr="00FD106B">
        <w:rPr>
          <w:lang w:val="en-GB"/>
        </w:rPr>
        <w:t xml:space="preserve">The </w:t>
      </w:r>
      <w:proofErr w:type="spellStart"/>
      <w:r w:rsidRPr="00FD106B">
        <w:rPr>
          <w:lang w:val="en-GB"/>
        </w:rPr>
        <w:t>IAP</w:t>
      </w:r>
      <w:proofErr w:type="spellEnd"/>
      <w:r w:rsidRPr="00FD106B">
        <w:rPr>
          <w:lang w:val="en-GB"/>
        </w:rPr>
        <w:t xml:space="preserve"> may make the following findings:</w:t>
      </w:r>
    </w:p>
    <w:p w14:paraId="1B5AD6BA" w14:textId="645EE803" w:rsidR="002F6A08" w:rsidRPr="00FD106B" w:rsidRDefault="009C2797" w:rsidP="00486814">
      <w:pPr>
        <w:pStyle w:val="ListParagraph"/>
        <w:numPr>
          <w:ilvl w:val="0"/>
          <w:numId w:val="24"/>
        </w:numPr>
        <w:rPr>
          <w:lang w:val="en-GB"/>
        </w:rPr>
      </w:pPr>
      <w:r w:rsidRPr="00FD106B">
        <w:rPr>
          <w:lang w:val="en-GB"/>
        </w:rPr>
        <w:t>T</w:t>
      </w:r>
      <w:r w:rsidR="00EA0B77" w:rsidRPr="00FD106B">
        <w:rPr>
          <w:lang w:val="en-GB"/>
        </w:rPr>
        <w:t>hat</w:t>
      </w:r>
      <w:r w:rsidR="00A11EA0" w:rsidRPr="00FD106B">
        <w:rPr>
          <w:lang w:val="en-GB"/>
        </w:rPr>
        <w:t xml:space="preserve"> the </w:t>
      </w:r>
      <w:proofErr w:type="spellStart"/>
      <w:r w:rsidR="00A11EA0" w:rsidRPr="00FD106B">
        <w:rPr>
          <w:lang w:val="en-GB"/>
        </w:rPr>
        <w:t>IFM</w:t>
      </w:r>
      <w:proofErr w:type="spellEnd"/>
      <w:r w:rsidR="00A11EA0" w:rsidRPr="00FD106B">
        <w:rPr>
          <w:lang w:val="en-GB"/>
        </w:rPr>
        <w:t xml:space="preserve"> </w:t>
      </w:r>
      <w:r w:rsidR="00EA0B77" w:rsidRPr="00FD106B">
        <w:rPr>
          <w:lang w:val="en-GB"/>
        </w:rPr>
        <w:t xml:space="preserve">has not breached agreed levels of service or performance </w:t>
      </w:r>
      <w:r w:rsidRPr="00FD106B">
        <w:rPr>
          <w:lang w:val="en-GB"/>
        </w:rPr>
        <w:t>in which case</w:t>
      </w:r>
      <w:r w:rsidR="00C06352" w:rsidRPr="00FD106B">
        <w:rPr>
          <w:lang w:val="en-GB"/>
        </w:rPr>
        <w:t xml:space="preserve"> </w:t>
      </w:r>
      <w:r w:rsidR="00A11EA0" w:rsidRPr="00FD106B">
        <w:rPr>
          <w:lang w:val="en-GB"/>
        </w:rPr>
        <w:t xml:space="preserve">the matter </w:t>
      </w:r>
      <w:r w:rsidR="00C06352" w:rsidRPr="00FD106B">
        <w:rPr>
          <w:lang w:val="en-GB"/>
        </w:rPr>
        <w:t>will be treated as resolved and no further action taken.</w:t>
      </w:r>
    </w:p>
    <w:p w14:paraId="3BA38DF3" w14:textId="5A7A3998" w:rsidR="009C2797" w:rsidRPr="00FD106B" w:rsidRDefault="009C2797" w:rsidP="00486814">
      <w:pPr>
        <w:pStyle w:val="ListParagraph"/>
        <w:numPr>
          <w:ilvl w:val="0"/>
          <w:numId w:val="24"/>
        </w:numPr>
        <w:rPr>
          <w:lang w:val="en-GB"/>
        </w:rPr>
      </w:pPr>
      <w:r w:rsidRPr="00FD106B">
        <w:rPr>
          <w:lang w:val="en-GB"/>
        </w:rPr>
        <w:lastRenderedPageBreak/>
        <w:t xml:space="preserve">That the </w:t>
      </w:r>
      <w:proofErr w:type="spellStart"/>
      <w:r w:rsidRPr="00FD106B">
        <w:rPr>
          <w:lang w:val="en-GB"/>
        </w:rPr>
        <w:t>IFM</w:t>
      </w:r>
      <w:proofErr w:type="spellEnd"/>
      <w:r w:rsidRPr="00FD106B">
        <w:rPr>
          <w:lang w:val="en-GB"/>
        </w:rPr>
        <w:t xml:space="preserve"> has breached agreed levels of service or performance and such breach is capable of remedy in which case the </w:t>
      </w:r>
      <w:proofErr w:type="spellStart"/>
      <w:r w:rsidRPr="00FD106B">
        <w:rPr>
          <w:lang w:val="en-GB"/>
        </w:rPr>
        <w:t>IFM</w:t>
      </w:r>
      <w:proofErr w:type="spellEnd"/>
      <w:r w:rsidRPr="00FD106B">
        <w:rPr>
          <w:lang w:val="en-GB"/>
        </w:rPr>
        <w:t xml:space="preserve"> shall have </w:t>
      </w:r>
      <w:r w:rsidRPr="00FD106B">
        <w:rPr>
          <w:i/>
          <w:lang w:val="en-GB"/>
        </w:rPr>
        <w:t>XX</w:t>
      </w:r>
      <w:r w:rsidRPr="00FD106B">
        <w:rPr>
          <w:lang w:val="en-GB"/>
        </w:rPr>
        <w:t xml:space="preserve"> days to remedy the breach.</w:t>
      </w:r>
    </w:p>
    <w:p w14:paraId="0F016E5B" w14:textId="7C15B120" w:rsidR="00AA282D" w:rsidRPr="00FD106B" w:rsidRDefault="00000F50" w:rsidP="00AA282D">
      <w:pPr>
        <w:pStyle w:val="ListParagraph"/>
        <w:numPr>
          <w:ilvl w:val="0"/>
          <w:numId w:val="24"/>
        </w:numPr>
        <w:rPr>
          <w:lang w:val="en-GB"/>
        </w:rPr>
      </w:pPr>
      <w:r w:rsidRPr="00FD106B">
        <w:rPr>
          <w:lang w:val="en-GB"/>
        </w:rPr>
        <w:t>T</w:t>
      </w:r>
      <w:r w:rsidR="003651B3" w:rsidRPr="00FD106B">
        <w:rPr>
          <w:lang w:val="en-GB"/>
        </w:rPr>
        <w:t xml:space="preserve">hat the </w:t>
      </w:r>
      <w:proofErr w:type="spellStart"/>
      <w:r w:rsidR="003651B3" w:rsidRPr="00FD106B">
        <w:rPr>
          <w:lang w:val="en-GB"/>
        </w:rPr>
        <w:t>IFM</w:t>
      </w:r>
      <w:proofErr w:type="spellEnd"/>
      <w:r w:rsidR="003651B3" w:rsidRPr="00FD106B">
        <w:rPr>
          <w:lang w:val="en-GB"/>
        </w:rPr>
        <w:t xml:space="preserve"> has breached agreed levels of service or performance and such </w:t>
      </w:r>
      <w:r w:rsidRPr="00FD106B">
        <w:rPr>
          <w:lang w:val="en-GB"/>
        </w:rPr>
        <w:t>breach is not capable of remedy</w:t>
      </w:r>
      <w:r w:rsidR="003651B3" w:rsidRPr="00FD106B">
        <w:rPr>
          <w:lang w:val="en-GB"/>
        </w:rPr>
        <w:t>.</w:t>
      </w:r>
    </w:p>
    <w:p w14:paraId="0C8FDC55" w14:textId="63D57576" w:rsidR="00000F50" w:rsidRPr="00FD106B" w:rsidRDefault="00000F50" w:rsidP="00000F50">
      <w:pPr>
        <w:rPr>
          <w:lang w:val="en-GB"/>
        </w:rPr>
      </w:pPr>
      <w:r w:rsidRPr="00FD106B">
        <w:rPr>
          <w:lang w:val="en-GB"/>
        </w:rPr>
        <w:t xml:space="preserve">In the event that the </w:t>
      </w:r>
      <w:proofErr w:type="spellStart"/>
      <w:r w:rsidRPr="00FD106B">
        <w:rPr>
          <w:lang w:val="en-GB"/>
        </w:rPr>
        <w:t>IAP</w:t>
      </w:r>
      <w:proofErr w:type="spellEnd"/>
      <w:r w:rsidRPr="00FD106B">
        <w:rPr>
          <w:lang w:val="en-GB"/>
        </w:rPr>
        <w:t xml:space="preserve"> </w:t>
      </w:r>
      <w:r w:rsidR="00486814" w:rsidRPr="00FD106B">
        <w:rPr>
          <w:lang w:val="en-GB"/>
        </w:rPr>
        <w:t>finds a breach that is no</w:t>
      </w:r>
      <w:r w:rsidRPr="00FD106B">
        <w:rPr>
          <w:lang w:val="en-GB"/>
        </w:rPr>
        <w:t xml:space="preserve">t capable of remedy or in the event that a remediable breach is not remedied within the prescribed time frame then </w:t>
      </w:r>
      <w:r w:rsidR="005B5079" w:rsidRPr="00FD106B">
        <w:rPr>
          <w:lang w:val="en-GB"/>
        </w:rPr>
        <w:t xml:space="preserve">the </w:t>
      </w:r>
      <w:r w:rsidR="00A52F15" w:rsidRPr="00FD106B">
        <w:rPr>
          <w:lang w:val="en-GB"/>
        </w:rPr>
        <w:t>DUG</w:t>
      </w:r>
      <w:r w:rsidR="005B5079" w:rsidRPr="00FD106B">
        <w:rPr>
          <w:lang w:val="en-GB"/>
        </w:rPr>
        <w:t xml:space="preserve"> may proceed to the </w:t>
      </w:r>
      <w:r w:rsidR="00C812F7" w:rsidRPr="00FD106B">
        <w:rPr>
          <w:lang w:val="en-GB"/>
        </w:rPr>
        <w:t>‘</w:t>
      </w:r>
      <w:r w:rsidR="00C812F7">
        <w:rPr>
          <w:lang w:val="en-GB"/>
        </w:rPr>
        <w:t>Further Escalation O</w:t>
      </w:r>
      <w:r w:rsidR="00C812F7" w:rsidRPr="00FD106B">
        <w:rPr>
          <w:lang w:val="en-GB"/>
        </w:rPr>
        <w:t>ption</w:t>
      </w:r>
      <w:r w:rsidR="00C812F7">
        <w:rPr>
          <w:lang w:val="en-GB"/>
        </w:rPr>
        <w:t>s</w:t>
      </w:r>
      <w:r w:rsidR="00C812F7" w:rsidRPr="00FD106B">
        <w:rPr>
          <w:lang w:val="en-GB"/>
        </w:rPr>
        <w:t>’</w:t>
      </w:r>
      <w:r w:rsidR="005B5079" w:rsidRPr="00FD106B">
        <w:rPr>
          <w:lang w:val="en-GB"/>
        </w:rPr>
        <w:t>.</w:t>
      </w:r>
      <w:r w:rsidR="00AA282D" w:rsidRPr="00FD106B">
        <w:rPr>
          <w:lang w:val="en-GB"/>
        </w:rPr>
        <w:t xml:space="preserve"> All findings of the </w:t>
      </w:r>
      <w:proofErr w:type="spellStart"/>
      <w:r w:rsidR="00AA282D" w:rsidRPr="00FD106B">
        <w:rPr>
          <w:lang w:val="en-GB"/>
        </w:rPr>
        <w:t>IAP</w:t>
      </w:r>
      <w:proofErr w:type="spellEnd"/>
      <w:r w:rsidR="00AA282D" w:rsidRPr="00FD106B">
        <w:rPr>
          <w:lang w:val="en-GB"/>
        </w:rPr>
        <w:t xml:space="preserve"> will be published and made available</w:t>
      </w:r>
      <w:r w:rsidR="003E75B5" w:rsidRPr="00FD106B">
        <w:rPr>
          <w:lang w:val="en-GB"/>
        </w:rPr>
        <w:t xml:space="preserve"> to the stakeholder community</w:t>
      </w:r>
      <w:r w:rsidR="00AA282D" w:rsidRPr="00FD106B">
        <w:rPr>
          <w:lang w:val="en-GB"/>
        </w:rPr>
        <w:t>.</w:t>
      </w:r>
    </w:p>
    <w:p w14:paraId="274C0527" w14:textId="77777777" w:rsidR="00C06352" w:rsidRPr="00FD106B" w:rsidRDefault="00C06352" w:rsidP="00640897">
      <w:pPr>
        <w:rPr>
          <w:lang w:val="en-GB"/>
        </w:rPr>
      </w:pPr>
    </w:p>
    <w:p w14:paraId="3904D0CB" w14:textId="12133DDD" w:rsidR="00505900" w:rsidRPr="00FD106B" w:rsidRDefault="00940F33" w:rsidP="00906036">
      <w:pPr>
        <w:pStyle w:val="ListParagraph"/>
        <w:numPr>
          <w:ilvl w:val="0"/>
          <w:numId w:val="15"/>
        </w:numPr>
        <w:rPr>
          <w:rStyle w:val="Strong"/>
          <w:lang w:val="en-GB"/>
        </w:rPr>
      </w:pPr>
      <w:r w:rsidRPr="00FD106B">
        <w:rPr>
          <w:rStyle w:val="Strong"/>
          <w:lang w:val="en-GB"/>
        </w:rPr>
        <w:t xml:space="preserve">IANA Performance </w:t>
      </w:r>
      <w:r w:rsidR="00505900" w:rsidRPr="00FD106B">
        <w:rPr>
          <w:rStyle w:val="Strong"/>
          <w:lang w:val="en-GB"/>
        </w:rPr>
        <w:t>Review Team</w:t>
      </w:r>
    </w:p>
    <w:p w14:paraId="14730964" w14:textId="707E5564" w:rsidR="0077448D" w:rsidRPr="00FD106B" w:rsidRDefault="00C1202F" w:rsidP="00062578">
      <w:pPr>
        <w:rPr>
          <w:lang w:val="en-GB"/>
        </w:rPr>
      </w:pPr>
      <w:r w:rsidRPr="00FD106B">
        <w:rPr>
          <w:lang w:val="en-GB"/>
        </w:rPr>
        <w:t xml:space="preserve">The </w:t>
      </w:r>
      <w:r w:rsidR="00940F33" w:rsidRPr="00FD106B">
        <w:rPr>
          <w:lang w:val="en-GB"/>
        </w:rPr>
        <w:t>IANA Performance</w:t>
      </w:r>
      <w:r w:rsidRPr="00FD106B">
        <w:rPr>
          <w:lang w:val="en-GB"/>
        </w:rPr>
        <w:t xml:space="preserve"> Review Team (</w:t>
      </w:r>
      <w:proofErr w:type="spellStart"/>
      <w:r w:rsidR="00940F33" w:rsidRPr="00FD106B">
        <w:rPr>
          <w:lang w:val="en-GB"/>
        </w:rPr>
        <w:t>IPRT</w:t>
      </w:r>
      <w:proofErr w:type="spellEnd"/>
      <w:r w:rsidRPr="00FD106B">
        <w:rPr>
          <w:lang w:val="en-GB"/>
        </w:rPr>
        <w:t>) w</w:t>
      </w:r>
      <w:r w:rsidR="0077448D" w:rsidRPr="00FD106B">
        <w:rPr>
          <w:lang w:val="en-GB"/>
        </w:rPr>
        <w:t>ill</w:t>
      </w:r>
      <w:r w:rsidRPr="00FD106B">
        <w:rPr>
          <w:lang w:val="en-GB"/>
        </w:rPr>
        <w:t xml:space="preserve"> play a role distinct from the </w:t>
      </w:r>
      <w:r w:rsidR="00A52F15" w:rsidRPr="00FD106B">
        <w:rPr>
          <w:lang w:val="en-GB"/>
        </w:rPr>
        <w:t>DUG</w:t>
      </w:r>
      <w:r w:rsidRPr="00FD106B">
        <w:rPr>
          <w:lang w:val="en-GB"/>
        </w:rPr>
        <w:t>.</w:t>
      </w:r>
      <w:r w:rsidR="002455C7" w:rsidRPr="00FD106B">
        <w:rPr>
          <w:lang w:val="en-GB"/>
        </w:rPr>
        <w:t xml:space="preserve"> </w:t>
      </w:r>
      <w:r w:rsidR="00940F33" w:rsidRPr="00FD106B">
        <w:rPr>
          <w:lang w:val="en-GB"/>
        </w:rPr>
        <w:t>T</w:t>
      </w:r>
      <w:r w:rsidR="00C83DEB" w:rsidRPr="00FD106B">
        <w:rPr>
          <w:lang w:val="en-GB"/>
        </w:rPr>
        <w:t xml:space="preserve">he </w:t>
      </w:r>
      <w:proofErr w:type="spellStart"/>
      <w:r w:rsidR="00940F33" w:rsidRPr="00FD106B">
        <w:rPr>
          <w:lang w:val="en-GB"/>
        </w:rPr>
        <w:t>IPRT</w:t>
      </w:r>
      <w:proofErr w:type="spellEnd"/>
      <w:r w:rsidR="00940F33" w:rsidRPr="00FD106B">
        <w:rPr>
          <w:lang w:val="en-GB"/>
        </w:rPr>
        <w:t xml:space="preserve"> </w:t>
      </w:r>
      <w:r w:rsidR="0077448D" w:rsidRPr="00FD106B">
        <w:rPr>
          <w:lang w:val="en-GB"/>
        </w:rPr>
        <w:t xml:space="preserve">will </w:t>
      </w:r>
      <w:r w:rsidR="004F4178" w:rsidRPr="00FD106B">
        <w:rPr>
          <w:lang w:val="en-GB"/>
        </w:rPr>
        <w:t xml:space="preserve">engage </w:t>
      </w:r>
      <w:r w:rsidR="0077448D" w:rsidRPr="00FD106B">
        <w:rPr>
          <w:lang w:val="en-GB"/>
        </w:rPr>
        <w:t xml:space="preserve">periodically, in order to conduct significant, scheduled reviews of the performance of </w:t>
      </w:r>
      <w:proofErr w:type="spellStart"/>
      <w:r w:rsidR="0077448D" w:rsidRPr="00FD106B">
        <w:rPr>
          <w:lang w:val="en-GB"/>
        </w:rPr>
        <w:t>IANA</w:t>
      </w:r>
      <w:r w:rsidR="00F74A4F" w:rsidRPr="00FD106B">
        <w:rPr>
          <w:lang w:val="en-GB"/>
        </w:rPr>
        <w:t>'s</w:t>
      </w:r>
      <w:proofErr w:type="spellEnd"/>
      <w:r w:rsidR="00F74A4F" w:rsidRPr="00FD106B">
        <w:rPr>
          <w:lang w:val="en-GB"/>
        </w:rPr>
        <w:t xml:space="preserve"> naming</w:t>
      </w:r>
      <w:r w:rsidR="0077448D" w:rsidRPr="00FD106B">
        <w:rPr>
          <w:lang w:val="en-GB"/>
        </w:rPr>
        <w:t xml:space="preserve"> function.</w:t>
      </w:r>
      <w:r w:rsidR="00F74A4F" w:rsidRPr="00FD106B">
        <w:rPr>
          <w:lang w:val="en-GB"/>
        </w:rPr>
        <w:t xml:space="preserve"> </w:t>
      </w:r>
      <w:r w:rsidR="00F85381" w:rsidRPr="00FD106B">
        <w:rPr>
          <w:lang w:val="en-GB"/>
        </w:rPr>
        <w:t xml:space="preserve">As such, it will not be a "standing body", though will convene based upon established guidelines. </w:t>
      </w:r>
      <w:r w:rsidR="004E179E" w:rsidRPr="00FD106B">
        <w:rPr>
          <w:lang w:val="en-GB"/>
        </w:rPr>
        <w:t xml:space="preserve"> </w:t>
      </w:r>
    </w:p>
    <w:p w14:paraId="768C2CE4" w14:textId="7C6FA1E2" w:rsidR="00DD6E1A" w:rsidRPr="00FD106B" w:rsidRDefault="00614070" w:rsidP="00062578">
      <w:pPr>
        <w:rPr>
          <w:lang w:val="en-GB"/>
        </w:rPr>
      </w:pPr>
      <w:r w:rsidRPr="00FD106B">
        <w:rPr>
          <w:lang w:val="en-GB"/>
        </w:rPr>
        <w:t xml:space="preserve">Membership of the </w:t>
      </w:r>
      <w:proofErr w:type="spellStart"/>
      <w:r w:rsidR="0038425E" w:rsidRPr="00FD106B">
        <w:rPr>
          <w:lang w:val="en-GB"/>
        </w:rPr>
        <w:t>IPRT</w:t>
      </w:r>
      <w:proofErr w:type="spellEnd"/>
      <w:r w:rsidR="0038425E" w:rsidRPr="00FD106B">
        <w:rPr>
          <w:lang w:val="en-GB"/>
        </w:rPr>
        <w:t xml:space="preserve"> </w:t>
      </w:r>
      <w:r w:rsidRPr="00FD106B">
        <w:rPr>
          <w:lang w:val="en-GB"/>
        </w:rPr>
        <w:t xml:space="preserve">will be drawn from a broad cross-section of the </w:t>
      </w:r>
      <w:r w:rsidR="003202C2" w:rsidRPr="00FD106B">
        <w:rPr>
          <w:lang w:val="en-GB"/>
        </w:rPr>
        <w:t>Internet community</w:t>
      </w:r>
      <w:r w:rsidR="00F03EFE" w:rsidRPr="00FD106B">
        <w:rPr>
          <w:lang w:val="en-GB"/>
        </w:rPr>
        <w:t>.</w:t>
      </w:r>
      <w:r w:rsidR="00F85381" w:rsidRPr="00FD106B">
        <w:rPr>
          <w:lang w:val="en-GB"/>
        </w:rPr>
        <w:t xml:space="preserve"> </w:t>
      </w:r>
      <w:r w:rsidR="000F06BF" w:rsidRPr="00FD106B">
        <w:rPr>
          <w:lang w:val="en-GB"/>
        </w:rPr>
        <w:t>At a minimum t</w:t>
      </w:r>
      <w:r w:rsidR="00F85381" w:rsidRPr="00FD106B">
        <w:rPr>
          <w:lang w:val="en-GB"/>
        </w:rPr>
        <w:t xml:space="preserve">his will include representatives from all </w:t>
      </w:r>
      <w:proofErr w:type="spellStart"/>
      <w:r w:rsidR="00F85381" w:rsidRPr="00FD106B">
        <w:rPr>
          <w:lang w:val="en-GB"/>
        </w:rPr>
        <w:t>SOs</w:t>
      </w:r>
      <w:proofErr w:type="spellEnd"/>
      <w:r w:rsidR="00F85381" w:rsidRPr="00FD106B">
        <w:rPr>
          <w:lang w:val="en-GB"/>
        </w:rPr>
        <w:t xml:space="preserve"> and </w:t>
      </w:r>
      <w:proofErr w:type="spellStart"/>
      <w:r w:rsidR="00F85381" w:rsidRPr="00FD106B">
        <w:rPr>
          <w:lang w:val="en-GB"/>
        </w:rPr>
        <w:t>ACs</w:t>
      </w:r>
      <w:proofErr w:type="spellEnd"/>
      <w:r w:rsidR="00F85381" w:rsidRPr="00FD106B">
        <w:rPr>
          <w:lang w:val="en-GB"/>
        </w:rPr>
        <w:t xml:space="preserve"> and members of the technical community. As with the </w:t>
      </w:r>
      <w:r w:rsidR="00A52F15" w:rsidRPr="00FD106B">
        <w:rPr>
          <w:lang w:val="en-GB"/>
        </w:rPr>
        <w:t>DUG</w:t>
      </w:r>
      <w:r w:rsidR="00DD6E1A" w:rsidRPr="00FD106B">
        <w:rPr>
          <w:lang w:val="en-GB"/>
        </w:rPr>
        <w:t xml:space="preserve">, the </w:t>
      </w:r>
      <w:proofErr w:type="spellStart"/>
      <w:r w:rsidR="00DD6E1A" w:rsidRPr="00FD106B">
        <w:rPr>
          <w:lang w:val="en-GB"/>
        </w:rPr>
        <w:t>IPRT</w:t>
      </w:r>
      <w:proofErr w:type="spellEnd"/>
      <w:r w:rsidR="00DD6E1A" w:rsidRPr="00FD106B">
        <w:rPr>
          <w:lang w:val="en-GB"/>
        </w:rPr>
        <w:t xml:space="preserve"> must be representative, but not unwieldy. Further, direct customers must represent the majority of the team. As such, it is </w:t>
      </w:r>
      <w:r w:rsidR="00C812F7">
        <w:rPr>
          <w:lang w:val="en-GB"/>
        </w:rPr>
        <w:t>suggested that</w:t>
      </w:r>
      <w:r w:rsidR="00DD6E1A" w:rsidRPr="00FD106B">
        <w:rPr>
          <w:lang w:val="en-GB"/>
        </w:rPr>
        <w:t xml:space="preserve"> the </w:t>
      </w:r>
      <w:proofErr w:type="spellStart"/>
      <w:r w:rsidR="00DD6E1A" w:rsidRPr="00FD106B">
        <w:rPr>
          <w:lang w:val="en-GB"/>
        </w:rPr>
        <w:t>IPRT</w:t>
      </w:r>
      <w:proofErr w:type="spellEnd"/>
      <w:r w:rsidR="00DD6E1A" w:rsidRPr="00FD106B">
        <w:rPr>
          <w:lang w:val="en-GB"/>
        </w:rPr>
        <w:t xml:space="preserve"> </w:t>
      </w:r>
      <w:r w:rsidR="00C812F7">
        <w:rPr>
          <w:lang w:val="en-GB"/>
        </w:rPr>
        <w:t xml:space="preserve">could </w:t>
      </w:r>
      <w:r w:rsidR="00DD6E1A" w:rsidRPr="00FD106B">
        <w:rPr>
          <w:lang w:val="en-GB"/>
        </w:rPr>
        <w:t>be composed of 1</w:t>
      </w:r>
      <w:r w:rsidR="00EC0547" w:rsidRPr="00FD106B">
        <w:rPr>
          <w:lang w:val="en-GB"/>
        </w:rPr>
        <w:t>4</w:t>
      </w:r>
      <w:r w:rsidR="00DD6E1A" w:rsidRPr="00FD106B">
        <w:rPr>
          <w:lang w:val="en-GB"/>
        </w:rPr>
        <w:t xml:space="preserve"> members:</w:t>
      </w:r>
    </w:p>
    <w:p w14:paraId="638A8E0F" w14:textId="36CB6A40" w:rsidR="004E179E" w:rsidRPr="00FD106B" w:rsidRDefault="00EC0547" w:rsidP="000F06BF">
      <w:pPr>
        <w:pStyle w:val="ListParagraph"/>
        <w:numPr>
          <w:ilvl w:val="0"/>
          <w:numId w:val="26"/>
        </w:numPr>
        <w:rPr>
          <w:lang w:val="en-GB"/>
        </w:rPr>
      </w:pPr>
      <w:r w:rsidRPr="00FD106B">
        <w:rPr>
          <w:lang w:val="en-GB"/>
        </w:rPr>
        <w:t>8</w:t>
      </w:r>
      <w:r w:rsidR="00DD6E1A" w:rsidRPr="00FD106B">
        <w:rPr>
          <w:lang w:val="en-GB"/>
        </w:rPr>
        <w:t xml:space="preserve"> representing registry customers, </w:t>
      </w:r>
    </w:p>
    <w:p w14:paraId="01244064" w14:textId="333BE2C5" w:rsidR="00DD6E1A" w:rsidRPr="00FD106B" w:rsidRDefault="00DD6E1A" w:rsidP="000F06BF">
      <w:pPr>
        <w:pStyle w:val="ListParagraph"/>
        <w:numPr>
          <w:ilvl w:val="0"/>
          <w:numId w:val="26"/>
        </w:numPr>
        <w:rPr>
          <w:lang w:val="en-GB"/>
        </w:rPr>
      </w:pPr>
      <w:r w:rsidRPr="00FD106B">
        <w:rPr>
          <w:lang w:val="en-GB"/>
        </w:rPr>
        <w:t>1 from the GAC</w:t>
      </w:r>
    </w:p>
    <w:p w14:paraId="212F6B80" w14:textId="56B0F630" w:rsidR="00DD6E1A" w:rsidRPr="00FD106B" w:rsidRDefault="00DD6E1A" w:rsidP="000F06BF">
      <w:pPr>
        <w:pStyle w:val="ListParagraph"/>
        <w:numPr>
          <w:ilvl w:val="0"/>
          <w:numId w:val="26"/>
        </w:numPr>
        <w:rPr>
          <w:lang w:val="en-GB"/>
        </w:rPr>
      </w:pPr>
      <w:r w:rsidRPr="00FD106B">
        <w:rPr>
          <w:lang w:val="en-GB"/>
        </w:rPr>
        <w:t>1 from the ALAC</w:t>
      </w:r>
    </w:p>
    <w:p w14:paraId="6946A83C" w14:textId="687E0AA5" w:rsidR="00DD6E1A" w:rsidRPr="00FD106B" w:rsidRDefault="00DD6E1A" w:rsidP="000F06BF">
      <w:pPr>
        <w:pStyle w:val="ListParagraph"/>
        <w:numPr>
          <w:ilvl w:val="0"/>
          <w:numId w:val="26"/>
        </w:numPr>
        <w:rPr>
          <w:lang w:val="en-GB"/>
        </w:rPr>
      </w:pPr>
      <w:r w:rsidRPr="00FD106B">
        <w:rPr>
          <w:lang w:val="en-GB"/>
        </w:rPr>
        <w:t>1 from the SSAC</w:t>
      </w:r>
    </w:p>
    <w:p w14:paraId="24AEFF1F" w14:textId="4D71950F" w:rsidR="00DD6E1A" w:rsidRPr="00FD106B" w:rsidRDefault="00DD6E1A" w:rsidP="000F06BF">
      <w:pPr>
        <w:pStyle w:val="ListParagraph"/>
        <w:numPr>
          <w:ilvl w:val="0"/>
          <w:numId w:val="26"/>
        </w:numPr>
        <w:rPr>
          <w:lang w:val="en-GB"/>
        </w:rPr>
      </w:pPr>
      <w:r w:rsidRPr="00FD106B">
        <w:rPr>
          <w:lang w:val="en-GB"/>
        </w:rPr>
        <w:t xml:space="preserve">1 from the </w:t>
      </w:r>
      <w:proofErr w:type="spellStart"/>
      <w:r w:rsidRPr="00FD106B">
        <w:rPr>
          <w:lang w:val="en-GB"/>
        </w:rPr>
        <w:t>RSSAC</w:t>
      </w:r>
      <w:proofErr w:type="spellEnd"/>
    </w:p>
    <w:p w14:paraId="5A641B21" w14:textId="4397413C" w:rsidR="00DD6E1A" w:rsidRPr="00FD106B" w:rsidRDefault="00DD6E1A" w:rsidP="000F06BF">
      <w:pPr>
        <w:pStyle w:val="ListParagraph"/>
        <w:numPr>
          <w:ilvl w:val="0"/>
          <w:numId w:val="26"/>
        </w:numPr>
        <w:rPr>
          <w:lang w:val="en-GB"/>
        </w:rPr>
      </w:pPr>
      <w:r w:rsidRPr="00FD106B">
        <w:rPr>
          <w:lang w:val="en-GB"/>
        </w:rPr>
        <w:t>1 from the IETF</w:t>
      </w:r>
    </w:p>
    <w:p w14:paraId="5F4C2DEF" w14:textId="715B9F39" w:rsidR="00DD6E1A" w:rsidRPr="00FD106B" w:rsidRDefault="00DD6E1A" w:rsidP="000F06BF">
      <w:pPr>
        <w:pStyle w:val="ListParagraph"/>
        <w:numPr>
          <w:ilvl w:val="0"/>
          <w:numId w:val="26"/>
        </w:numPr>
        <w:rPr>
          <w:lang w:val="en-GB"/>
        </w:rPr>
      </w:pPr>
      <w:r w:rsidRPr="00FD106B">
        <w:rPr>
          <w:lang w:val="en-GB"/>
        </w:rPr>
        <w:t xml:space="preserve">1 "other" member, engaged to provide independent input on legal or </w:t>
      </w:r>
      <w:r w:rsidR="00074D93" w:rsidRPr="00FD106B">
        <w:rPr>
          <w:lang w:val="en-GB"/>
        </w:rPr>
        <w:t>organisational review matters.</w:t>
      </w:r>
    </w:p>
    <w:p w14:paraId="022A5B5A" w14:textId="77777777" w:rsidR="00DD6E1A" w:rsidRPr="00FD106B" w:rsidRDefault="00DD6E1A" w:rsidP="00074D93">
      <w:pPr>
        <w:pStyle w:val="ListParagraph"/>
        <w:ind w:left="765"/>
        <w:rPr>
          <w:lang w:val="en-GB"/>
        </w:rPr>
      </w:pPr>
    </w:p>
    <w:p w14:paraId="2D2E454B" w14:textId="77777777" w:rsidR="00F03EFE" w:rsidRPr="00FD106B" w:rsidRDefault="00C242A2" w:rsidP="00062578">
      <w:pPr>
        <w:rPr>
          <w:lang w:val="en-GB"/>
        </w:rPr>
      </w:pPr>
      <w:r w:rsidRPr="00FD106B">
        <w:rPr>
          <w:lang w:val="en-GB"/>
        </w:rPr>
        <w:t xml:space="preserve">The </w:t>
      </w:r>
      <w:proofErr w:type="spellStart"/>
      <w:r w:rsidR="0038425E" w:rsidRPr="00FD106B">
        <w:rPr>
          <w:lang w:val="en-GB"/>
        </w:rPr>
        <w:t>IPRT</w:t>
      </w:r>
      <w:proofErr w:type="spellEnd"/>
      <w:r w:rsidR="0038425E" w:rsidRPr="00FD106B">
        <w:rPr>
          <w:lang w:val="en-GB"/>
        </w:rPr>
        <w:t xml:space="preserve"> </w:t>
      </w:r>
      <w:r w:rsidRPr="00FD106B">
        <w:rPr>
          <w:lang w:val="en-GB"/>
        </w:rPr>
        <w:t xml:space="preserve">will perform its first review three years after the initial transition from the </w:t>
      </w:r>
      <w:proofErr w:type="spellStart"/>
      <w:r w:rsidRPr="00FD106B">
        <w:rPr>
          <w:lang w:val="en-GB"/>
        </w:rPr>
        <w:t>NTIA</w:t>
      </w:r>
      <w:proofErr w:type="spellEnd"/>
      <w:r w:rsidRPr="00FD106B">
        <w:rPr>
          <w:lang w:val="en-GB"/>
        </w:rPr>
        <w:t xml:space="preserve"> and every four years thereafter.</w:t>
      </w:r>
      <w:r w:rsidR="0036173C" w:rsidRPr="00FD106B">
        <w:rPr>
          <w:lang w:val="en-GB"/>
        </w:rPr>
        <w:t xml:space="preserve"> </w:t>
      </w:r>
    </w:p>
    <w:p w14:paraId="4C529B5B" w14:textId="399ECFE5" w:rsidR="00C242A2" w:rsidRPr="00FD106B" w:rsidRDefault="0036173C" w:rsidP="00062578">
      <w:pPr>
        <w:rPr>
          <w:lang w:val="en-GB"/>
        </w:rPr>
      </w:pPr>
      <w:r w:rsidRPr="00FD106B">
        <w:rPr>
          <w:lang w:val="en-GB"/>
        </w:rPr>
        <w:t xml:space="preserve">These reviews would </w:t>
      </w:r>
      <w:r w:rsidR="00073039" w:rsidRPr="00FD106B">
        <w:rPr>
          <w:lang w:val="en-GB"/>
        </w:rPr>
        <w:t xml:space="preserve">not </w:t>
      </w:r>
      <w:r w:rsidRPr="00FD106B">
        <w:rPr>
          <w:lang w:val="en-GB"/>
        </w:rPr>
        <w:t xml:space="preserve">address operational matters and </w:t>
      </w:r>
      <w:r w:rsidR="00955721" w:rsidRPr="00FD106B">
        <w:rPr>
          <w:lang w:val="en-GB"/>
        </w:rPr>
        <w:t>levels of service</w:t>
      </w:r>
      <w:r w:rsidR="00B028C6" w:rsidRPr="00FD106B">
        <w:rPr>
          <w:lang w:val="en-GB"/>
        </w:rPr>
        <w:t xml:space="preserve"> (as undertaken by the </w:t>
      </w:r>
      <w:r w:rsidR="00A52F15" w:rsidRPr="00FD106B">
        <w:rPr>
          <w:lang w:val="en-GB"/>
        </w:rPr>
        <w:t>DUG</w:t>
      </w:r>
      <w:r w:rsidR="00B028C6" w:rsidRPr="00FD106B">
        <w:rPr>
          <w:lang w:val="en-GB"/>
        </w:rPr>
        <w:t>)</w:t>
      </w:r>
      <w:r w:rsidRPr="00FD106B">
        <w:rPr>
          <w:lang w:val="en-GB"/>
        </w:rPr>
        <w:t xml:space="preserve">, but </w:t>
      </w:r>
      <w:r w:rsidR="00073039" w:rsidRPr="00FD106B">
        <w:rPr>
          <w:lang w:val="en-GB"/>
        </w:rPr>
        <w:t xml:space="preserve">rather </w:t>
      </w:r>
      <w:r w:rsidRPr="00FD106B">
        <w:rPr>
          <w:lang w:val="en-GB"/>
        </w:rPr>
        <w:t xml:space="preserve">broader issues such as whether due process has been followed and policy guidance from the community has been adhered to.  </w:t>
      </w:r>
      <w:r w:rsidR="00C242A2" w:rsidRPr="00FD106B">
        <w:rPr>
          <w:lang w:val="en-GB"/>
        </w:rPr>
        <w:t xml:space="preserve">Should the </w:t>
      </w:r>
      <w:proofErr w:type="spellStart"/>
      <w:r w:rsidR="0038425E" w:rsidRPr="00FD106B">
        <w:rPr>
          <w:lang w:val="en-GB"/>
        </w:rPr>
        <w:t>IPRT</w:t>
      </w:r>
      <w:proofErr w:type="spellEnd"/>
      <w:r w:rsidR="0038425E" w:rsidRPr="00FD106B">
        <w:rPr>
          <w:lang w:val="en-GB"/>
        </w:rPr>
        <w:t xml:space="preserve"> </w:t>
      </w:r>
      <w:r w:rsidR="00C242A2" w:rsidRPr="00FD106B">
        <w:rPr>
          <w:lang w:val="en-GB"/>
        </w:rPr>
        <w:t xml:space="preserve">find that problems do exist in the </w:t>
      </w:r>
      <w:r w:rsidR="003D6C0B" w:rsidRPr="00FD106B">
        <w:rPr>
          <w:lang w:val="en-GB"/>
        </w:rPr>
        <w:t xml:space="preserve">relationship between the </w:t>
      </w:r>
      <w:r w:rsidR="00A52F15" w:rsidRPr="00FD106B">
        <w:rPr>
          <w:lang w:val="en-GB"/>
        </w:rPr>
        <w:t>DUG</w:t>
      </w:r>
      <w:r w:rsidR="003D6C0B" w:rsidRPr="00FD106B">
        <w:rPr>
          <w:lang w:val="en-GB"/>
        </w:rPr>
        <w:t xml:space="preserve"> and IANA functions operator, the review team will direct appropriate remedial actions.</w:t>
      </w:r>
    </w:p>
    <w:p w14:paraId="28FCB744" w14:textId="59E0AD9B" w:rsidR="001143DD" w:rsidRPr="00A12A2E" w:rsidRDefault="00A12A2E" w:rsidP="00F254A4">
      <w:pPr>
        <w:pStyle w:val="ListParagraph"/>
        <w:numPr>
          <w:ilvl w:val="0"/>
          <w:numId w:val="15"/>
        </w:numPr>
        <w:rPr>
          <w:rStyle w:val="Strong"/>
          <w:b w:val="0"/>
          <w:lang w:val="en-GB"/>
        </w:rPr>
      </w:pPr>
      <w:r w:rsidRPr="00A12A2E">
        <w:rPr>
          <w:b/>
          <w:lang w:val="en-GB"/>
        </w:rPr>
        <w:t>Further Escalation Options</w:t>
      </w:r>
    </w:p>
    <w:p w14:paraId="67AE59B8" w14:textId="1C9A53B1" w:rsidR="00555572" w:rsidRPr="00FD106B" w:rsidRDefault="0068124D" w:rsidP="004E3A6D">
      <w:pPr>
        <w:rPr>
          <w:bCs/>
          <w:lang w:val="en-GB"/>
        </w:rPr>
      </w:pPr>
      <w:r w:rsidRPr="00FD106B">
        <w:rPr>
          <w:bCs/>
          <w:lang w:val="en-GB"/>
        </w:rPr>
        <w:t xml:space="preserve">The escalation plans outlined in the above proposal require </w:t>
      </w:r>
      <w:r w:rsidR="00DC45AB" w:rsidRPr="00FD106B">
        <w:rPr>
          <w:bCs/>
          <w:lang w:val="en-GB"/>
        </w:rPr>
        <w:t>an</w:t>
      </w:r>
      <w:r w:rsidRPr="00FD106B">
        <w:rPr>
          <w:bCs/>
          <w:lang w:val="en-GB"/>
        </w:rPr>
        <w:t xml:space="preserve"> assurance that powers invested in the </w:t>
      </w:r>
      <w:r w:rsidR="00A52F15" w:rsidRPr="00FD106B">
        <w:rPr>
          <w:bCs/>
          <w:lang w:val="en-GB"/>
        </w:rPr>
        <w:t>DUG</w:t>
      </w:r>
      <w:r w:rsidRPr="00FD106B">
        <w:rPr>
          <w:bCs/>
          <w:lang w:val="en-GB"/>
        </w:rPr>
        <w:t xml:space="preserve"> and </w:t>
      </w:r>
      <w:proofErr w:type="spellStart"/>
      <w:r w:rsidRPr="00FD106B">
        <w:rPr>
          <w:bCs/>
          <w:lang w:val="en-GB"/>
        </w:rPr>
        <w:t>SOs</w:t>
      </w:r>
      <w:proofErr w:type="spellEnd"/>
      <w:r w:rsidRPr="00FD106B">
        <w:rPr>
          <w:bCs/>
          <w:lang w:val="en-GB"/>
        </w:rPr>
        <w:t xml:space="preserve"> and </w:t>
      </w:r>
      <w:proofErr w:type="spellStart"/>
      <w:r w:rsidRPr="00FD106B">
        <w:rPr>
          <w:bCs/>
          <w:lang w:val="en-GB"/>
        </w:rPr>
        <w:t>ACs</w:t>
      </w:r>
      <w:proofErr w:type="spellEnd"/>
      <w:r w:rsidR="00FF1B00" w:rsidRPr="00FD106B">
        <w:rPr>
          <w:bCs/>
          <w:lang w:val="en-GB"/>
        </w:rPr>
        <w:t>,</w:t>
      </w:r>
      <w:r w:rsidRPr="00FD106B">
        <w:rPr>
          <w:bCs/>
          <w:lang w:val="en-GB"/>
        </w:rPr>
        <w:t xml:space="preserve"> </w:t>
      </w:r>
      <w:r w:rsidR="00FF1B00" w:rsidRPr="00FD106B">
        <w:rPr>
          <w:bCs/>
          <w:lang w:val="en-GB"/>
        </w:rPr>
        <w:t xml:space="preserve">cannot be overturned or rejected by the ICANN Board. </w:t>
      </w:r>
    </w:p>
    <w:p w14:paraId="4438BB83" w14:textId="30F60278" w:rsidR="007E1765" w:rsidRPr="00FD106B" w:rsidRDefault="00FF1B00" w:rsidP="004E3A6D">
      <w:pPr>
        <w:rPr>
          <w:bCs/>
          <w:lang w:val="en-GB"/>
        </w:rPr>
      </w:pPr>
      <w:r w:rsidRPr="00FD106B">
        <w:rPr>
          <w:bCs/>
          <w:lang w:val="en-GB"/>
        </w:rPr>
        <w:lastRenderedPageBreak/>
        <w:t>A variety of mechanisms</w:t>
      </w:r>
      <w:r w:rsidR="001849CF" w:rsidRPr="00FD106B">
        <w:rPr>
          <w:bCs/>
          <w:lang w:val="en-GB"/>
        </w:rPr>
        <w:t xml:space="preserve"> that could provide this assurance</w:t>
      </w:r>
      <w:r w:rsidRPr="00FD106B">
        <w:rPr>
          <w:bCs/>
          <w:lang w:val="en-GB"/>
        </w:rPr>
        <w:t xml:space="preserve"> are currently under consideration by th</w:t>
      </w:r>
      <w:r w:rsidR="001849CF" w:rsidRPr="00FD106B">
        <w:rPr>
          <w:bCs/>
          <w:lang w:val="en-GB"/>
        </w:rPr>
        <w:t xml:space="preserve">e community. These include </w:t>
      </w:r>
      <w:r w:rsidR="00F44BE9" w:rsidRPr="00FD106B">
        <w:rPr>
          <w:bCs/>
          <w:lang w:val="en-GB"/>
        </w:rPr>
        <w:t xml:space="preserve">the ability to move the IANA function away from ICANN </w:t>
      </w:r>
      <w:r w:rsidR="000F08DC" w:rsidRPr="00FD106B">
        <w:rPr>
          <w:bCs/>
          <w:lang w:val="en-GB"/>
        </w:rPr>
        <w:t xml:space="preserve">through the establishment of </w:t>
      </w:r>
      <w:r w:rsidR="001849CF" w:rsidRPr="00FD106B">
        <w:rPr>
          <w:bCs/>
          <w:lang w:val="en-GB"/>
        </w:rPr>
        <w:t xml:space="preserve">external structures such as </w:t>
      </w:r>
      <w:r w:rsidR="00454798" w:rsidRPr="00FD106B">
        <w:rPr>
          <w:bCs/>
          <w:lang w:val="en-GB"/>
        </w:rPr>
        <w:t>a “Contract Co”</w:t>
      </w:r>
      <w:r w:rsidR="000F08DC" w:rsidRPr="00FD106B">
        <w:rPr>
          <w:bCs/>
          <w:lang w:val="en-GB"/>
        </w:rPr>
        <w:t xml:space="preserve"> or</w:t>
      </w:r>
      <w:r w:rsidR="00F44BE9" w:rsidRPr="00FD106B">
        <w:rPr>
          <w:bCs/>
          <w:lang w:val="en-GB"/>
        </w:rPr>
        <w:t xml:space="preserve"> </w:t>
      </w:r>
      <w:r w:rsidR="00454798" w:rsidRPr="00FD106B">
        <w:rPr>
          <w:bCs/>
          <w:lang w:val="en-GB"/>
        </w:rPr>
        <w:t>internal solutions such as a “Golden Bylaw” amendment</w:t>
      </w:r>
      <w:r w:rsidR="00F44BE9" w:rsidRPr="00FD106B">
        <w:rPr>
          <w:bCs/>
          <w:lang w:val="en-GB"/>
        </w:rPr>
        <w:t xml:space="preserve"> and</w:t>
      </w:r>
      <w:r w:rsidR="000F08DC" w:rsidRPr="00FD106B">
        <w:rPr>
          <w:bCs/>
          <w:lang w:val="en-GB"/>
        </w:rPr>
        <w:t>,</w:t>
      </w:r>
      <w:r w:rsidR="00F44BE9" w:rsidRPr="00FD106B">
        <w:rPr>
          <w:bCs/>
          <w:lang w:val="en-GB"/>
        </w:rPr>
        <w:t xml:space="preserve"> internal ICANN</w:t>
      </w:r>
      <w:r w:rsidR="00555572" w:rsidRPr="00FD106B">
        <w:rPr>
          <w:bCs/>
          <w:lang w:val="en-GB"/>
        </w:rPr>
        <w:t xml:space="preserve"> based accountability mechanisms such a spilling the ICANN Board.</w:t>
      </w:r>
    </w:p>
    <w:p w14:paraId="76401B99" w14:textId="1EC2D2B6" w:rsidR="00291B38" w:rsidRPr="00FD106B" w:rsidRDefault="00454798" w:rsidP="004E3A6D">
      <w:pPr>
        <w:rPr>
          <w:bCs/>
          <w:lang w:val="en-GB"/>
        </w:rPr>
      </w:pPr>
      <w:r w:rsidRPr="00FD106B">
        <w:rPr>
          <w:bCs/>
          <w:lang w:val="en-GB"/>
        </w:rPr>
        <w:t xml:space="preserve">This document does not explicitly </w:t>
      </w:r>
      <w:r w:rsidR="007E1765" w:rsidRPr="00FD106B">
        <w:rPr>
          <w:bCs/>
          <w:lang w:val="en-GB"/>
        </w:rPr>
        <w:t xml:space="preserve">propose a preferred mechanism, nor </w:t>
      </w:r>
      <w:r w:rsidR="001D0692" w:rsidRPr="00FD106B">
        <w:rPr>
          <w:bCs/>
          <w:lang w:val="en-GB"/>
        </w:rPr>
        <w:t xml:space="preserve">does it </w:t>
      </w:r>
      <w:r w:rsidRPr="00FD106B">
        <w:rPr>
          <w:bCs/>
          <w:lang w:val="en-GB"/>
        </w:rPr>
        <w:t>address the relative values</w:t>
      </w:r>
      <w:r w:rsidR="007E1765" w:rsidRPr="00FD106B">
        <w:rPr>
          <w:bCs/>
          <w:lang w:val="en-GB"/>
        </w:rPr>
        <w:t xml:space="preserve"> or limitations</w:t>
      </w:r>
      <w:r w:rsidRPr="00FD106B">
        <w:rPr>
          <w:bCs/>
          <w:lang w:val="en-GB"/>
        </w:rPr>
        <w:t xml:space="preserve"> of</w:t>
      </w:r>
      <w:r w:rsidR="007E1765" w:rsidRPr="00FD106B">
        <w:rPr>
          <w:bCs/>
          <w:lang w:val="en-GB"/>
        </w:rPr>
        <w:t xml:space="preserve"> each model</w:t>
      </w:r>
      <w:r w:rsidR="001D0692" w:rsidRPr="00FD106B">
        <w:rPr>
          <w:bCs/>
          <w:lang w:val="en-GB"/>
        </w:rPr>
        <w:t xml:space="preserve"> or </w:t>
      </w:r>
      <w:r w:rsidR="00291B38" w:rsidRPr="00FD106B">
        <w:rPr>
          <w:bCs/>
          <w:lang w:val="en-GB"/>
        </w:rPr>
        <w:t>whether any of the proposed models would meet the security and stability requirements set o</w:t>
      </w:r>
      <w:r w:rsidR="001D0692" w:rsidRPr="00FD106B">
        <w:rPr>
          <w:bCs/>
          <w:lang w:val="en-GB"/>
        </w:rPr>
        <w:t>ut</w:t>
      </w:r>
      <w:r w:rsidR="00291B38" w:rsidRPr="00FD106B">
        <w:rPr>
          <w:bCs/>
          <w:lang w:val="en-GB"/>
        </w:rPr>
        <w:t xml:space="preserve"> by </w:t>
      </w:r>
      <w:proofErr w:type="spellStart"/>
      <w:r w:rsidR="00291B38" w:rsidRPr="00FD106B">
        <w:rPr>
          <w:bCs/>
          <w:lang w:val="en-GB"/>
        </w:rPr>
        <w:t>NTIA</w:t>
      </w:r>
      <w:proofErr w:type="spellEnd"/>
      <w:r w:rsidR="000F08DC" w:rsidRPr="00FD106B">
        <w:rPr>
          <w:bCs/>
          <w:lang w:val="en-GB"/>
        </w:rPr>
        <w:t xml:space="preserve"> or address the concerns expressed by the US Congress.</w:t>
      </w:r>
    </w:p>
    <w:p w14:paraId="14863831" w14:textId="376C9852" w:rsidR="00454798" w:rsidRPr="00FD106B" w:rsidRDefault="007E1765" w:rsidP="004E3A6D">
      <w:pPr>
        <w:rPr>
          <w:bCs/>
          <w:lang w:val="en-GB"/>
        </w:rPr>
      </w:pPr>
      <w:r w:rsidRPr="00FD106B">
        <w:rPr>
          <w:bCs/>
          <w:lang w:val="en-GB"/>
        </w:rPr>
        <w:t xml:space="preserve">The utility and applicability of </w:t>
      </w:r>
      <w:r w:rsidR="00C13467" w:rsidRPr="00FD106B">
        <w:rPr>
          <w:bCs/>
          <w:lang w:val="en-GB"/>
        </w:rPr>
        <w:t xml:space="preserve">some </w:t>
      </w:r>
      <w:r w:rsidRPr="00FD106B">
        <w:rPr>
          <w:bCs/>
          <w:lang w:val="en-GB"/>
        </w:rPr>
        <w:t xml:space="preserve">alternatives </w:t>
      </w:r>
      <w:r w:rsidR="00DC45AB" w:rsidRPr="00FD106B">
        <w:rPr>
          <w:bCs/>
          <w:lang w:val="en-GB"/>
        </w:rPr>
        <w:t>is</w:t>
      </w:r>
      <w:r w:rsidRPr="00FD106B">
        <w:rPr>
          <w:bCs/>
          <w:lang w:val="en-GB"/>
        </w:rPr>
        <w:t xml:space="preserve"> currently the subject of independent legal advice, which is expected in the near future. </w:t>
      </w:r>
    </w:p>
    <w:p w14:paraId="7A547124" w14:textId="77777777" w:rsidR="001F418F" w:rsidRPr="00FD106B" w:rsidRDefault="00054B2F" w:rsidP="001F418F">
      <w:pPr>
        <w:rPr>
          <w:lang w:val="en-GB"/>
        </w:rPr>
      </w:pPr>
      <w:r w:rsidRPr="00FD106B">
        <w:rPr>
          <w:bCs/>
          <w:lang w:val="en-GB"/>
        </w:rPr>
        <w:t xml:space="preserve"> </w:t>
      </w:r>
      <w:r w:rsidR="007259A7" w:rsidRPr="00FD106B">
        <w:rPr>
          <w:bCs/>
          <w:lang w:val="en-GB"/>
        </w:rPr>
        <w:t xml:space="preserve">   </w:t>
      </w:r>
      <w:r w:rsidR="00F57C96" w:rsidRPr="00FD106B">
        <w:rPr>
          <w:lang w:val="en-GB"/>
        </w:rPr>
        <w:t xml:space="preserve"> </w:t>
      </w:r>
      <w:r w:rsidR="001F418F" w:rsidRPr="00FD106B">
        <w:rPr>
          <w:lang w:val="en-GB"/>
        </w:rPr>
        <w:t xml:space="preserve"> </w:t>
      </w:r>
    </w:p>
    <w:sectPr w:rsidR="001F418F" w:rsidRPr="00FD10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33537" w14:textId="77777777" w:rsidR="00C812F7" w:rsidRDefault="00C812F7" w:rsidP="00117381">
      <w:pPr>
        <w:spacing w:after="0" w:line="240" w:lineRule="auto"/>
      </w:pPr>
      <w:r>
        <w:separator/>
      </w:r>
    </w:p>
  </w:endnote>
  <w:endnote w:type="continuationSeparator" w:id="0">
    <w:p w14:paraId="73394C3F" w14:textId="77777777" w:rsidR="00C812F7" w:rsidRDefault="00C812F7" w:rsidP="00117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DB0B3C" w14:textId="77777777" w:rsidR="00C812F7" w:rsidRDefault="00C812F7" w:rsidP="00117381">
      <w:pPr>
        <w:spacing w:after="0" w:line="240" w:lineRule="auto"/>
      </w:pPr>
      <w:r>
        <w:separator/>
      </w:r>
    </w:p>
  </w:footnote>
  <w:footnote w:type="continuationSeparator" w:id="0">
    <w:p w14:paraId="02CE14E5" w14:textId="77777777" w:rsidR="00C812F7" w:rsidRDefault="00C812F7" w:rsidP="00117381">
      <w:pPr>
        <w:spacing w:after="0" w:line="240" w:lineRule="auto"/>
      </w:pPr>
      <w:r>
        <w:continuationSeparator/>
      </w:r>
    </w:p>
  </w:footnote>
  <w:footnote w:id="1">
    <w:p w14:paraId="34C6F9F4" w14:textId="254EF83E" w:rsidR="00C812F7" w:rsidRDefault="00C812F7" w:rsidP="00036F0E">
      <w:pPr>
        <w:pStyle w:val="FootnoteText"/>
      </w:pPr>
      <w:r>
        <w:rPr>
          <w:rStyle w:val="FootnoteReference"/>
        </w:rPr>
        <w:footnoteRef/>
      </w:r>
      <w:r>
        <w:t xml:space="preserve"> Part 1: https://www.icann.org/en/about/agreements/iana/contract-i-1-31may12-en.pdf</w:t>
      </w:r>
    </w:p>
    <w:p w14:paraId="506FCDCC" w14:textId="77777777" w:rsidR="00C812F7" w:rsidRDefault="00C812F7" w:rsidP="001346D8">
      <w:pPr>
        <w:pStyle w:val="FootnoteText"/>
      </w:pPr>
      <w:r>
        <w:t xml:space="preserve">Part 2: https://www.icann.org/en/about/agreements/iana/contract-i-2-redacted-31may12-en.pdf </w:t>
      </w:r>
    </w:p>
    <w:p w14:paraId="7337D1AC" w14:textId="6C36E1E0" w:rsidR="00C812F7" w:rsidRDefault="00C812F7" w:rsidP="001346D8">
      <w:pPr>
        <w:pStyle w:val="FootnoteText"/>
      </w:pPr>
      <w:r>
        <w:t>Part 3: https://www.icann.org/en/about/agreements/iana/contract-i-3-redacted-31may12-en.pdf</w:t>
      </w:r>
    </w:p>
  </w:footnote>
  <w:footnote w:id="2">
    <w:p w14:paraId="429C70FE" w14:textId="57925EE2" w:rsidR="00C812F7" w:rsidRDefault="00C812F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346D8">
        <w:t>http://www.iana.org/performance</w:t>
      </w:r>
    </w:p>
  </w:footnote>
  <w:footnote w:id="3">
    <w:p w14:paraId="0BDF14D7" w14:textId="6E5C32B6" w:rsidR="00C812F7" w:rsidRDefault="00C812F7">
      <w:pPr>
        <w:pStyle w:val="FootnoteText"/>
      </w:pPr>
      <w:r>
        <w:rPr>
          <w:rStyle w:val="FootnoteReference"/>
        </w:rPr>
        <w:footnoteRef/>
      </w:r>
      <w:r>
        <w:t xml:space="preserve"> The concept of a "DUG" is similar to the "Customer Service Committee" outlined in other proposals and discussions.</w:t>
      </w:r>
    </w:p>
  </w:footnote>
  <w:footnote w:id="4">
    <w:p w14:paraId="7FC5180F" w14:textId="4F9DE702" w:rsidR="00C812F7" w:rsidRDefault="00C812F7">
      <w:pPr>
        <w:pStyle w:val="FootnoteText"/>
      </w:pPr>
      <w:r>
        <w:rPr>
          <w:rStyle w:val="FootnoteReference"/>
        </w:rPr>
        <w:footnoteRef/>
      </w:r>
      <w:r>
        <w:t xml:space="preserve"> Note that the </w:t>
      </w:r>
      <w:proofErr w:type="spellStart"/>
      <w:r>
        <w:t>IFM</w:t>
      </w:r>
      <w:proofErr w:type="spellEnd"/>
      <w:r>
        <w:t xml:space="preserve"> already publishes monthly reports and a Working Group is already investigating this issue further.</w:t>
      </w:r>
    </w:p>
  </w:footnote>
  <w:footnote w:id="5">
    <w:p w14:paraId="7596FB39" w14:textId="3C8716DE" w:rsidR="00C812F7" w:rsidRDefault="00C812F7">
      <w:pPr>
        <w:pStyle w:val="FootnoteText"/>
      </w:pPr>
      <w:r>
        <w:rPr>
          <w:rStyle w:val="FootnoteReference"/>
        </w:rPr>
        <w:footnoteRef/>
      </w:r>
      <w:r>
        <w:t xml:space="preserve"> Such an agreement to be voluntarily bound by an appeals process in essential, given most </w:t>
      </w:r>
      <w:proofErr w:type="spellStart"/>
      <w:r>
        <w:t>ccTLDs</w:t>
      </w:r>
      <w:proofErr w:type="spellEnd"/>
      <w:r>
        <w:t xml:space="preserve"> do not have a contractual agreement with </w:t>
      </w:r>
      <w:proofErr w:type="spellStart"/>
      <w:r>
        <w:t>ICANN</w:t>
      </w:r>
      <w:proofErr w:type="spellEnd"/>
      <w:r>
        <w:t>/</w:t>
      </w:r>
      <w:proofErr w:type="spellStart"/>
      <w:r>
        <w:t>IANA</w:t>
      </w:r>
      <w:proofErr w:type="spellEnd"/>
      <w:r>
        <w:t>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D3ECC"/>
    <w:multiLevelType w:val="hybridMultilevel"/>
    <w:tmpl w:val="91FCFD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95D60"/>
    <w:multiLevelType w:val="hybridMultilevel"/>
    <w:tmpl w:val="E54C0FE2"/>
    <w:lvl w:ilvl="0" w:tplc="3B3CC3F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F818B8"/>
    <w:multiLevelType w:val="hybridMultilevel"/>
    <w:tmpl w:val="554228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3D08C3"/>
    <w:multiLevelType w:val="hybridMultilevel"/>
    <w:tmpl w:val="554228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22498"/>
    <w:multiLevelType w:val="hybridMultilevel"/>
    <w:tmpl w:val="F5148322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167399"/>
    <w:multiLevelType w:val="hybridMultilevel"/>
    <w:tmpl w:val="17603E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F46D39"/>
    <w:multiLevelType w:val="hybridMultilevel"/>
    <w:tmpl w:val="554228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F5319F"/>
    <w:multiLevelType w:val="hybridMultilevel"/>
    <w:tmpl w:val="8FD45F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9B1972"/>
    <w:multiLevelType w:val="hybridMultilevel"/>
    <w:tmpl w:val="C53643F4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>
    <w:nsid w:val="37475E2E"/>
    <w:multiLevelType w:val="multilevel"/>
    <w:tmpl w:val="CD247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AF183E"/>
    <w:multiLevelType w:val="hybridMultilevel"/>
    <w:tmpl w:val="5C34D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5D3421"/>
    <w:multiLevelType w:val="hybridMultilevel"/>
    <w:tmpl w:val="94086C7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236409"/>
    <w:multiLevelType w:val="hybridMultilevel"/>
    <w:tmpl w:val="8FD45F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5C021D"/>
    <w:multiLevelType w:val="hybridMultilevel"/>
    <w:tmpl w:val="65B08CD0"/>
    <w:lvl w:ilvl="0" w:tplc="1C2C280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8C3202"/>
    <w:multiLevelType w:val="hybridMultilevel"/>
    <w:tmpl w:val="DCBCA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DD6C56"/>
    <w:multiLevelType w:val="hybridMultilevel"/>
    <w:tmpl w:val="0212A612"/>
    <w:lvl w:ilvl="0" w:tplc="3B3CC3F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D3344F"/>
    <w:multiLevelType w:val="hybridMultilevel"/>
    <w:tmpl w:val="04384456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>
    <w:nsid w:val="624A6F4E"/>
    <w:multiLevelType w:val="hybridMultilevel"/>
    <w:tmpl w:val="AA480F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AF0A16"/>
    <w:multiLevelType w:val="hybridMultilevel"/>
    <w:tmpl w:val="47D4E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82166D"/>
    <w:multiLevelType w:val="hybridMultilevel"/>
    <w:tmpl w:val="10E444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A757FF"/>
    <w:multiLevelType w:val="hybridMultilevel"/>
    <w:tmpl w:val="F51A737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091C76"/>
    <w:multiLevelType w:val="hybridMultilevel"/>
    <w:tmpl w:val="02409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CE7277"/>
    <w:multiLevelType w:val="hybridMultilevel"/>
    <w:tmpl w:val="3A24F0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E94B57"/>
    <w:multiLevelType w:val="hybridMultilevel"/>
    <w:tmpl w:val="044AC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DB7AA9"/>
    <w:multiLevelType w:val="hybridMultilevel"/>
    <w:tmpl w:val="554228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33584C"/>
    <w:multiLevelType w:val="hybridMultilevel"/>
    <w:tmpl w:val="07606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22"/>
  </w:num>
  <w:num w:numId="4">
    <w:abstractNumId w:val="0"/>
  </w:num>
  <w:num w:numId="5">
    <w:abstractNumId w:val="5"/>
  </w:num>
  <w:num w:numId="6">
    <w:abstractNumId w:val="23"/>
  </w:num>
  <w:num w:numId="7">
    <w:abstractNumId w:val="12"/>
  </w:num>
  <w:num w:numId="8">
    <w:abstractNumId w:val="11"/>
  </w:num>
  <w:num w:numId="9">
    <w:abstractNumId w:val="17"/>
  </w:num>
  <w:num w:numId="10">
    <w:abstractNumId w:val="8"/>
  </w:num>
  <w:num w:numId="11">
    <w:abstractNumId w:val="7"/>
  </w:num>
  <w:num w:numId="12">
    <w:abstractNumId w:val="14"/>
  </w:num>
  <w:num w:numId="13">
    <w:abstractNumId w:val="21"/>
  </w:num>
  <w:num w:numId="14">
    <w:abstractNumId w:val="18"/>
  </w:num>
  <w:num w:numId="15">
    <w:abstractNumId w:val="1"/>
  </w:num>
  <w:num w:numId="16">
    <w:abstractNumId w:val="15"/>
  </w:num>
  <w:num w:numId="17">
    <w:abstractNumId w:val="4"/>
  </w:num>
  <w:num w:numId="18">
    <w:abstractNumId w:val="13"/>
  </w:num>
  <w:num w:numId="19">
    <w:abstractNumId w:val="25"/>
  </w:num>
  <w:num w:numId="20">
    <w:abstractNumId w:val="2"/>
  </w:num>
  <w:num w:numId="21">
    <w:abstractNumId w:val="24"/>
  </w:num>
  <w:num w:numId="22">
    <w:abstractNumId w:val="6"/>
  </w:num>
  <w:num w:numId="23">
    <w:abstractNumId w:val="20"/>
  </w:num>
  <w:num w:numId="24">
    <w:abstractNumId w:val="10"/>
  </w:num>
  <w:num w:numId="25">
    <w:abstractNumId w:val="3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CC8"/>
    <w:rsid w:val="0000083C"/>
    <w:rsid w:val="00000F50"/>
    <w:rsid w:val="00006AA9"/>
    <w:rsid w:val="00011EF6"/>
    <w:rsid w:val="000141DF"/>
    <w:rsid w:val="00017097"/>
    <w:rsid w:val="00017F16"/>
    <w:rsid w:val="000239B1"/>
    <w:rsid w:val="00025292"/>
    <w:rsid w:val="0003096D"/>
    <w:rsid w:val="00036D88"/>
    <w:rsid w:val="00036F0E"/>
    <w:rsid w:val="000379C4"/>
    <w:rsid w:val="00041AC4"/>
    <w:rsid w:val="000505EB"/>
    <w:rsid w:val="000527CB"/>
    <w:rsid w:val="00054B2F"/>
    <w:rsid w:val="00057579"/>
    <w:rsid w:val="00057A21"/>
    <w:rsid w:val="00060790"/>
    <w:rsid w:val="00062578"/>
    <w:rsid w:val="000626F3"/>
    <w:rsid w:val="000673C0"/>
    <w:rsid w:val="00073039"/>
    <w:rsid w:val="00073825"/>
    <w:rsid w:val="00074D93"/>
    <w:rsid w:val="00077F22"/>
    <w:rsid w:val="00080068"/>
    <w:rsid w:val="00082C5F"/>
    <w:rsid w:val="00094384"/>
    <w:rsid w:val="0009593E"/>
    <w:rsid w:val="000C1B05"/>
    <w:rsid w:val="000C70CC"/>
    <w:rsid w:val="000C79AD"/>
    <w:rsid w:val="000D12B4"/>
    <w:rsid w:val="000D25DF"/>
    <w:rsid w:val="000D43A0"/>
    <w:rsid w:val="000D6BD1"/>
    <w:rsid w:val="000E29D6"/>
    <w:rsid w:val="000E3680"/>
    <w:rsid w:val="000F0427"/>
    <w:rsid w:val="000F06BF"/>
    <w:rsid w:val="000F08DC"/>
    <w:rsid w:val="000F0AA6"/>
    <w:rsid w:val="000F61DE"/>
    <w:rsid w:val="000F751F"/>
    <w:rsid w:val="00100C61"/>
    <w:rsid w:val="00105299"/>
    <w:rsid w:val="001133F6"/>
    <w:rsid w:val="001143DD"/>
    <w:rsid w:val="00117381"/>
    <w:rsid w:val="00124A95"/>
    <w:rsid w:val="00125BD4"/>
    <w:rsid w:val="001346D8"/>
    <w:rsid w:val="00145A81"/>
    <w:rsid w:val="0017353B"/>
    <w:rsid w:val="00175950"/>
    <w:rsid w:val="00177EFF"/>
    <w:rsid w:val="001849CF"/>
    <w:rsid w:val="001863F1"/>
    <w:rsid w:val="00192091"/>
    <w:rsid w:val="001933E6"/>
    <w:rsid w:val="00196E3B"/>
    <w:rsid w:val="001A0722"/>
    <w:rsid w:val="001A1035"/>
    <w:rsid w:val="001A6329"/>
    <w:rsid w:val="001B2407"/>
    <w:rsid w:val="001B326C"/>
    <w:rsid w:val="001D0692"/>
    <w:rsid w:val="001D3FB9"/>
    <w:rsid w:val="001F418F"/>
    <w:rsid w:val="00200F8F"/>
    <w:rsid w:val="00202E03"/>
    <w:rsid w:val="002040DE"/>
    <w:rsid w:val="00204F23"/>
    <w:rsid w:val="002067F5"/>
    <w:rsid w:val="00206B3B"/>
    <w:rsid w:val="002135AD"/>
    <w:rsid w:val="00213A1F"/>
    <w:rsid w:val="00220E00"/>
    <w:rsid w:val="00224C26"/>
    <w:rsid w:val="00225B71"/>
    <w:rsid w:val="00226D77"/>
    <w:rsid w:val="00227340"/>
    <w:rsid w:val="00227CA6"/>
    <w:rsid w:val="002343DB"/>
    <w:rsid w:val="00240899"/>
    <w:rsid w:val="0024146C"/>
    <w:rsid w:val="002455C7"/>
    <w:rsid w:val="00247140"/>
    <w:rsid w:val="0025130B"/>
    <w:rsid w:val="0025342F"/>
    <w:rsid w:val="00262B8B"/>
    <w:rsid w:val="002656B8"/>
    <w:rsid w:val="0027672F"/>
    <w:rsid w:val="00291B38"/>
    <w:rsid w:val="002933F8"/>
    <w:rsid w:val="002A4370"/>
    <w:rsid w:val="002B6A74"/>
    <w:rsid w:val="002D1572"/>
    <w:rsid w:val="002E119C"/>
    <w:rsid w:val="002E1D1C"/>
    <w:rsid w:val="002E310C"/>
    <w:rsid w:val="002E5C2A"/>
    <w:rsid w:val="002F6A08"/>
    <w:rsid w:val="00314CBC"/>
    <w:rsid w:val="00314CD2"/>
    <w:rsid w:val="003202C2"/>
    <w:rsid w:val="00320796"/>
    <w:rsid w:val="00326438"/>
    <w:rsid w:val="00327867"/>
    <w:rsid w:val="00347C8A"/>
    <w:rsid w:val="0036173C"/>
    <w:rsid w:val="003651B3"/>
    <w:rsid w:val="003719A8"/>
    <w:rsid w:val="00374E8E"/>
    <w:rsid w:val="003777AD"/>
    <w:rsid w:val="0038166B"/>
    <w:rsid w:val="0038425E"/>
    <w:rsid w:val="00391E72"/>
    <w:rsid w:val="00391E77"/>
    <w:rsid w:val="003A58D3"/>
    <w:rsid w:val="003C4975"/>
    <w:rsid w:val="003C73C2"/>
    <w:rsid w:val="003D003D"/>
    <w:rsid w:val="003D6C0B"/>
    <w:rsid w:val="003E2D39"/>
    <w:rsid w:val="003E75B5"/>
    <w:rsid w:val="003F0555"/>
    <w:rsid w:val="003F4696"/>
    <w:rsid w:val="0040463A"/>
    <w:rsid w:val="00405A80"/>
    <w:rsid w:val="0040745A"/>
    <w:rsid w:val="00415B38"/>
    <w:rsid w:val="004206F3"/>
    <w:rsid w:val="00424D04"/>
    <w:rsid w:val="004319E8"/>
    <w:rsid w:val="004333F2"/>
    <w:rsid w:val="00436C5D"/>
    <w:rsid w:val="00442D78"/>
    <w:rsid w:val="00451E3A"/>
    <w:rsid w:val="00454798"/>
    <w:rsid w:val="00460C23"/>
    <w:rsid w:val="00467EFB"/>
    <w:rsid w:val="004726B3"/>
    <w:rsid w:val="004777EF"/>
    <w:rsid w:val="00477FB1"/>
    <w:rsid w:val="004819F0"/>
    <w:rsid w:val="00486814"/>
    <w:rsid w:val="004B049A"/>
    <w:rsid w:val="004B3283"/>
    <w:rsid w:val="004C3F27"/>
    <w:rsid w:val="004D3264"/>
    <w:rsid w:val="004E179E"/>
    <w:rsid w:val="004E3A6D"/>
    <w:rsid w:val="004F1244"/>
    <w:rsid w:val="004F4178"/>
    <w:rsid w:val="004F50E4"/>
    <w:rsid w:val="00502254"/>
    <w:rsid w:val="00505900"/>
    <w:rsid w:val="005118A8"/>
    <w:rsid w:val="00513630"/>
    <w:rsid w:val="00523F78"/>
    <w:rsid w:val="00524C9A"/>
    <w:rsid w:val="0053150F"/>
    <w:rsid w:val="0053527E"/>
    <w:rsid w:val="005533E0"/>
    <w:rsid w:val="00554C20"/>
    <w:rsid w:val="00555572"/>
    <w:rsid w:val="005664A2"/>
    <w:rsid w:val="00566DB6"/>
    <w:rsid w:val="00567331"/>
    <w:rsid w:val="00576397"/>
    <w:rsid w:val="00577A34"/>
    <w:rsid w:val="0058133A"/>
    <w:rsid w:val="0058471C"/>
    <w:rsid w:val="00587CC8"/>
    <w:rsid w:val="00592974"/>
    <w:rsid w:val="005A134F"/>
    <w:rsid w:val="005B1A1F"/>
    <w:rsid w:val="005B394C"/>
    <w:rsid w:val="005B5079"/>
    <w:rsid w:val="005B6B25"/>
    <w:rsid w:val="005C0898"/>
    <w:rsid w:val="005C0DDE"/>
    <w:rsid w:val="005C6901"/>
    <w:rsid w:val="005D469E"/>
    <w:rsid w:val="005D5041"/>
    <w:rsid w:val="005E3228"/>
    <w:rsid w:val="005E4A2A"/>
    <w:rsid w:val="005F016F"/>
    <w:rsid w:val="00605F1C"/>
    <w:rsid w:val="00614070"/>
    <w:rsid w:val="00615538"/>
    <w:rsid w:val="006174B9"/>
    <w:rsid w:val="00640897"/>
    <w:rsid w:val="006473CD"/>
    <w:rsid w:val="00647DD5"/>
    <w:rsid w:val="00654964"/>
    <w:rsid w:val="00655319"/>
    <w:rsid w:val="00656C4E"/>
    <w:rsid w:val="006625BA"/>
    <w:rsid w:val="0067027C"/>
    <w:rsid w:val="0068124D"/>
    <w:rsid w:val="006A59C7"/>
    <w:rsid w:val="006B03CC"/>
    <w:rsid w:val="006B4722"/>
    <w:rsid w:val="006C2DD9"/>
    <w:rsid w:val="006D40BD"/>
    <w:rsid w:val="006E5016"/>
    <w:rsid w:val="006E7E1C"/>
    <w:rsid w:val="00707B78"/>
    <w:rsid w:val="007259A7"/>
    <w:rsid w:val="00726FE5"/>
    <w:rsid w:val="00734617"/>
    <w:rsid w:val="00745414"/>
    <w:rsid w:val="00752F76"/>
    <w:rsid w:val="0075484B"/>
    <w:rsid w:val="007636EF"/>
    <w:rsid w:val="00763AFF"/>
    <w:rsid w:val="00774145"/>
    <w:rsid w:val="0077448D"/>
    <w:rsid w:val="007964DE"/>
    <w:rsid w:val="0079666B"/>
    <w:rsid w:val="007B5841"/>
    <w:rsid w:val="007B731E"/>
    <w:rsid w:val="007D0E99"/>
    <w:rsid w:val="007D7F06"/>
    <w:rsid w:val="007E1765"/>
    <w:rsid w:val="007E2BC9"/>
    <w:rsid w:val="00820EE3"/>
    <w:rsid w:val="008237E5"/>
    <w:rsid w:val="00827AA3"/>
    <w:rsid w:val="0084337C"/>
    <w:rsid w:val="00861FF6"/>
    <w:rsid w:val="00864319"/>
    <w:rsid w:val="00865E7E"/>
    <w:rsid w:val="008717C8"/>
    <w:rsid w:val="00872C3D"/>
    <w:rsid w:val="008757BD"/>
    <w:rsid w:val="0088425B"/>
    <w:rsid w:val="00887973"/>
    <w:rsid w:val="008955B2"/>
    <w:rsid w:val="00897E0D"/>
    <w:rsid w:val="008A1E7B"/>
    <w:rsid w:val="008A22AD"/>
    <w:rsid w:val="008B4FE4"/>
    <w:rsid w:val="008B59F5"/>
    <w:rsid w:val="008C40B8"/>
    <w:rsid w:val="008E6D00"/>
    <w:rsid w:val="008E7D42"/>
    <w:rsid w:val="0090059D"/>
    <w:rsid w:val="00904946"/>
    <w:rsid w:val="00906036"/>
    <w:rsid w:val="00906B2B"/>
    <w:rsid w:val="009234DF"/>
    <w:rsid w:val="00932E1C"/>
    <w:rsid w:val="00937F6D"/>
    <w:rsid w:val="00940ACD"/>
    <w:rsid w:val="00940F33"/>
    <w:rsid w:val="0094118C"/>
    <w:rsid w:val="00943A1C"/>
    <w:rsid w:val="00955721"/>
    <w:rsid w:val="00973FE6"/>
    <w:rsid w:val="00975D65"/>
    <w:rsid w:val="00976F05"/>
    <w:rsid w:val="0098323B"/>
    <w:rsid w:val="009914CA"/>
    <w:rsid w:val="00992D6A"/>
    <w:rsid w:val="009A77F0"/>
    <w:rsid w:val="009B49B8"/>
    <w:rsid w:val="009B720A"/>
    <w:rsid w:val="009B7D4A"/>
    <w:rsid w:val="009C2797"/>
    <w:rsid w:val="009C4B0F"/>
    <w:rsid w:val="009C55B5"/>
    <w:rsid w:val="009D7425"/>
    <w:rsid w:val="009E11B7"/>
    <w:rsid w:val="009F1FD6"/>
    <w:rsid w:val="00A06324"/>
    <w:rsid w:val="00A11EA0"/>
    <w:rsid w:val="00A12A2E"/>
    <w:rsid w:val="00A213DF"/>
    <w:rsid w:val="00A2551B"/>
    <w:rsid w:val="00A30353"/>
    <w:rsid w:val="00A365F4"/>
    <w:rsid w:val="00A41E1A"/>
    <w:rsid w:val="00A46726"/>
    <w:rsid w:val="00A52F15"/>
    <w:rsid w:val="00A54A3B"/>
    <w:rsid w:val="00A5717E"/>
    <w:rsid w:val="00A6596C"/>
    <w:rsid w:val="00A67347"/>
    <w:rsid w:val="00A860AC"/>
    <w:rsid w:val="00A9585B"/>
    <w:rsid w:val="00AA02BE"/>
    <w:rsid w:val="00AA282D"/>
    <w:rsid w:val="00AA62A5"/>
    <w:rsid w:val="00AC29EC"/>
    <w:rsid w:val="00AC3D83"/>
    <w:rsid w:val="00AE09F6"/>
    <w:rsid w:val="00AE3984"/>
    <w:rsid w:val="00AE60B3"/>
    <w:rsid w:val="00AF118B"/>
    <w:rsid w:val="00AF7D1C"/>
    <w:rsid w:val="00B01690"/>
    <w:rsid w:val="00B01FAF"/>
    <w:rsid w:val="00B028C6"/>
    <w:rsid w:val="00B028D4"/>
    <w:rsid w:val="00B068E6"/>
    <w:rsid w:val="00B1212E"/>
    <w:rsid w:val="00B2170D"/>
    <w:rsid w:val="00B24C6A"/>
    <w:rsid w:val="00B410FB"/>
    <w:rsid w:val="00B5778A"/>
    <w:rsid w:val="00B63A49"/>
    <w:rsid w:val="00B7260E"/>
    <w:rsid w:val="00B84510"/>
    <w:rsid w:val="00B85D27"/>
    <w:rsid w:val="00BA5F48"/>
    <w:rsid w:val="00BB5328"/>
    <w:rsid w:val="00BB5DA9"/>
    <w:rsid w:val="00BE1C8D"/>
    <w:rsid w:val="00BE2706"/>
    <w:rsid w:val="00BF2F5C"/>
    <w:rsid w:val="00C023E8"/>
    <w:rsid w:val="00C03B5B"/>
    <w:rsid w:val="00C06352"/>
    <w:rsid w:val="00C1202F"/>
    <w:rsid w:val="00C1218F"/>
    <w:rsid w:val="00C13467"/>
    <w:rsid w:val="00C165F1"/>
    <w:rsid w:val="00C22BCD"/>
    <w:rsid w:val="00C242A2"/>
    <w:rsid w:val="00C24FA7"/>
    <w:rsid w:val="00C25270"/>
    <w:rsid w:val="00C30151"/>
    <w:rsid w:val="00C323E2"/>
    <w:rsid w:val="00C355E1"/>
    <w:rsid w:val="00C41EC4"/>
    <w:rsid w:val="00C47B84"/>
    <w:rsid w:val="00C6245A"/>
    <w:rsid w:val="00C63A66"/>
    <w:rsid w:val="00C70C47"/>
    <w:rsid w:val="00C812F7"/>
    <w:rsid w:val="00C83DEB"/>
    <w:rsid w:val="00C878A8"/>
    <w:rsid w:val="00C90798"/>
    <w:rsid w:val="00C94E14"/>
    <w:rsid w:val="00C97AD5"/>
    <w:rsid w:val="00CA4426"/>
    <w:rsid w:val="00CB0532"/>
    <w:rsid w:val="00CB4627"/>
    <w:rsid w:val="00CB5BA5"/>
    <w:rsid w:val="00CB62FE"/>
    <w:rsid w:val="00CB71A3"/>
    <w:rsid w:val="00CC2726"/>
    <w:rsid w:val="00CC44AD"/>
    <w:rsid w:val="00CE5F6F"/>
    <w:rsid w:val="00CF2A32"/>
    <w:rsid w:val="00CF40AC"/>
    <w:rsid w:val="00D0232F"/>
    <w:rsid w:val="00D15AA2"/>
    <w:rsid w:val="00D2093E"/>
    <w:rsid w:val="00D30FA0"/>
    <w:rsid w:val="00D318C7"/>
    <w:rsid w:val="00D37E2D"/>
    <w:rsid w:val="00D40D0F"/>
    <w:rsid w:val="00D4614D"/>
    <w:rsid w:val="00D52492"/>
    <w:rsid w:val="00D604DD"/>
    <w:rsid w:val="00D72788"/>
    <w:rsid w:val="00D72F1C"/>
    <w:rsid w:val="00D73511"/>
    <w:rsid w:val="00D77426"/>
    <w:rsid w:val="00D830B7"/>
    <w:rsid w:val="00D878B8"/>
    <w:rsid w:val="00D87E87"/>
    <w:rsid w:val="00D91517"/>
    <w:rsid w:val="00D95C69"/>
    <w:rsid w:val="00D96E07"/>
    <w:rsid w:val="00DB12CB"/>
    <w:rsid w:val="00DC2B20"/>
    <w:rsid w:val="00DC45AB"/>
    <w:rsid w:val="00DC6B14"/>
    <w:rsid w:val="00DD5193"/>
    <w:rsid w:val="00DD6E1A"/>
    <w:rsid w:val="00DE0716"/>
    <w:rsid w:val="00DE79BD"/>
    <w:rsid w:val="00E01F9C"/>
    <w:rsid w:val="00E02889"/>
    <w:rsid w:val="00E068AD"/>
    <w:rsid w:val="00E13795"/>
    <w:rsid w:val="00E208EA"/>
    <w:rsid w:val="00E43513"/>
    <w:rsid w:val="00E54E25"/>
    <w:rsid w:val="00E610D6"/>
    <w:rsid w:val="00E90C2A"/>
    <w:rsid w:val="00E92774"/>
    <w:rsid w:val="00E94B60"/>
    <w:rsid w:val="00EA0B77"/>
    <w:rsid w:val="00EA2402"/>
    <w:rsid w:val="00EA3C08"/>
    <w:rsid w:val="00EA40E0"/>
    <w:rsid w:val="00EB58FE"/>
    <w:rsid w:val="00EC0547"/>
    <w:rsid w:val="00EC0DD5"/>
    <w:rsid w:val="00ED14EC"/>
    <w:rsid w:val="00EE17C9"/>
    <w:rsid w:val="00EE38F9"/>
    <w:rsid w:val="00EF32EE"/>
    <w:rsid w:val="00EF5262"/>
    <w:rsid w:val="00EF5700"/>
    <w:rsid w:val="00F00CEA"/>
    <w:rsid w:val="00F03EFE"/>
    <w:rsid w:val="00F106E7"/>
    <w:rsid w:val="00F11622"/>
    <w:rsid w:val="00F21AE8"/>
    <w:rsid w:val="00F22938"/>
    <w:rsid w:val="00F2519D"/>
    <w:rsid w:val="00F254A4"/>
    <w:rsid w:val="00F341DE"/>
    <w:rsid w:val="00F44B44"/>
    <w:rsid w:val="00F44BE9"/>
    <w:rsid w:val="00F45D1C"/>
    <w:rsid w:val="00F54647"/>
    <w:rsid w:val="00F54841"/>
    <w:rsid w:val="00F57C96"/>
    <w:rsid w:val="00F74A4F"/>
    <w:rsid w:val="00F85381"/>
    <w:rsid w:val="00F858B3"/>
    <w:rsid w:val="00F949F6"/>
    <w:rsid w:val="00FA46E9"/>
    <w:rsid w:val="00FA6CE5"/>
    <w:rsid w:val="00FB5EEE"/>
    <w:rsid w:val="00FB60AA"/>
    <w:rsid w:val="00FC6027"/>
    <w:rsid w:val="00FD106B"/>
    <w:rsid w:val="00FF0D1F"/>
    <w:rsid w:val="00FF1B00"/>
    <w:rsid w:val="00FF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45B6E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17381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1738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1738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11738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1738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62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7B7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B7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07B7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7B78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7B7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7B7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7B7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5531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17381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1738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1738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11738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1738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62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7B7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B7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07B7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7B78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7B7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7B7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7B7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553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8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3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D786A-72D8-604B-ABD2-F19543236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1967</Words>
  <Characters>11216</Characters>
  <Application>Microsoft Macintosh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PSZ</dc:creator>
  <cp:keywords/>
  <dc:description/>
  <cp:lastModifiedBy>Chris Disspain</cp:lastModifiedBy>
  <cp:revision>4</cp:revision>
  <cp:lastPrinted>2015-03-10T05:13:00Z</cp:lastPrinted>
  <dcterms:created xsi:type="dcterms:W3CDTF">2015-03-18T08:18:00Z</dcterms:created>
  <dcterms:modified xsi:type="dcterms:W3CDTF">2015-03-18T11:55:00Z</dcterms:modified>
</cp:coreProperties>
</file>