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fontTable.xml" ContentType="application/vnd.openxmlformats-officedocument.wordprocessingml.fontTable+xml"/>
  <Override PartName="/word/comments.xml" ContentType="application/vnd.openxmlformats-officedocument.wordprocessingml.comments+xml"/>
  <Override PartName="/word/settings.xml" ContentType="application/vnd.openxmlformats-officedocument.wordprocessingml.setting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word/footer2.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tbl>
      <w:tblPr>
        <w:jc w:val="left"/>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72" w:type="dxa"/>
          <w:left w:w="115" w:type="dxa"/>
          <w:bottom w:w="72" w:type="dxa"/>
          <w:right w:w="115" w:type="dxa"/>
        </w:tblCellMar>
      </w:tblPr>
      <w:tblGrid>
        <w:gridCol w:w="3804"/>
        <w:gridCol w:w="5940"/>
        <w:gridCol w:w="4887"/>
      </w:tblGrid>
      <w:tr>
        <w:trPr>
          <w:tblHeader w:val="true"/>
          <w:cantSplit w:val="false"/>
        </w:trPr>
        <w:tc>
          <w:tcPr>
            <w:tcW w:w="380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8EAADB" w:val="clear"/>
            <w:tcMar>
              <w:left w:w="115" w:type="dxa"/>
            </w:tcMar>
          </w:tcPr>
          <w:p>
            <w:pPr>
              <w:pStyle w:val="Normal"/>
              <w:jc w:val="center"/>
              <w:rPr>
                <w:rFonts w:cs="Arial" w:ascii="Arial" w:hAnsi="Arial"/>
                <w:b/>
                <w:sz w:val="22"/>
              </w:rPr>
            </w:pPr>
            <w:r>
              <w:rPr>
                <w:rFonts w:cs="Arial" w:ascii="Arial" w:hAnsi="Arial"/>
                <w:b/>
                <w:sz w:val="22"/>
              </w:rPr>
              <w:t>Section/Concept</w:t>
            </w:r>
          </w:p>
        </w:tc>
        <w:tc>
          <w:tcPr>
            <w:tcW w:w="594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8EAADB" w:val="clear"/>
            <w:tcMar>
              <w:left w:w="115" w:type="dxa"/>
            </w:tcMar>
          </w:tcPr>
          <w:p>
            <w:pPr>
              <w:pStyle w:val="Normal"/>
              <w:jc w:val="center"/>
              <w:rPr>
                <w:rFonts w:cs="Arial" w:ascii="Arial" w:hAnsi="Arial"/>
                <w:b/>
                <w:sz w:val="22"/>
              </w:rPr>
            </w:pPr>
            <w:r>
              <w:rPr>
                <w:rFonts w:cs="Arial" w:ascii="Arial" w:hAnsi="Arial"/>
                <w:b/>
                <w:sz w:val="22"/>
              </w:rPr>
              <w:t>Sidley Supplemental Comment</w:t>
            </w:r>
          </w:p>
        </w:tc>
        <w:tc>
          <w:tcPr>
            <w:tcW w:w="488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8EAADB" w:val="clear"/>
            <w:tcMar>
              <w:left w:w="115" w:type="dxa"/>
            </w:tcMar>
          </w:tcPr>
          <w:p>
            <w:pPr>
              <w:pStyle w:val="Normal"/>
              <w:jc w:val="center"/>
              <w:rPr>
                <w:rFonts w:cs="Arial" w:ascii="Arial" w:hAnsi="Arial"/>
                <w:b/>
                <w:sz w:val="22"/>
              </w:rPr>
            </w:pPr>
            <w:r>
              <w:rPr>
                <w:rFonts w:cs="Arial" w:ascii="Arial" w:hAnsi="Arial"/>
                <w:b/>
                <w:sz w:val="22"/>
              </w:rPr>
              <w:t>Response/Resolution</w:t>
            </w:r>
          </w:p>
        </w:tc>
      </w:tr>
      <w:tr>
        <w:trPr>
          <w:cantSplit w:val="false"/>
        </w:trPr>
        <w:tc>
          <w:tcPr>
            <w:tcW w:w="380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15" w:type="dxa"/>
            </w:tcMar>
          </w:tcPr>
          <w:p>
            <w:pPr>
              <w:pStyle w:val="Normal"/>
              <w:rPr>
                <w:rFonts w:cs="Arial" w:ascii="Arial" w:hAnsi="Arial"/>
                <w:sz w:val="20"/>
                <w:szCs w:val="20"/>
              </w:rPr>
            </w:pPr>
            <w:r>
              <w:rPr>
                <w:rFonts w:cs="Arial" w:ascii="Arial" w:hAnsi="Arial"/>
                <w:sz w:val="20"/>
                <w:szCs w:val="20"/>
              </w:rPr>
              <w:t>Parties to the Community Agreement</w:t>
            </w:r>
          </w:p>
        </w:tc>
        <w:tc>
          <w:tcPr>
            <w:tcW w:w="594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15" w:type="dxa"/>
            </w:tcMar>
          </w:tcPr>
          <w:p>
            <w:pPr>
              <w:pStyle w:val="Normal"/>
              <w:rPr>
                <w:rFonts w:cs="Arial" w:ascii="Arial" w:hAnsi="Arial"/>
                <w:sz w:val="20"/>
                <w:szCs w:val="20"/>
              </w:rPr>
            </w:pPr>
            <w:r>
              <w:rPr>
                <w:rFonts w:cs="Arial" w:ascii="Arial" w:hAnsi="Arial"/>
                <w:sz w:val="20"/>
                <w:szCs w:val="20"/>
              </w:rPr>
              <w:t>Footnote 7, page 2: Each Operational Community will need to determine the appropriate legal entity to be the counterparty in the Community Agreement.</w:t>
            </w:r>
          </w:p>
          <w:p>
            <w:pPr>
              <w:pStyle w:val="Normal"/>
              <w:rPr>
                <w:rFonts w:cs="Arial" w:ascii="Arial" w:hAnsi="Arial"/>
                <w:sz w:val="20"/>
                <w:szCs w:val="20"/>
              </w:rPr>
            </w:pPr>
            <w:r>
              <w:rPr>
                <w:rFonts w:cs="Arial" w:ascii="Arial" w:hAnsi="Arial"/>
                <w:sz w:val="20"/>
                <w:szCs w:val="20"/>
              </w:rPr>
            </w:r>
          </w:p>
          <w:p>
            <w:pPr>
              <w:pStyle w:val="Normal"/>
              <w:rPr>
                <w:rFonts w:cs="Arial" w:ascii="Arial" w:hAnsi="Arial"/>
                <w:sz w:val="20"/>
                <w:szCs w:val="20"/>
              </w:rPr>
            </w:pPr>
            <w:r>
              <w:rPr>
                <w:rFonts w:cs="Arial" w:ascii="Arial" w:hAnsi="Arial"/>
                <w:sz w:val="20"/>
                <w:szCs w:val="20"/>
              </w:rPr>
              <w:t>W e are told there may already be appropriate legal entities for protocol parameters (ISOC on behalf of IETF) and numbers (</w:t>
            </w:r>
            <w:commentRangeStart w:id="0"/>
            <w:r>
              <w:rPr>
                <w:rFonts w:cs="Arial" w:ascii="Arial" w:hAnsi="Arial"/>
                <w:sz w:val="20"/>
                <w:szCs w:val="20"/>
              </w:rPr>
              <w:t>NRO on behalf of the RIRs, or the RIRs themselves</w:t>
            </w:r>
            <w:commentRangeEnd w:id="0"/>
            <w:r>
              <w:rPr>
                <w:rFonts w:cs="Arial" w:ascii="Arial" w:hAnsi="Arial"/>
                <w:sz w:val="20"/>
                <w:szCs w:val="20"/>
              </w:rPr>
            </w:r>
            <w:r>
              <w:rPr>
                <w:rFonts w:cs="Arial" w:ascii="Arial" w:hAnsi="Arial"/>
                <w:sz w:val="20"/>
                <w:szCs w:val="20"/>
              </w:rPr>
              <w:commentReference w:id="0"/>
            </w:r>
            <w:r>
              <w:rPr>
                <w:rFonts w:cs="Arial" w:ascii="Arial" w:hAnsi="Arial"/>
                <w:sz w:val="20"/>
                <w:szCs w:val="20"/>
              </w:rPr>
              <w:t>)).</w:t>
            </w:r>
          </w:p>
          <w:p>
            <w:pPr>
              <w:pStyle w:val="Normal"/>
              <w:rPr>
                <w:rFonts w:cs="Arial" w:ascii="Arial" w:hAnsi="Arial"/>
                <w:sz w:val="20"/>
                <w:szCs w:val="20"/>
              </w:rPr>
            </w:pPr>
            <w:r>
              <w:rPr>
                <w:rFonts w:cs="Arial" w:ascii="Arial" w:hAnsi="Arial"/>
                <w:sz w:val="20"/>
                <w:szCs w:val="20"/>
              </w:rPr>
            </w:r>
          </w:p>
          <w:p>
            <w:pPr>
              <w:pStyle w:val="Normal"/>
              <w:rPr>
                <w:rFonts w:cs="Arial" w:ascii="Arial" w:hAnsi="Arial"/>
                <w:sz w:val="20"/>
                <w:szCs w:val="20"/>
              </w:rPr>
            </w:pPr>
            <w:r>
              <w:rPr>
                <w:rFonts w:cs="Arial" w:ascii="Arial" w:hAnsi="Arial"/>
                <w:sz w:val="20"/>
                <w:szCs w:val="20"/>
              </w:rPr>
              <w:t xml:space="preserve">Accordingly, CWG will need to determine what entity would enter into the Community Agreement on behalf of the names community.  </w:t>
            </w:r>
          </w:p>
        </w:tc>
        <w:tc>
          <w:tcPr>
            <w:tcW w:w="488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15" w:type="dxa"/>
            </w:tcMar>
          </w:tcPr>
          <w:p>
            <w:pPr>
              <w:pStyle w:val="Normal"/>
              <w:rPr>
                <w:rFonts w:cs="Arial" w:ascii="Arial" w:hAnsi="Arial"/>
                <w:sz w:val="20"/>
                <w:szCs w:val="20"/>
              </w:rPr>
            </w:pPr>
            <w:r>
              <w:rPr>
                <w:rFonts w:cs="Arial" w:ascii="Arial" w:hAnsi="Arial"/>
                <w:b/>
                <w:sz w:val="20"/>
                <w:szCs w:val="20"/>
              </w:rPr>
              <w:t>Action Item for CWG:</w:t>
            </w:r>
            <w:r>
              <w:rPr>
                <w:rFonts w:cs="Arial" w:ascii="Arial" w:hAnsi="Arial"/>
                <w:sz w:val="20"/>
                <w:szCs w:val="20"/>
              </w:rPr>
              <w:t xml:space="preserve"> Determine what entity would enter into the </w:t>
            </w:r>
            <w:commentRangeStart w:id="1"/>
            <w:r>
              <w:rPr>
                <w:rFonts w:cs="Arial" w:ascii="Arial" w:hAnsi="Arial"/>
                <w:sz w:val="20"/>
                <w:szCs w:val="20"/>
              </w:rPr>
              <w:t>Community Agreement on behalf of the names community</w:t>
            </w:r>
            <w:commentRangeEnd w:id="1"/>
            <w:r>
              <w:rPr>
                <w:rFonts w:cs="Arial" w:ascii="Arial" w:hAnsi="Arial"/>
                <w:sz w:val="20"/>
                <w:szCs w:val="20"/>
              </w:rPr>
            </w:r>
            <w:r>
              <w:rPr>
                <w:rFonts w:cs="Arial" w:ascii="Arial" w:hAnsi="Arial"/>
                <w:sz w:val="20"/>
                <w:szCs w:val="20"/>
              </w:rPr>
              <w:commentReference w:id="1"/>
            </w:r>
            <w:r>
              <w:rPr>
                <w:rFonts w:cs="Arial" w:ascii="Arial" w:hAnsi="Arial"/>
                <w:sz w:val="20"/>
                <w:szCs w:val="20"/>
              </w:rPr>
              <w:t>.  Alternatives include:</w:t>
            </w:r>
          </w:p>
          <w:p>
            <w:pPr>
              <w:pStyle w:val="Normal"/>
              <w:rPr>
                <w:rFonts w:cs="Arial" w:ascii="Arial" w:hAnsi="Arial"/>
                <w:sz w:val="20"/>
                <w:szCs w:val="20"/>
              </w:rPr>
            </w:pPr>
            <w:r>
              <w:rPr>
                <w:rFonts w:cs="Arial" w:ascii="Arial" w:hAnsi="Arial"/>
                <w:sz w:val="20"/>
                <w:szCs w:val="20"/>
              </w:rPr>
            </w:r>
          </w:p>
          <w:p>
            <w:pPr>
              <w:pStyle w:val="Normal"/>
              <w:rPr>
                <w:rFonts w:cs="Arial" w:ascii="Arial" w:hAnsi="Arial"/>
                <w:sz w:val="20"/>
                <w:szCs w:val="20"/>
              </w:rPr>
            </w:pPr>
            <w:r>
              <w:rPr>
                <w:rFonts w:cs="Arial" w:ascii="Arial" w:hAnsi="Arial"/>
                <w:sz w:val="20"/>
                <w:szCs w:val="20"/>
              </w:rPr>
              <w:t>1. ICANN</w:t>
            </w:r>
          </w:p>
          <w:p>
            <w:pPr>
              <w:pStyle w:val="Normal"/>
              <w:rPr>
                <w:rFonts w:cs="Arial" w:ascii="Arial" w:hAnsi="Arial"/>
                <w:sz w:val="20"/>
                <w:szCs w:val="20"/>
              </w:rPr>
            </w:pPr>
            <w:r>
              <w:rPr>
                <w:rFonts w:cs="Arial" w:ascii="Arial" w:hAnsi="Arial"/>
                <w:sz w:val="20"/>
                <w:szCs w:val="20"/>
              </w:rPr>
              <w:t>2. Empowered Community entity</w:t>
            </w:r>
          </w:p>
          <w:p>
            <w:pPr>
              <w:pStyle w:val="Normal"/>
              <w:rPr>
                <w:rFonts w:cs="Arial" w:ascii="Arial" w:hAnsi="Arial"/>
                <w:sz w:val="20"/>
                <w:szCs w:val="20"/>
              </w:rPr>
            </w:pPr>
            <w:r>
              <w:rPr>
                <w:rFonts w:cs="Arial" w:ascii="Arial" w:hAnsi="Arial"/>
                <w:sz w:val="20"/>
                <w:szCs w:val="20"/>
              </w:rPr>
              <w:t>3. An entity to be formed for this purpose</w:t>
            </w:r>
          </w:p>
          <w:p>
            <w:pPr>
              <w:pStyle w:val="Normal"/>
              <w:rPr>
                <w:rFonts w:cs="Arial" w:ascii="Arial" w:hAnsi="Arial"/>
                <w:sz w:val="20"/>
                <w:szCs w:val="20"/>
              </w:rPr>
            </w:pPr>
            <w:r>
              <w:rPr>
                <w:rFonts w:cs="Arial" w:ascii="Arial" w:hAnsi="Arial"/>
                <w:sz w:val="20"/>
                <w:szCs w:val="20"/>
              </w:rPr>
              <w:t xml:space="preserve">4. Other suggestions?  </w:t>
            </w:r>
          </w:p>
        </w:tc>
      </w:tr>
      <w:tr>
        <w:trPr>
          <w:cantSplit w:val="false"/>
        </w:trPr>
        <w:tc>
          <w:tcPr>
            <w:tcW w:w="380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15" w:type="dxa"/>
            </w:tcMar>
          </w:tcPr>
          <w:p>
            <w:pPr>
              <w:pStyle w:val="Normal"/>
              <w:rPr>
                <w:rFonts w:cs="Arial" w:ascii="Arial" w:hAnsi="Arial"/>
                <w:sz w:val="20"/>
                <w:szCs w:val="20"/>
              </w:rPr>
            </w:pPr>
            <w:r>
              <w:rPr>
                <w:rFonts w:cs="Arial" w:ascii="Arial" w:hAnsi="Arial"/>
                <w:sz w:val="20"/>
                <w:szCs w:val="20"/>
              </w:rPr>
              <w:t xml:space="preserve">C.1.b.ii: “The Trust shall arrange sufficient funds to ensure renewal [of a domain name] is successful” </w:t>
            </w:r>
          </w:p>
        </w:tc>
        <w:tc>
          <w:tcPr>
            <w:tcW w:w="594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15" w:type="dxa"/>
            </w:tcMar>
          </w:tcPr>
          <w:p>
            <w:pPr>
              <w:pStyle w:val="Normal"/>
              <w:rPr>
                <w:rFonts w:cs="Arial" w:ascii="Arial" w:hAnsi="Arial"/>
                <w:sz w:val="20"/>
                <w:szCs w:val="20"/>
              </w:rPr>
            </w:pPr>
            <w:r>
              <w:rPr>
                <w:rFonts w:cs="Arial" w:ascii="Arial" w:hAnsi="Arial"/>
                <w:sz w:val="20"/>
                <w:szCs w:val="20"/>
              </w:rPr>
              <w:t xml:space="preserve">We are told the IETF Trust does not intend to be compensated for its activity here.  If that is the case, the agreements should specify who will pay for </w:t>
            </w:r>
            <w:commentRangeStart w:id="2"/>
            <w:r>
              <w:rPr>
                <w:rFonts w:cs="Arial" w:ascii="Arial" w:hAnsi="Arial"/>
                <w:sz w:val="20"/>
                <w:szCs w:val="20"/>
              </w:rPr>
              <w:t>ongoing registration, maintenance, enforcement and defense of IPR</w:t>
            </w:r>
            <w:commentRangeEnd w:id="2"/>
            <w:r>
              <w:rPr>
                <w:rFonts w:cs="Arial" w:ascii="Arial" w:hAnsi="Arial"/>
                <w:sz w:val="20"/>
                <w:szCs w:val="20"/>
              </w:rPr>
            </w:r>
            <w:r>
              <w:rPr>
                <w:rFonts w:cs="Arial" w:ascii="Arial" w:hAnsi="Arial"/>
                <w:sz w:val="20"/>
                <w:szCs w:val="20"/>
              </w:rPr>
              <w:commentReference w:id="2"/>
            </w:r>
            <w:r>
              <w:rPr>
                <w:rFonts w:cs="Arial" w:ascii="Arial" w:hAnsi="Arial"/>
                <w:sz w:val="20"/>
                <w:szCs w:val="20"/>
              </w:rPr>
              <w:t>.  One suggestion would be to have this be the responsibility of the licensee (e.g. ICANN).</w:t>
            </w:r>
          </w:p>
        </w:tc>
        <w:tc>
          <w:tcPr>
            <w:tcW w:w="488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15" w:type="dxa"/>
            </w:tcMar>
          </w:tcPr>
          <w:p>
            <w:pPr>
              <w:pStyle w:val="Normal"/>
              <w:rPr>
                <w:rFonts w:cs="Arial" w:ascii="Arial" w:hAnsi="Arial"/>
                <w:b/>
                <w:sz w:val="20"/>
                <w:szCs w:val="20"/>
              </w:rPr>
            </w:pPr>
            <w:r>
              <w:rPr>
                <w:rFonts w:cs="Arial" w:ascii="Arial" w:hAnsi="Arial"/>
                <w:b/>
                <w:sz w:val="20"/>
                <w:szCs w:val="20"/>
              </w:rPr>
              <w:t xml:space="preserve">Action Item for CWG: </w:t>
            </w:r>
          </w:p>
          <w:p>
            <w:pPr>
              <w:pStyle w:val="Normal"/>
              <w:rPr>
                <w:rFonts w:cs="Arial" w:ascii="Arial" w:hAnsi="Arial"/>
                <w:sz w:val="20"/>
                <w:szCs w:val="20"/>
              </w:rPr>
            </w:pPr>
            <w:r>
              <w:rPr>
                <w:rFonts w:cs="Arial" w:ascii="Arial" w:hAnsi="Arial"/>
                <w:sz w:val="20"/>
                <w:szCs w:val="20"/>
              </w:rPr>
              <w:t>1.</w:t>
            </w:r>
            <w:r>
              <w:rPr>
                <w:rFonts w:cs="Arial" w:ascii="Arial" w:hAnsi="Arial"/>
                <w:b/>
                <w:sz w:val="20"/>
                <w:szCs w:val="20"/>
              </w:rPr>
              <w:t xml:space="preserve">  </w:t>
            </w:r>
            <w:r>
              <w:rPr>
                <w:rFonts w:cs="Arial" w:ascii="Arial" w:hAnsi="Arial"/>
                <w:sz w:val="20"/>
                <w:szCs w:val="20"/>
              </w:rPr>
              <w:t>Confer with representatives of IETF Trust to determine how they intend to pay for (a) domain name renewals and (b) ongoing registration, maintenance, enforcement and defense of IPR.</w:t>
            </w:r>
          </w:p>
          <w:p>
            <w:pPr>
              <w:pStyle w:val="Normal"/>
              <w:rPr>
                <w:rFonts w:cs="Arial" w:ascii="Arial" w:hAnsi="Arial"/>
                <w:sz w:val="20"/>
                <w:szCs w:val="20"/>
              </w:rPr>
            </w:pPr>
            <w:r>
              <w:rPr>
                <w:rFonts w:cs="Arial" w:ascii="Arial" w:hAnsi="Arial"/>
                <w:sz w:val="20"/>
                <w:szCs w:val="20"/>
              </w:rPr>
              <w:t>2.  Discuss suggestion to have Licensee (currently, ICANN) be responsible for some or all of these payments</w:t>
            </w:r>
          </w:p>
        </w:tc>
      </w:tr>
      <w:tr>
        <w:trPr>
          <w:cantSplit w:val="false"/>
        </w:trPr>
        <w:tc>
          <w:tcPr>
            <w:tcW w:w="380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15" w:type="dxa"/>
            </w:tcMar>
          </w:tcPr>
          <w:p>
            <w:pPr>
              <w:pStyle w:val="Normal"/>
              <w:rPr>
                <w:rFonts w:cs="Arial" w:ascii="Arial" w:hAnsi="Arial"/>
                <w:sz w:val="20"/>
                <w:szCs w:val="20"/>
              </w:rPr>
            </w:pPr>
            <w:r>
              <w:rPr>
                <w:rFonts w:cs="Arial" w:ascii="Arial" w:hAnsi="Arial"/>
                <w:sz w:val="20"/>
                <w:szCs w:val="20"/>
              </w:rPr>
              <w:t>C.3.f: “IETF Trust will be entitled to retain all damages received as a result of its enforcement of the IANA Marks, after the expenses of ICANN, PTI, CCG, the operational communities and the Trust are reimbursed on a pro rata basis”</w:t>
            </w:r>
          </w:p>
        </w:tc>
        <w:tc>
          <w:tcPr>
            <w:tcW w:w="594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15" w:type="dxa"/>
            </w:tcMar>
          </w:tcPr>
          <w:p>
            <w:pPr>
              <w:pStyle w:val="Normal"/>
              <w:rPr>
                <w:rFonts w:cs="Arial" w:ascii="Arial" w:hAnsi="Arial"/>
                <w:sz w:val="20"/>
                <w:szCs w:val="20"/>
              </w:rPr>
            </w:pPr>
            <w:r>
              <w:rPr>
                <w:rFonts w:cs="Arial" w:ascii="Arial" w:hAnsi="Arial"/>
                <w:sz w:val="20"/>
                <w:szCs w:val="20"/>
              </w:rPr>
              <w:t xml:space="preserve">If the IETF Trust is not intending to be compensated in this role, why would it get to keep damages from enforcement or defense?  This could create perverse incentives, potentially encouraging the Trust to be litigious as that is its only means of compensation.  It would be fairly common for the licensee to be entitled to retain the damages (after covering expenses of the participants, including the Trust).  </w:t>
            </w:r>
          </w:p>
        </w:tc>
        <w:tc>
          <w:tcPr>
            <w:tcW w:w="488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15" w:type="dxa"/>
            </w:tcMar>
          </w:tcPr>
          <w:p>
            <w:pPr>
              <w:pStyle w:val="Normal"/>
              <w:rPr>
                <w:rFonts w:cs="Arial" w:ascii="Arial" w:hAnsi="Arial"/>
                <w:sz w:val="20"/>
                <w:szCs w:val="20"/>
              </w:rPr>
            </w:pPr>
            <w:r>
              <w:rPr>
                <w:rFonts w:cs="Arial" w:ascii="Arial" w:hAnsi="Arial"/>
                <w:b/>
                <w:sz w:val="20"/>
                <w:szCs w:val="20"/>
              </w:rPr>
              <w:t xml:space="preserve">Action Item for CWG: </w:t>
            </w:r>
            <w:r>
              <w:rPr>
                <w:rFonts w:cs="Arial" w:ascii="Arial" w:hAnsi="Arial"/>
                <w:sz w:val="20"/>
                <w:szCs w:val="20"/>
              </w:rPr>
              <w:t>Consider whether to accept counsel advice that licensee should retain damages after all expenses are paid.  Consider alternatives.  Consider whether licensee should have second right to enforce, and right to retain damages if licensee enforces.</w:t>
            </w:r>
          </w:p>
        </w:tc>
      </w:tr>
      <w:tr>
        <w:trPr>
          <w:cantSplit w:val="false"/>
        </w:trPr>
        <w:tc>
          <w:tcPr>
            <w:tcW w:w="380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15" w:type="dxa"/>
            </w:tcMar>
          </w:tcPr>
          <w:p>
            <w:pPr>
              <w:pStyle w:val="Normal"/>
              <w:rPr>
                <w:rFonts w:cs="Arial" w:ascii="Arial" w:hAnsi="Arial"/>
                <w:sz w:val="20"/>
                <w:szCs w:val="20"/>
              </w:rPr>
            </w:pPr>
            <w:r>
              <w:rPr>
                <w:rFonts w:cs="Arial" w:ascii="Arial" w:hAnsi="Arial"/>
                <w:sz w:val="20"/>
                <w:szCs w:val="20"/>
              </w:rPr>
              <w:t>C.2.e: “The community agreement(s) will also include an agreement whereby the Trust delegates some or all of its quality control duties to the communities in accordance with each community’s practice and method of maintaining oversight and control over the quality of service provided to that community.  Notwithstanding such delegation, the Trust will still have the ultimate responsibility for quality control.”</w:t>
            </w:r>
          </w:p>
        </w:tc>
        <w:tc>
          <w:tcPr>
            <w:tcW w:w="594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15" w:type="dxa"/>
            </w:tcMar>
          </w:tcPr>
          <w:p>
            <w:pPr>
              <w:pStyle w:val="Normal"/>
              <w:rPr>
                <w:rFonts w:cs="Arial" w:ascii="Arial" w:hAnsi="Arial"/>
                <w:sz w:val="20"/>
                <w:szCs w:val="20"/>
              </w:rPr>
            </w:pPr>
            <w:r>
              <w:rPr>
                <w:rFonts w:cs="Arial" w:ascii="Arial" w:hAnsi="Arial"/>
                <w:sz w:val="20"/>
                <w:szCs w:val="20"/>
              </w:rPr>
              <w:t>Notwithstanding the statement that the IETF Trust will have “ultimate responsibility for any quality control, language should be included in the Community Agreements and in the IPR licenses, as part of the dispute resolution process to ensure, one, that the IETF Trust can not make unilateral decisions regarding quality control and activities under the IPR, and two, to ensure an orderly process for termination and transfer of the IANA IPR away from the IETF Trust, if necessary (see below, final comment).</w:t>
            </w:r>
          </w:p>
        </w:tc>
        <w:tc>
          <w:tcPr>
            <w:tcW w:w="488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15" w:type="dxa"/>
            </w:tcMar>
          </w:tcPr>
          <w:p>
            <w:pPr>
              <w:pStyle w:val="Normal"/>
              <w:rPr>
                <w:rFonts w:cs="Arial" w:ascii="Arial" w:hAnsi="Arial"/>
                <w:sz w:val="20"/>
                <w:szCs w:val="20"/>
              </w:rPr>
            </w:pPr>
            <w:r>
              <w:rPr>
                <w:rFonts w:cs="Arial" w:ascii="Arial" w:hAnsi="Arial"/>
                <w:b/>
                <w:sz w:val="20"/>
                <w:szCs w:val="20"/>
              </w:rPr>
              <w:t xml:space="preserve">Action Item for CWG: </w:t>
            </w:r>
            <w:r>
              <w:rPr>
                <w:rFonts w:cs="Arial" w:ascii="Arial" w:hAnsi="Arial"/>
                <w:sz w:val="20"/>
                <w:szCs w:val="20"/>
              </w:rPr>
              <w:t>Discuss advice; if agreed, ensure that language is included in the Community Agreements and in the IPR licenses to ensure, one, that the IETF Trust cannot make unilateral decisions regarding quality control and activities under the IPR, and two, to ensure an orderly process for termination and transfer of the IANA IPR away from the IETF Trust, if necessary (see below, final comment).  Also, note that responsibility for quality control does not give the Trust the ability to unilaterally terminate the license agreement (see Section C(2)(d) of the Proposed Principal Terms}.</w:t>
            </w:r>
          </w:p>
        </w:tc>
      </w:tr>
      <w:tr>
        <w:trPr>
          <w:cantSplit w:val="false"/>
        </w:trPr>
        <w:tc>
          <w:tcPr>
            <w:tcW w:w="380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15" w:type="dxa"/>
            </w:tcMar>
          </w:tcPr>
          <w:p>
            <w:pPr>
              <w:pStyle w:val="Normal"/>
              <w:rPr>
                <w:rFonts w:cs="Arial" w:ascii="Arial" w:hAnsi="Arial"/>
                <w:sz w:val="20"/>
                <w:szCs w:val="20"/>
              </w:rPr>
            </w:pPr>
            <w:r>
              <w:rPr>
                <w:rFonts w:cs="Arial" w:ascii="Arial" w:hAnsi="Arial"/>
                <w:sz w:val="20"/>
                <w:szCs w:val="20"/>
              </w:rPr>
              <w:t>C.3.b: “The Trust will be responsible for monitoring and controlling the quality of goods and services offered under the IANA IPR, including approvals of any material changes to such services, but may delegate such responsibility to each community with regard to services offered to that community”</w:t>
            </w:r>
          </w:p>
        </w:tc>
        <w:tc>
          <w:tcPr>
            <w:tcW w:w="594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15" w:type="dxa"/>
            </w:tcMar>
          </w:tcPr>
          <w:p>
            <w:pPr>
              <w:pStyle w:val="Normal"/>
              <w:rPr>
                <w:rFonts w:cs="Arial" w:ascii="Arial" w:hAnsi="Arial"/>
                <w:sz w:val="20"/>
                <w:szCs w:val="20"/>
              </w:rPr>
            </w:pPr>
            <w:r>
              <w:rPr>
                <w:rFonts w:cs="Arial" w:ascii="Arial" w:hAnsi="Arial"/>
                <w:sz w:val="20"/>
                <w:szCs w:val="20"/>
              </w:rPr>
              <w:t>Footnote 20, page 6:  Who will undertake this task for each Operational Community?</w:t>
            </w:r>
          </w:p>
          <w:p>
            <w:pPr>
              <w:pStyle w:val="Normal"/>
              <w:rPr>
                <w:rFonts w:cs="Arial" w:ascii="Arial" w:hAnsi="Arial"/>
                <w:sz w:val="20"/>
                <w:szCs w:val="20"/>
              </w:rPr>
            </w:pPr>
            <w:r>
              <w:rPr>
                <w:rFonts w:cs="Arial" w:ascii="Arial" w:hAnsi="Arial"/>
                <w:sz w:val="20"/>
                <w:szCs w:val="20"/>
              </w:rPr>
            </w:r>
          </w:p>
          <w:p>
            <w:pPr>
              <w:pStyle w:val="Normal"/>
              <w:rPr>
                <w:rFonts w:cs="Arial" w:ascii="Arial" w:hAnsi="Arial"/>
                <w:sz w:val="20"/>
                <w:szCs w:val="20"/>
              </w:rPr>
            </w:pPr>
            <w:r>
              <w:rPr>
                <w:rFonts w:cs="Arial" w:ascii="Arial" w:hAnsi="Arial"/>
                <w:sz w:val="20"/>
                <w:szCs w:val="20"/>
              </w:rPr>
              <w:t>We understand this will refer in the full agreement(s) to newly established procedures to be used by names (e.g., the CSC) and existing procedures used by numbers and protocol parameters, to oversee the quality of the IANA provider’s “goods and services.”</w:t>
            </w:r>
          </w:p>
        </w:tc>
        <w:tc>
          <w:tcPr>
            <w:tcW w:w="488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15" w:type="dxa"/>
            </w:tcMar>
          </w:tcPr>
          <w:p>
            <w:pPr>
              <w:pStyle w:val="Normal"/>
              <w:rPr>
                <w:rFonts w:cs="Arial" w:ascii="Arial" w:hAnsi="Arial"/>
                <w:sz w:val="20"/>
                <w:szCs w:val="20"/>
              </w:rPr>
            </w:pPr>
            <w:r>
              <w:rPr>
                <w:rFonts w:cs="Arial" w:ascii="Arial" w:hAnsi="Arial"/>
                <w:b/>
                <w:sz w:val="20"/>
                <w:szCs w:val="20"/>
              </w:rPr>
              <w:t>Action Item for CWG:</w:t>
            </w:r>
            <w:r>
              <w:rPr>
                <w:rFonts w:cs="Arial" w:ascii="Arial" w:hAnsi="Arial"/>
                <w:sz w:val="20"/>
                <w:szCs w:val="20"/>
              </w:rPr>
              <w:t xml:space="preserve"> </w:t>
            </w:r>
            <w:commentRangeStart w:id="3"/>
            <w:r>
              <w:rPr>
                <w:rFonts w:cs="Arial" w:ascii="Arial" w:hAnsi="Arial"/>
                <w:sz w:val="20"/>
                <w:szCs w:val="20"/>
              </w:rPr>
              <w:t>Confirm that CSC</w:t>
            </w:r>
            <w:commentRangeEnd w:id="3"/>
            <w:r>
              <w:rPr>
                <w:rFonts w:cs="Arial" w:ascii="Arial" w:hAnsi="Arial"/>
                <w:sz w:val="20"/>
                <w:szCs w:val="20"/>
              </w:rPr>
            </w:r>
            <w:r>
              <w:rPr>
                <w:rFonts w:cs="Arial" w:ascii="Arial" w:hAnsi="Arial"/>
                <w:sz w:val="20"/>
                <w:szCs w:val="20"/>
              </w:rPr>
              <w:commentReference w:id="3"/>
            </w:r>
            <w:r>
              <w:rPr>
                <w:rFonts w:cs="Arial" w:ascii="Arial" w:hAnsi="Arial"/>
                <w:sz w:val="20"/>
                <w:szCs w:val="20"/>
              </w:rPr>
              <w:t xml:space="preserve"> and other newly-created procedures will oversee quality of services offered to names community.</w:t>
            </w:r>
          </w:p>
        </w:tc>
      </w:tr>
      <w:tr>
        <w:trPr>
          <w:cantSplit w:val="false"/>
        </w:trPr>
        <w:tc>
          <w:tcPr>
            <w:tcW w:w="380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15" w:type="dxa"/>
            </w:tcMar>
          </w:tcPr>
          <w:p>
            <w:pPr>
              <w:pStyle w:val="Normal"/>
              <w:rPr>
                <w:rFonts w:cs="Arial" w:ascii="Arial" w:hAnsi="Arial"/>
                <w:sz w:val="20"/>
                <w:szCs w:val="20"/>
              </w:rPr>
            </w:pPr>
            <w:r>
              <w:rPr>
                <w:rFonts w:cs="Arial" w:ascii="Arial" w:hAnsi="Arial"/>
                <w:sz w:val="20"/>
                <w:szCs w:val="20"/>
              </w:rPr>
              <w:t>C.3.g: “If the IETF Trust believes that Licensee has materially breached the agreement, the Trust will confer with the CCG regarding a course of action”</w:t>
            </w:r>
          </w:p>
        </w:tc>
        <w:tc>
          <w:tcPr>
            <w:tcW w:w="594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15" w:type="dxa"/>
            </w:tcMar>
          </w:tcPr>
          <w:p>
            <w:pPr>
              <w:pStyle w:val="Normal"/>
              <w:rPr>
                <w:rFonts w:cs="Arial" w:ascii="Arial" w:hAnsi="Arial"/>
                <w:sz w:val="20"/>
                <w:szCs w:val="20"/>
              </w:rPr>
            </w:pPr>
            <w:r>
              <w:rPr>
                <w:rFonts w:cs="Arial" w:ascii="Arial" w:hAnsi="Arial"/>
                <w:sz w:val="20"/>
                <w:szCs w:val="20"/>
              </w:rPr>
              <w:t>On the flip side, what if the IETF Trust breaches?</w:t>
            </w:r>
          </w:p>
          <w:p>
            <w:pPr>
              <w:pStyle w:val="Normal"/>
              <w:rPr>
                <w:rFonts w:cs="Arial" w:ascii="Arial" w:hAnsi="Arial"/>
                <w:sz w:val="20"/>
                <w:szCs w:val="20"/>
              </w:rPr>
            </w:pPr>
            <w:r>
              <w:rPr>
                <w:rFonts w:cs="Arial" w:ascii="Arial" w:hAnsi="Arial"/>
                <w:sz w:val="20"/>
                <w:szCs w:val="20"/>
              </w:rPr>
            </w:r>
          </w:p>
          <w:p>
            <w:pPr>
              <w:pStyle w:val="Normal"/>
              <w:rPr>
                <w:rFonts w:cs="Arial" w:ascii="Arial" w:hAnsi="Arial"/>
                <w:sz w:val="20"/>
                <w:szCs w:val="20"/>
              </w:rPr>
            </w:pPr>
            <w:r>
              <w:rPr>
                <w:rFonts w:cs="Arial" w:ascii="Arial" w:hAnsi="Arial"/>
                <w:sz w:val="20"/>
                <w:szCs w:val="20"/>
              </w:rPr>
              <w:t>Language should be included by which the IETF Trust voluntarily submits to the dispute resolution process, and agrees to abide by the outcomes of that process, even if that outcome is to compel the IETF Trust to transfer ownership of the IANA IPR to a third party.</w:t>
            </w:r>
          </w:p>
          <w:p>
            <w:pPr>
              <w:pStyle w:val="Normal"/>
              <w:rPr>
                <w:rFonts w:cs="Arial" w:ascii="Arial" w:hAnsi="Arial"/>
                <w:sz w:val="20"/>
                <w:szCs w:val="20"/>
              </w:rPr>
            </w:pPr>
            <w:r>
              <w:rPr>
                <w:rFonts w:cs="Arial" w:ascii="Arial" w:hAnsi="Arial"/>
                <w:sz w:val="20"/>
                <w:szCs w:val="20"/>
              </w:rPr>
            </w:r>
          </w:p>
          <w:p>
            <w:pPr>
              <w:pStyle w:val="Normal"/>
              <w:rPr>
                <w:rFonts w:cs="Arial" w:ascii="Arial" w:hAnsi="Arial"/>
                <w:sz w:val="20"/>
                <w:szCs w:val="20"/>
              </w:rPr>
            </w:pPr>
            <w:r>
              <w:rPr>
                <w:rFonts w:cs="Arial" w:ascii="Arial" w:hAnsi="Arial"/>
                <w:i/>
                <w:sz w:val="20"/>
                <w:szCs w:val="20"/>
              </w:rPr>
              <w:t>[Prior proposed] CWG Comment – “</w:t>
            </w:r>
            <w:r>
              <w:rPr>
                <w:rFonts w:cs="Arial" w:ascii="Arial" w:hAnsi="Arial"/>
                <w:sz w:val="20"/>
                <w:szCs w:val="20"/>
              </w:rPr>
              <w:t>There must be oversight of the IETF Trust by the communities and the IETF Trust needs to be accountable to the communities; this will be dealt with in the Community Agreement.  Separately, we will need to consider whether and how a licensee (currently, ICANN) deals with a breach; this would be dealt with in the License Agreements.  The communities should have a process to move the IANA IPR to a different owner if the IETF breaches and does not cure. Should this process be available to each community, to a majority of the communities,</w:t>
            </w:r>
            <w:bookmarkStart w:id="0" w:name="_GoBack"/>
            <w:bookmarkEnd w:id="0"/>
            <w:r>
              <w:rPr>
                <w:rFonts w:cs="Arial" w:ascii="Arial" w:hAnsi="Arial"/>
                <w:sz w:val="20"/>
                <w:szCs w:val="20"/>
              </w:rPr>
              <w:t xml:space="preserve"> or only to all three communities?  Would IETF then have a conflict of interest?  Should this process be available to the licensee(s)? In each case, under what circumstances?  Note that there may not be complete agreement with the IETF/IETF Trust regarding the power of a community or the communities over the IETF Trust, to be set out in the Community Agreement.”</w:t>
            </w:r>
          </w:p>
        </w:tc>
        <w:tc>
          <w:tcPr>
            <w:tcW w:w="488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15" w:type="dxa"/>
            </w:tcMar>
          </w:tcPr>
          <w:p>
            <w:pPr>
              <w:pStyle w:val="Normal"/>
              <w:rPr>
                <w:rFonts w:cs="Arial" w:ascii="Arial" w:hAnsi="Arial"/>
                <w:sz w:val="20"/>
                <w:szCs w:val="20"/>
              </w:rPr>
            </w:pPr>
            <w:r>
              <w:rPr>
                <w:rFonts w:cs="Arial" w:ascii="Arial" w:hAnsi="Arial"/>
                <w:b/>
                <w:sz w:val="20"/>
                <w:szCs w:val="20"/>
              </w:rPr>
              <w:t>Action Items for CWG:</w:t>
            </w:r>
            <w:r>
              <w:rPr>
                <w:rFonts w:cs="Arial" w:ascii="Arial" w:hAnsi="Arial"/>
                <w:sz w:val="20"/>
                <w:szCs w:val="20"/>
              </w:rPr>
              <w:t xml:space="preserve"> </w:t>
            </w:r>
          </w:p>
          <w:p>
            <w:pPr>
              <w:pStyle w:val="Normal"/>
              <w:rPr>
                <w:rFonts w:cs="Arial" w:ascii="Arial" w:hAnsi="Arial"/>
                <w:sz w:val="20"/>
                <w:szCs w:val="20"/>
              </w:rPr>
            </w:pPr>
            <w:r>
              <w:rPr>
                <w:rFonts w:cs="Arial" w:ascii="Arial" w:hAnsi="Arial"/>
                <w:sz w:val="20"/>
                <w:szCs w:val="20"/>
              </w:rPr>
              <w:t xml:space="preserve">1. Confirm that Community Agreement must include oversight of the IETF Trust by the communities and the IETF Trust needs to be accountable to the communities.  The communities should have a process to move the IANA IPR to a different owner if the IETF breaches either the Community Agreement or License Agreement, and does not cure. Should this process be available to each community, </w:t>
            </w:r>
            <w:commentRangeStart w:id="4"/>
            <w:r>
              <w:rPr>
                <w:rFonts w:cs="Arial" w:ascii="Arial" w:hAnsi="Arial"/>
                <w:sz w:val="20"/>
                <w:szCs w:val="20"/>
              </w:rPr>
              <w:t>to a majority of the communities, or only to all three communities?</w:t>
            </w:r>
            <w:commentRangeEnd w:id="4"/>
            <w:r>
              <w:rPr>
                <w:rFonts w:cs="Arial" w:ascii="Arial" w:hAnsi="Arial"/>
                <w:sz w:val="20"/>
                <w:szCs w:val="20"/>
              </w:rPr>
            </w:r>
            <w:r>
              <w:rPr>
                <w:rFonts w:cs="Arial" w:ascii="Arial" w:hAnsi="Arial"/>
                <w:sz w:val="20"/>
                <w:szCs w:val="20"/>
              </w:rPr>
              <w:commentReference w:id="4"/>
            </w:r>
            <w:r>
              <w:rPr>
                <w:rFonts w:cs="Arial" w:ascii="Arial" w:hAnsi="Arial"/>
                <w:sz w:val="20"/>
                <w:szCs w:val="20"/>
              </w:rPr>
              <w:t xml:space="preserve">  Would IETF then have a conflict of interest (as both an enforcer of the agreement and as breaching party (through IETF Trust)?</w:t>
            </w:r>
          </w:p>
          <w:p>
            <w:pPr>
              <w:pStyle w:val="Normal"/>
              <w:rPr>
                <w:rFonts w:cs="Arial" w:ascii="Arial" w:hAnsi="Arial"/>
                <w:sz w:val="20"/>
                <w:szCs w:val="20"/>
              </w:rPr>
            </w:pPr>
            <w:r>
              <w:rPr>
                <w:rFonts w:cs="Arial" w:ascii="Arial" w:hAnsi="Arial"/>
                <w:sz w:val="20"/>
                <w:szCs w:val="20"/>
              </w:rPr>
            </w:r>
          </w:p>
          <w:p>
            <w:pPr>
              <w:pStyle w:val="Normal"/>
              <w:rPr>
                <w:rFonts w:cs="Arial" w:ascii="Arial" w:hAnsi="Arial"/>
                <w:sz w:val="20"/>
                <w:szCs w:val="20"/>
              </w:rPr>
            </w:pPr>
            <w:r>
              <w:rPr>
                <w:rFonts w:cs="Arial" w:ascii="Arial" w:hAnsi="Arial"/>
                <w:sz w:val="20"/>
                <w:szCs w:val="20"/>
              </w:rPr>
              <w:t xml:space="preserve">2. Consider whether and how a licensee (currently, ICANN) deals with a breach; this would be dealt with in the License Agreements.  Should the process for moving IANA IPR be available to the licensee(s)? In each case, under what circumstances?  </w:t>
            </w:r>
          </w:p>
          <w:p>
            <w:pPr>
              <w:pStyle w:val="Normal"/>
              <w:rPr>
                <w:rFonts w:cs="Arial" w:ascii="Arial" w:hAnsi="Arial"/>
                <w:sz w:val="20"/>
                <w:szCs w:val="20"/>
              </w:rPr>
            </w:pPr>
            <w:commentRangeStart w:id="5"/>
            <w:r>
              <w:rPr>
                <w:rFonts w:cs="Arial" w:ascii="Arial" w:hAnsi="Arial"/>
                <w:sz w:val="20"/>
                <w:szCs w:val="20"/>
              </w:rPr>
            </w:r>
          </w:p>
          <w:p>
            <w:pPr>
              <w:pStyle w:val="Normal"/>
              <w:rPr>
                <w:rFonts w:cs="Arial" w:ascii="Arial" w:hAnsi="Arial"/>
                <w:sz w:val="20"/>
                <w:szCs w:val="20"/>
              </w:rPr>
            </w:pPr>
            <w:r>
              <w:rPr>
                <w:rFonts w:cs="Arial" w:ascii="Arial" w:hAnsi="Arial"/>
                <w:sz w:val="20"/>
                <w:szCs w:val="20"/>
              </w:rPr>
              <w:t>[Note that there may not be complete agreement with the IETF/IETF Trust regarding the power of a community or the communities over the IETF Trust, to be set out in the Community Agreement.”]</w:t>
            </w:r>
            <w:commentRangeEnd w:id="5"/>
            <w:r>
              <w:rPr>
                <w:rFonts w:cs="Arial" w:ascii="Arial" w:hAnsi="Arial"/>
                <w:sz w:val="20"/>
                <w:szCs w:val="20"/>
              </w:rPr>
            </w:r>
            <w:r>
              <w:rPr>
                <w:rFonts w:cs="Arial" w:ascii="Arial" w:hAnsi="Arial"/>
                <w:sz w:val="20"/>
                <w:szCs w:val="20"/>
              </w:rPr>
              <w:commentReference w:id="5"/>
            </w:r>
          </w:p>
        </w:tc>
      </w:tr>
    </w:tbl>
    <w:p>
      <w:pPr>
        <w:pStyle w:val="Normal"/>
        <w:rPr/>
      </w:pPr>
      <w:r>
        <w:rPr/>
      </w:r>
    </w:p>
    <w:sectPr>
      <w:headerReference w:type="default" r:id="rId2"/>
      <w:headerReference w:type="first" r:id="rId3"/>
      <w:footerReference w:type="default" r:id="rId4"/>
      <w:footerReference w:type="first" r:id="rId5"/>
      <w:type w:val="nextPage"/>
      <w:pgSz w:orient="landscape" w:w="15840" w:h="12240"/>
      <w:pgMar w:left="720" w:right="720" w:header="720" w:top="777" w:footer="720" w:bottom="777" w:gutter="0"/>
      <w:pgNumType w:fmt="decimal"/>
      <w:formProt w:val="false"/>
      <w:titlePg/>
      <w:textDirection w:val="lrTb"/>
      <w:docGrid w:type="default" w:linePitch="360" w:charSpace="4294961151"/>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comment w:id="0" w:author="Seun Ojedeji" w:date="2016-07-21T11:54:17Z" w:initials="">
    <w:p>
      <w:r>
        <w:rPr>
          <w:rFonts w:eastAsia="Droid Sans Fallback" w:cs="" w:ascii="Ubuntu" w:hAnsi="Ubuntu"/>
          <w:b w:val="false"/>
          <w:bCs w:val="false"/>
          <w:i w:val="false"/>
          <w:iCs w:val="false"/>
          <w:caps w:val="false"/>
          <w:smallCaps w:val="false"/>
          <w:strike w:val="false"/>
          <w:dstrike w:val="false"/>
          <w:outline w:val="false"/>
          <w:shadow w:val="false"/>
          <w:emboss w:val="false"/>
          <w:imprint w:val="false"/>
          <w:color w:val="auto"/>
          <w:spacing w:val="0"/>
          <w:w w:val="100"/>
          <w:position w:val="0"/>
          <w:sz w:val="20"/>
          <w:sz w:val="20"/>
          <w:szCs w:val="24"/>
          <w:u w:val="none"/>
          <w:vertAlign w:val="baseline"/>
          <w:em w:val="none"/>
          <w:lang w:val="en-US" w:eastAsia="en-US" w:bidi="ar-SA"/>
        </w:rPr>
        <w:t>This is actually referring to the same group of people; the NRO (actually NRO EC) consists of the 5 RIRs.</w:t>
      </w:r>
    </w:p>
  </w:comment>
  <w:comment w:id="1" w:author="Seun Ojedeji" w:date="2016-07-21T11:56:21Z" w:initials="">
    <w:p>
      <w:r>
        <w:rPr>
          <w:rFonts w:eastAsia="Droid Sans Fallback" w:cs="" w:ascii="Ubuntu" w:hAnsi="Ubuntu"/>
          <w:b w:val="false"/>
          <w:bCs w:val="false"/>
          <w:i w:val="false"/>
          <w:iCs w:val="false"/>
          <w:caps w:val="false"/>
          <w:smallCaps w:val="false"/>
          <w:strike w:val="false"/>
          <w:dstrike w:val="false"/>
          <w:outline w:val="false"/>
          <w:shadow w:val="false"/>
          <w:emboss w:val="false"/>
          <w:imprint w:val="false"/>
          <w:color w:val="auto"/>
          <w:spacing w:val="0"/>
          <w:w w:val="100"/>
          <w:position w:val="0"/>
          <w:sz w:val="20"/>
          <w:sz w:val="20"/>
          <w:szCs w:val="24"/>
          <w:u w:val="none"/>
          <w:vertAlign w:val="baseline"/>
          <w:em w:val="none"/>
          <w:lang w:val="en-US" w:eastAsia="en-US" w:bidi="ar-SA"/>
        </w:rPr>
        <w:t>I don't see any reason why we should consider any other alternative other than ICANN for the names community.</w:t>
      </w:r>
    </w:p>
  </w:comment>
  <w:comment w:id="2" w:author="Seun Ojedeji" w:date="2016-07-21T11:58:42Z" w:initials="">
    <w:p>
      <w:r>
        <w:rPr>
          <w:rFonts w:eastAsia="Droid Sans Fallback" w:cs="" w:ascii="Ubuntu" w:hAnsi="Ubuntu"/>
          <w:b w:val="false"/>
          <w:bCs w:val="false"/>
          <w:i w:val="false"/>
          <w:iCs w:val="false"/>
          <w:caps w:val="false"/>
          <w:smallCaps w:val="false"/>
          <w:strike w:val="false"/>
          <w:dstrike w:val="false"/>
          <w:outline w:val="false"/>
          <w:shadow w:val="false"/>
          <w:emboss w:val="false"/>
          <w:imprint w:val="false"/>
          <w:color w:val="auto"/>
          <w:spacing w:val="0"/>
          <w:w w:val="100"/>
          <w:position w:val="0"/>
          <w:sz w:val="20"/>
          <w:sz w:val="20"/>
          <w:szCs w:val="24"/>
          <w:u w:val="none"/>
          <w:vertAlign w:val="baseline"/>
          <w:em w:val="none"/>
          <w:lang w:val="en-US" w:eastAsia="en-US" w:bidi="ar-SA"/>
        </w:rPr>
        <w:t xml:space="preserve">I think there was a statement from ICANN board indicating that ICANN would bear this cost. Can't readily find that at the time of making this comment. Overall I think ICANN is in the best position to bear the cost. The numbers community already contribute certain amount($830k?) to ICANN for the service provided(which would include things like this), names pay to ICANN and IETF part of somewhat non-cash. </w:t>
      </w:r>
    </w:p>
  </w:comment>
  <w:comment w:id="3" w:author="Seun Ojedeji" w:date="2016-07-21T12:06:10Z" w:initials="">
    <w:p>
      <w:r>
        <w:rPr>
          <w:rFonts w:eastAsia="Droid Sans Fallback" w:cs="" w:ascii="Ubuntu" w:hAnsi="Ubuntu"/>
          <w:b w:val="false"/>
          <w:bCs w:val="false"/>
          <w:i w:val="false"/>
          <w:iCs w:val="false"/>
          <w:caps w:val="false"/>
          <w:smallCaps w:val="false"/>
          <w:strike w:val="false"/>
          <w:dstrike w:val="false"/>
          <w:outline w:val="false"/>
          <w:shadow w:val="false"/>
          <w:emboss w:val="false"/>
          <w:imprint w:val="false"/>
          <w:color w:val="auto"/>
          <w:spacing w:val="0"/>
          <w:w w:val="100"/>
          <w:position w:val="0"/>
          <w:sz w:val="20"/>
          <w:sz w:val="20"/>
          <w:szCs w:val="24"/>
          <w:u w:val="none"/>
          <w:vertAlign w:val="baseline"/>
          <w:em w:val="none"/>
          <w:lang w:val="en-US" w:eastAsia="en-US" w:bidi="ar-SA"/>
        </w:rPr>
        <w:t>I do not think CSC should be doing this. If I recall correctly there was a group proposed to be selected among the 3 operational communities to be incharge of the coordination of the IPR and TM issues. I think this should be within the scope of that group. I think the group is called IANA IPR Governance Council (“IIGC”).</w:t>
      </w:r>
    </w:p>
  </w:comment>
  <w:comment w:id="4" w:author="Seun Ojedeji" w:date="2016-07-21T12:12:29Z" w:initials="">
    <w:p>
      <w:r>
        <w:rPr>
          <w:rFonts w:eastAsia="Droid Sans Fallback" w:cs="" w:ascii="Ubuntu" w:hAnsi="Ubuntu"/>
          <w:b w:val="false"/>
          <w:bCs w:val="false"/>
          <w:i w:val="false"/>
          <w:iCs w:val="false"/>
          <w:caps w:val="false"/>
          <w:smallCaps w:val="false"/>
          <w:strike w:val="false"/>
          <w:dstrike w:val="false"/>
          <w:outline w:val="false"/>
          <w:shadow w:val="false"/>
          <w:emboss w:val="false"/>
          <w:imprint w:val="false"/>
          <w:color w:val="auto"/>
          <w:spacing w:val="0"/>
          <w:w w:val="100"/>
          <w:position w:val="0"/>
          <w:sz w:val="20"/>
          <w:sz w:val="20"/>
          <w:szCs w:val="24"/>
          <w:u w:val="none"/>
          <w:vertAlign w:val="baseline"/>
          <w:em w:val="none"/>
          <w:lang w:val="en-US" w:eastAsia="en-US" w:bidi="ar-SA"/>
        </w:rPr>
        <w:t xml:space="preserve">Not sure I get the distinction between majority of the communities. IETF is part of the 3 communities and I don't see why they should not be included. In any case I don't think there is any conflict to worry about here. </w:t>
      </w:r>
    </w:p>
  </w:comment>
  <w:comment w:id="5" w:author="Seun Ojedeji" w:date="2016-07-21T12:15:36Z" w:initials="">
    <w:p>
      <w:r>
        <w:rPr>
          <w:rFonts w:eastAsia="Droid Sans Fallback" w:cs="" w:ascii="Ubuntu" w:hAnsi="Ubuntu"/>
          <w:b w:val="false"/>
          <w:bCs w:val="false"/>
          <w:i w:val="false"/>
          <w:iCs w:val="false"/>
          <w:caps w:val="false"/>
          <w:smallCaps w:val="false"/>
          <w:strike w:val="false"/>
          <w:dstrike w:val="false"/>
          <w:outline w:val="false"/>
          <w:shadow w:val="false"/>
          <w:emboss w:val="false"/>
          <w:imprint w:val="false"/>
          <w:color w:val="auto"/>
          <w:spacing w:val="0"/>
          <w:w w:val="100"/>
          <w:position w:val="0"/>
          <w:sz w:val="20"/>
          <w:sz w:val="20"/>
          <w:szCs w:val="24"/>
          <w:u w:val="none"/>
          <w:vertAlign w:val="baseline"/>
          <w:em w:val="none"/>
          <w:lang w:val="en-US" w:eastAsia="en-US" w:bidi="ar-SA"/>
        </w:rPr>
        <w:t>I think IETF has consistently made it clear that the trust is accountable to the IETF community and that is not negotiable. I think we should just move on with this. IETF is the source of all these stuff in the first place. So its still “somewhat” logically accountable to all  the community.</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ucida Grande">
    <w:charset w:val="01"/>
    <w:family w:val="roman"/>
    <w:pitch w:val="variable"/>
  </w:font>
  <w:font w:name="Arial">
    <w:charset w:val="01"/>
    <w:family w:val="roman"/>
    <w:pitch w:val="variable"/>
  </w:font>
  <w:font w:name="Liberation Sans">
    <w:altName w:val="Arial"/>
    <w:charset w:val="01"/>
    <w:family w:val="swiss"/>
    <w:pitch w:val="variable"/>
  </w:font>
  <w:font w:name="Ubuntu">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fldChar w:fldCharType="begin"/>
    </w:r>
    <w:r>
      <w:instrText> PAGE </w:instrText>
    </w:r>
    <w:r>
      <w:fldChar w:fldCharType="separate"/>
    </w:r>
    <w:r>
      <w:t>0</w:t>
    </w:r>
    <w:r>
      <w:fldChar w:fldCharType="end"/>
    </w:r>
  </w:p>
  <w:p>
    <w:pPr>
      <w:pStyle w:val="Footer"/>
      <w:rPr/>
    </w:pPr>
    <w:r>
      <w:rPr/>
      <w:fldChar w:fldCharType="begin"/>
    </w:r>
    <w:r>
      <w:instrText> DOCPROPERTY "DocID"</w:instrText>
    </w:r>
    <w:r>
      <w:fldChar w:fldCharType="separate"/>
    </w:r>
    <w:r>
      <w:t>ACTIVE 215817045v.3</w:t>
    </w:r>
    <w: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rPr/>
    </w:pPr>
    <w:r>
      <w:rPr/>
      <w:fldChar w:fldCharType="begin"/>
    </w:r>
    <w:r>
      <w:instrText> DOCPROPERTY "DocID"</w:instrText>
    </w:r>
    <w:r>
      <w:fldChar w:fldCharType="separate"/>
    </w:r>
    <w:r>
      <w:t>ACTIVE 215817045v.3</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jc w:val="center"/>
      <w:rPr>
        <w:rFonts w:cs="Arial" w:ascii="Arial" w:hAnsi="Arial"/>
      </w:rPr>
    </w:pPr>
    <w:r>
      <w:rPr>
        <w:rFonts w:cs="Arial" w:ascii="Arial" w:hAnsi="Arial"/>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jc w:val="right"/>
      <w:rPr>
        <w:rFonts w:cs="Arial" w:ascii="Arial" w:hAnsi="Arial"/>
      </w:rPr>
    </w:pPr>
    <w:r>
      <w:rPr>
        <w:rFonts w:cs="Arial" w:ascii="Arial" w:hAnsi="Arial"/>
      </w:rPr>
      <w:t>DRAFT 20 July 2016</w:t>
    </w:r>
  </w:p>
  <w:p>
    <w:pPr>
      <w:pStyle w:val="Header"/>
      <w:jc w:val="center"/>
      <w:rPr>
        <w:rFonts w:cs="Arial" w:ascii="Arial" w:hAnsi="Arial"/>
        <w:b/>
        <w:bCs/>
        <w:iCs/>
        <w:sz w:val="22"/>
      </w:rPr>
    </w:pPr>
    <w:r>
      <w:rPr>
        <w:rFonts w:cs="Arial" w:ascii="Arial" w:hAnsi="Arial"/>
        <w:b/>
        <w:bCs/>
        <w:iCs/>
        <w:sz w:val="22"/>
      </w:rPr>
      <w:t>Sidley Comments on the Proposed Principles for IANA Intellectual Property Agreements</w:t>
    </w:r>
  </w:p>
  <w:p>
    <w:pPr>
      <w:pStyle w:val="Header"/>
      <w:jc w:val="center"/>
      <w:rPr>
        <w:rFonts w:cs="Arial" w:ascii="Arial" w:hAnsi="Arial"/>
        <w:b/>
        <w:bCs/>
        <w:iCs/>
        <w:sz w:val="22"/>
      </w:rPr>
    </w:pPr>
    <w:r>
      <w:rPr>
        <w:rFonts w:cs="Arial" w:ascii="Arial" w:hAnsi="Arial"/>
        <w:b/>
        <w:bCs/>
        <w:iCs/>
        <w:sz w:val="22"/>
      </w:rPr>
    </w:r>
  </w:p>
  <w:p>
    <w:pPr>
      <w:pStyle w:val="Header"/>
      <w:rPr>
        <w:rFonts w:cs="Arial" w:ascii="Arial" w:hAnsi="Arial"/>
        <w:bCs/>
        <w:i/>
        <w:iCs/>
        <w:sz w:val="22"/>
      </w:rPr>
    </w:pPr>
    <w:r>
      <w:rPr>
        <w:rFonts w:cs="Arial" w:ascii="Arial" w:hAnsi="Arial"/>
        <w:bCs/>
        <w:i/>
        <w:iCs/>
        <w:sz w:val="22"/>
      </w:rPr>
      <w:t>The following comments supplement the original comments and questions raised by Sidley Austin LLP, and circulated on May 31, 2016 to the “Proposed Principal Terms of IANA Intellectual Property Agreements”.  These comments remain outstanding following the feedback received from the CWG Client Committee on July 4 and the further discussion with the Client Committee on July 7.</w:t>
    </w:r>
  </w:p>
  <w:p>
    <w:pPr>
      <w:pStyle w:val="Header"/>
      <w:rPr/>
    </w:pPr>
    <w:r>
      <w:rPr/>
    </w:r>
  </w:p>
</w:hdr>
</file>

<file path=word/settings.xml><?xml version="1.0" encoding="utf-8"?>
<w:settings xmlns:w="http://schemas.openxmlformats.org/wordprocessingml/2006/main">
  <w:zoom w:percent="110"/>
  <w:defaultTabStop w:val="720"/>
</w:settings>
</file>

<file path=word/styles.xml><?xml version="1.0" encoding="utf-8"?>
<w:styles xmlns:w="http://schemas.openxmlformats.org/wordprocessingml/2006/main">
  <w:docDefaults>
    <w:rPrDefault>
      <w:rPr>
        <w:rFonts w:ascii="Calibri" w:hAnsi="Calibri" w:eastAsia="Droid Sans Fallback" w:cs=""/>
        <w:sz w:val="24"/>
        <w:szCs w:val="24"/>
        <w:lang w:val="en-US" w:eastAsia="en-US" w:bidi="ar-SA"/>
      </w:rPr>
    </w:rPrDefault>
    <w:pPrDefault>
      <w:pPr/>
    </w:pPrDefault>
  </w:docDefaults>
  <w:latentStyles w:count="267" w:defQFormat="0" w:defUnhideWhenUsed="1" w:defSemiHidden="1" w:defUIPriority="99" w:defLockedState="0">
    <w:lsdException w:qFormat="1" w:semiHidden="0" w:uiPriority="0" w:unhideWhenUsed="0" w:name="Normal"/>
    <w:lsdException w:qFormat="1" w:semiHidden="0" w:uiPriority="9" w:unhideWhenUsed="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semiHidden="0" w:uiPriority="10" w:unhideWhenUsed="0" w:name="Title"/>
    <w:lsdException w:uiPriority="1" w:name="Default Paragraph Font"/>
    <w:lsdException w:qFormat="1" w:semiHidden="0" w:uiPriority="11" w:unhideWhenUsed="0" w:name="Subtitle"/>
    <w:lsdException w:qFormat="1" w:semiHidden="0" w:uiPriority="22" w:unhideWhenUsed="0" w:name="Strong"/>
    <w:lsdException w:qFormat="1" w:semiHidden="0" w:uiPriority="20" w:unhideWhenUsed="0" w:name="Emphasis"/>
    <w:lsdException w:semiHidden="0" w:uiPriority="39" w:unhideWhenUsed="0" w:name="Table Grid"/>
    <w:lsdException w:unhideWhenUsed="0" w:name="Placeholder Text"/>
    <w:lsdException w:qFormat="1" w:semiHidden="0" w:uiPriority="1" w:unhideWhenUsed="0" w:name="No Spacing"/>
    <w:lsdException w:semiHidden="0" w:uiPriority="60" w:unhideWhenUsed="0" w:name="Light Shading"/>
    <w:lsdException w:semiHidden="0" w:uiPriority="61" w:unhideWhenUsed="0" w:name="Light List"/>
    <w:lsdException w:semiHidden="0" w:uiPriority="62" w:unhideWhenUsed="0" w:name="Light Grid"/>
    <w:lsdException w:semiHidden="0" w:uiPriority="63" w:unhideWhenUsed="0" w:name="Medium Shading 1"/>
    <w:lsdException w:semiHidden="0" w:uiPriority="64" w:unhideWhenUsed="0" w:name="Medium Shading 2"/>
    <w:lsdException w:semiHidden="0" w:uiPriority="65" w:unhideWhenUsed="0" w:name="Medium List 1"/>
    <w:lsdException w:semiHidden="0" w:uiPriority="66" w:unhideWhenUsed="0" w:name="Medium List 2"/>
    <w:lsdException w:semiHidden="0" w:uiPriority="67" w:unhideWhenUsed="0" w:name="Medium Grid 1"/>
    <w:lsdException w:semiHidden="0" w:uiPriority="68" w:unhideWhenUsed="0" w:name="Medium Grid 2"/>
    <w:lsdException w:semiHidden="0" w:uiPriority="69" w:unhideWhenUsed="0" w:name="Medium Grid 3"/>
    <w:lsdException w:semiHidden="0" w:uiPriority="70" w:unhideWhenUsed="0" w:name="Dark List"/>
    <w:lsdException w:semiHidden="0" w:uiPriority="71" w:unhideWhenUsed="0" w:name="Colorful Shading"/>
    <w:lsdException w:semiHidden="0" w:uiPriority="72" w:unhideWhenUsed="0" w:name="Colorful List"/>
    <w:lsdException w:semiHidden="0" w:uiPriority="73" w:unhideWhenUsed="0" w:name="Colorful Grid"/>
    <w:lsdException w:semiHidden="0" w:uiPriority="60" w:unhideWhenUsed="0" w:name="Light Shading Accent 1"/>
    <w:lsdException w:semiHidden="0" w:uiPriority="61" w:unhideWhenUsed="0" w:name="Light List Accent 1"/>
    <w:lsdException w:semiHidden="0" w:uiPriority="62" w:unhideWhenUsed="0" w:name="Light Grid Accent 1"/>
    <w:lsdException w:semiHidden="0" w:uiPriority="63" w:unhideWhenUsed="0" w:name="Medium Shading 1 Accent 1"/>
    <w:lsdException w:semiHidden="0" w:uiPriority="64" w:unhideWhenUsed="0" w:name="Medium Shading 2 Accent 1"/>
    <w:lsdException w:semiHidden="0" w:uiPriority="65" w:unhideWhenUsed="0" w:name="Medium List 1 Accent 1"/>
    <w:lsdException w:unhideWhenUsed="0" w:name="Revision"/>
    <w:lsdException w:qFormat="1" w:semiHidden="0" w:uiPriority="34" w:unhideWhenUsed="0" w:name="List Paragraph"/>
    <w:lsdException w:qFormat="1" w:semiHidden="0" w:uiPriority="29" w:unhideWhenUsed="0" w:name="Quote"/>
    <w:lsdException w:qFormat="1" w:semiHidden="0" w:uiPriority="30" w:unhideWhenUsed="0" w:name="Intense Quote"/>
    <w:lsdException w:semiHidden="0" w:uiPriority="66" w:unhideWhenUsed="0" w:name="Medium List 2 Accent 1"/>
    <w:lsdException w:semiHidden="0" w:uiPriority="67" w:unhideWhenUsed="0" w:name="Medium Grid 1 Accent 1"/>
    <w:lsdException w:semiHidden="0" w:uiPriority="68" w:unhideWhenUsed="0" w:name="Medium Grid 2 Accent 1"/>
    <w:lsdException w:semiHidden="0" w:uiPriority="69" w:unhideWhenUsed="0" w:name="Medium Grid 3 Accent 1"/>
    <w:lsdException w:semiHidden="0" w:uiPriority="70" w:unhideWhenUsed="0" w:name="Dark List Accent 1"/>
    <w:lsdException w:semiHidden="0" w:uiPriority="71" w:unhideWhenUsed="0" w:name="Colorful Shading Accent 1"/>
    <w:lsdException w:semiHidden="0" w:uiPriority="72" w:unhideWhenUsed="0" w:name="Colorful List Accent 1"/>
    <w:lsdException w:semiHidden="0" w:uiPriority="73" w:unhideWhenUsed="0" w:name="Colorful Grid Accent 1"/>
    <w:lsdException w:semiHidden="0" w:uiPriority="60" w:unhideWhenUsed="0" w:name="Light Shading Accent 2"/>
    <w:lsdException w:semiHidden="0" w:uiPriority="61" w:unhideWhenUsed="0" w:name="Light List Accent 2"/>
    <w:lsdException w:semiHidden="0" w:uiPriority="62" w:unhideWhenUsed="0" w:name="Light Grid Accent 2"/>
    <w:lsdException w:semiHidden="0" w:uiPriority="63" w:unhideWhenUsed="0" w:name="Medium Shading 1 Accent 2"/>
    <w:lsdException w:semiHidden="0" w:uiPriority="64" w:unhideWhenUsed="0" w:name="Medium Shading 2 Accent 2"/>
    <w:lsdException w:semiHidden="0" w:uiPriority="65" w:unhideWhenUsed="0" w:name="Medium List 1 Accent 2"/>
    <w:lsdException w:semiHidden="0" w:uiPriority="66" w:unhideWhenUsed="0" w:name="Medium List 2 Accent 2"/>
    <w:lsdException w:semiHidden="0" w:uiPriority="67" w:unhideWhenUsed="0" w:name="Medium Grid 1 Accent 2"/>
    <w:lsdException w:semiHidden="0" w:uiPriority="68" w:unhideWhenUsed="0" w:name="Medium Grid 2 Accent 2"/>
    <w:lsdException w:semiHidden="0" w:uiPriority="69" w:unhideWhenUsed="0" w:name="Medium Grid 3 Accent 2"/>
    <w:lsdException w:semiHidden="0" w:uiPriority="70" w:unhideWhenUsed="0" w:name="Dark List Accent 2"/>
    <w:lsdException w:semiHidden="0" w:uiPriority="71" w:unhideWhenUsed="0" w:name="Colorful Shading Accent 2"/>
    <w:lsdException w:semiHidden="0" w:uiPriority="72" w:unhideWhenUsed="0" w:name="Colorful List Accent 2"/>
    <w:lsdException w:semiHidden="0" w:uiPriority="73" w:unhideWhenUsed="0" w:name="Colorful Grid Accent 2"/>
    <w:lsdException w:semiHidden="0" w:uiPriority="60" w:unhideWhenUsed="0" w:name="Light Shading Accent 3"/>
    <w:lsdException w:semiHidden="0" w:uiPriority="61" w:unhideWhenUsed="0" w:name="Light List Accent 3"/>
    <w:lsdException w:semiHidden="0" w:uiPriority="62" w:unhideWhenUsed="0" w:name="Light Grid Accent 3"/>
    <w:lsdException w:semiHidden="0" w:uiPriority="63" w:unhideWhenUsed="0" w:name="Medium Shading 1 Accent 3"/>
    <w:lsdException w:semiHidden="0" w:uiPriority="64" w:unhideWhenUsed="0" w:name="Medium Shading 2 Accent 3"/>
    <w:lsdException w:semiHidden="0" w:uiPriority="65" w:unhideWhenUsed="0" w:name="Medium List 1 Accent 3"/>
    <w:lsdException w:semiHidden="0" w:uiPriority="66" w:unhideWhenUsed="0" w:name="Medium List 2 Accent 3"/>
    <w:lsdException w:semiHidden="0" w:uiPriority="67" w:unhideWhenUsed="0" w:name="Medium Grid 1 Accent 3"/>
    <w:lsdException w:semiHidden="0" w:uiPriority="68" w:unhideWhenUsed="0" w:name="Medium Grid 2 Accent 3"/>
    <w:lsdException w:semiHidden="0" w:uiPriority="69" w:unhideWhenUsed="0" w:name="Medium Grid 3 Accent 3"/>
    <w:lsdException w:semiHidden="0" w:uiPriority="70" w:unhideWhenUsed="0" w:name="Dark List Accent 3"/>
    <w:lsdException w:semiHidden="0" w:uiPriority="71" w:unhideWhenUsed="0" w:name="Colorful Shading Accent 3"/>
    <w:lsdException w:semiHidden="0" w:uiPriority="72" w:unhideWhenUsed="0" w:name="Colorful List Accent 3"/>
    <w:lsdException w:semiHidden="0" w:uiPriority="73" w:unhideWhenUsed="0" w:name="Colorful Grid Accent 3"/>
    <w:lsdException w:semiHidden="0" w:uiPriority="60" w:unhideWhenUsed="0" w:name="Light Shading Accent 4"/>
    <w:lsdException w:semiHidden="0" w:uiPriority="61" w:unhideWhenUsed="0" w:name="Light List Accent 4"/>
    <w:lsdException w:semiHidden="0" w:uiPriority="62" w:unhideWhenUsed="0" w:name="Light Grid Accent 4"/>
    <w:lsdException w:semiHidden="0" w:uiPriority="63" w:unhideWhenUsed="0" w:name="Medium Shading 1 Accent 4"/>
    <w:lsdException w:semiHidden="0" w:uiPriority="64" w:unhideWhenUsed="0" w:name="Medium Shading 2 Accent 4"/>
    <w:lsdException w:semiHidden="0" w:uiPriority="65" w:unhideWhenUsed="0" w:name="Medium List 1 Accent 4"/>
    <w:lsdException w:semiHidden="0" w:uiPriority="66" w:unhideWhenUsed="0" w:name="Medium List 2 Accent 4"/>
    <w:lsdException w:semiHidden="0" w:uiPriority="67" w:unhideWhenUsed="0" w:name="Medium Grid 1 Accent 4"/>
    <w:lsdException w:semiHidden="0" w:uiPriority="68" w:unhideWhenUsed="0" w:name="Medium Grid 2 Accent 4"/>
    <w:lsdException w:semiHidden="0" w:uiPriority="69" w:unhideWhenUsed="0" w:name="Medium Grid 3 Accent 4"/>
    <w:lsdException w:semiHidden="0" w:uiPriority="70" w:unhideWhenUsed="0" w:name="Dark List Accent 4"/>
    <w:lsdException w:semiHidden="0" w:uiPriority="71" w:unhideWhenUsed="0" w:name="Colorful Shading Accent 4"/>
    <w:lsdException w:semiHidden="0" w:uiPriority="72" w:unhideWhenUsed="0" w:name="Colorful List Accent 4"/>
    <w:lsdException w:semiHidden="0" w:uiPriority="73" w:unhideWhenUsed="0" w:name="Colorful Grid Accent 4"/>
    <w:lsdException w:semiHidden="0" w:uiPriority="60" w:unhideWhenUsed="0" w:name="Light Shading Accent 5"/>
    <w:lsdException w:semiHidden="0" w:uiPriority="61" w:unhideWhenUsed="0" w:name="Light List Accent 5"/>
    <w:lsdException w:semiHidden="0" w:uiPriority="62" w:unhideWhenUsed="0" w:name="Light Grid Accent 5"/>
    <w:lsdException w:semiHidden="0" w:uiPriority="63" w:unhideWhenUsed="0" w:name="Medium Shading 1 Accent 5"/>
    <w:lsdException w:semiHidden="0" w:uiPriority="64" w:unhideWhenUsed="0" w:name="Medium Shading 2 Accent 5"/>
    <w:lsdException w:semiHidden="0" w:uiPriority="65" w:unhideWhenUsed="0" w:name="Medium List 1 Accent 5"/>
    <w:lsdException w:semiHidden="0" w:uiPriority="66" w:unhideWhenUsed="0" w:name="Medium List 2 Accent 5"/>
    <w:lsdException w:semiHidden="0" w:uiPriority="67" w:unhideWhenUsed="0" w:name="Medium Grid 1 Accent 5"/>
    <w:lsdException w:semiHidden="0" w:uiPriority="68" w:unhideWhenUsed="0" w:name="Medium Grid 2 Accent 5"/>
    <w:lsdException w:semiHidden="0" w:uiPriority="69" w:unhideWhenUsed="0" w:name="Medium Grid 3 Accent 5"/>
    <w:lsdException w:semiHidden="0" w:uiPriority="70" w:unhideWhenUsed="0" w:name="Dark List Accent 5"/>
    <w:lsdException w:semiHidden="0" w:uiPriority="71" w:unhideWhenUsed="0" w:name="Colorful Shading Accent 5"/>
    <w:lsdException w:semiHidden="0" w:uiPriority="72" w:unhideWhenUsed="0" w:name="Colorful List Accent 5"/>
    <w:lsdException w:semiHidden="0" w:uiPriority="73" w:unhideWhenUsed="0" w:name="Colorful Grid Accent 5"/>
    <w:lsdException w:semiHidden="0" w:uiPriority="60" w:unhideWhenUsed="0" w:name="Light Shading Accent 6"/>
    <w:lsdException w:semiHidden="0" w:uiPriority="61" w:unhideWhenUsed="0" w:name="Light List Accent 6"/>
    <w:lsdException w:semiHidden="0" w:uiPriority="62" w:unhideWhenUsed="0" w:name="Light Grid Accent 6"/>
    <w:lsdException w:semiHidden="0" w:uiPriority="63" w:unhideWhenUsed="0" w:name="Medium Shading 1 Accent 6"/>
    <w:lsdException w:semiHidden="0" w:uiPriority="64" w:unhideWhenUsed="0" w:name="Medium Shading 2 Accent 6"/>
    <w:lsdException w:semiHidden="0" w:uiPriority="65" w:unhideWhenUsed="0" w:name="Medium List 1 Accent 6"/>
    <w:lsdException w:semiHidden="0" w:uiPriority="66" w:unhideWhenUsed="0" w:name="Medium List 2 Accent 6"/>
    <w:lsdException w:semiHidden="0" w:uiPriority="67" w:unhideWhenUsed="0" w:name="Medium Grid 1 Accent 6"/>
    <w:lsdException w:semiHidden="0" w:uiPriority="68" w:unhideWhenUsed="0" w:name="Medium Grid 2 Accent 6"/>
    <w:lsdException w:semiHidden="0" w:uiPriority="69" w:unhideWhenUsed="0" w:name="Medium Grid 3 Accent 6"/>
    <w:lsdException w:semiHidden="0" w:uiPriority="70" w:unhideWhenUsed="0" w:name="Dark List Accent 6"/>
    <w:lsdException w:semiHidden="0" w:uiPriority="71" w:unhideWhenUsed="0" w:name="Colorful Shading Accent 6"/>
    <w:lsdException w:semiHidden="0" w:uiPriority="72" w:unhideWhenUsed="0" w:name="Colorful List Accent 6"/>
    <w:lsdException w:semiHidden="0" w:uiPriority="73" w:unhideWhenUsed="0" w:name="Colorful Grid Accent 6"/>
    <w:lsdException w:qFormat="1" w:semiHidden="0" w:uiPriority="19" w:unhideWhenUsed="0" w:name="Subtle Emphasis"/>
    <w:lsdException w:qFormat="1" w:semiHidden="0" w:uiPriority="21" w:unhideWhenUsed="0" w:name="Intense Emphasis"/>
    <w:lsdException w:qFormat="1" w:semiHidden="0" w:uiPriority="31" w:unhideWhenUsed="0" w:name="Subtle Reference"/>
    <w:lsdException w:qFormat="1" w:semiHidden="0" w:uiPriority="32" w:unhideWhenUsed="0" w:name="Intense Reference"/>
    <w:lsdException w:qFormat="1" w:semiHidden="0" w:uiPriority="33" w:unhideWhenUsed="0" w:name="Book Title"/>
    <w:lsdException w:uiPriority="37" w:name="Bibliography"/>
    <w:lsdException w:qFormat="1" w:uiPriority="39" w:name="TOC Heading"/>
  </w:latentStyles>
  <w:style w:type="paragraph" w:styleId="Normal" w:default="1">
    <w:name w:val="Normal"/>
    <w:qFormat/>
    <w:pPr>
      <w:widowControl/>
      <w:suppressAutoHyphens w:val="true"/>
      <w:bidi w:val="0"/>
      <w:jc w:val="left"/>
    </w:pPr>
    <w:rPr>
      <w:rFonts w:ascii="Calibri" w:hAnsi="Calibri" w:eastAsia="Droid Sans Fallback" w:cs=""/>
      <w:color w:val="auto"/>
      <w:sz w:val="24"/>
      <w:szCs w:val="24"/>
      <w:lang w:val="en-US" w:eastAsia="en-US" w:bidi="ar-SA"/>
    </w:rPr>
  </w:style>
  <w:style w:type="character" w:styleId="DefaultParagraphFont" w:default="1">
    <w:name w:val="Default Paragraph Font"/>
    <w:uiPriority w:val="1"/>
    <w:unhideWhenUsed/>
    <w:rPr/>
  </w:style>
  <w:style w:type="character" w:styleId="HeaderChar" w:customStyle="1">
    <w:name w:val="Header Char"/>
    <w:uiPriority w:val="99"/>
    <w:link w:val="Header"/>
    <w:rsid w:val="00004fb9"/>
    <w:basedOn w:val="DefaultParagraphFont"/>
    <w:rPr/>
  </w:style>
  <w:style w:type="character" w:styleId="FooterChar" w:customStyle="1">
    <w:name w:val="Footer Char"/>
    <w:uiPriority w:val="99"/>
    <w:link w:val="Footer"/>
    <w:rsid w:val="00004fb9"/>
    <w:basedOn w:val="DefaultParagraphFont"/>
    <w:rPr/>
  </w:style>
  <w:style w:type="character" w:styleId="FootnoteTextChar" w:customStyle="1">
    <w:name w:val="Footnote Text Char"/>
    <w:uiPriority w:val="99"/>
    <w:link w:val="FootnoteText"/>
    <w:rsid w:val="00004fb9"/>
    <w:basedOn w:val="DefaultParagraphFont"/>
    <w:rPr/>
  </w:style>
  <w:style w:type="character" w:styleId="Footnotereference">
    <w:name w:val="footnote reference"/>
    <w:uiPriority w:val="99"/>
    <w:semiHidden/>
    <w:unhideWhenUsed/>
    <w:rsid w:val="00cf50ba"/>
    <w:basedOn w:val="DefaultParagraphFont"/>
    <w:rPr>
      <w:vertAlign w:val="superscript"/>
    </w:rPr>
  </w:style>
  <w:style w:type="character" w:styleId="Annotationreference">
    <w:name w:val="annotation reference"/>
    <w:uiPriority w:val="99"/>
    <w:semiHidden/>
    <w:unhideWhenUsed/>
    <w:rsid w:val="005d0cd5"/>
    <w:basedOn w:val="DefaultParagraphFont"/>
    <w:rPr>
      <w:sz w:val="18"/>
      <w:szCs w:val="18"/>
    </w:rPr>
  </w:style>
  <w:style w:type="character" w:styleId="CommentTextChar" w:customStyle="1">
    <w:name w:val="Comment Text Char"/>
    <w:uiPriority w:val="99"/>
    <w:semiHidden/>
    <w:link w:val="CommentText"/>
    <w:rsid w:val="005d0cd5"/>
    <w:basedOn w:val="DefaultParagraphFont"/>
    <w:rPr/>
  </w:style>
  <w:style w:type="character" w:styleId="CommentSubjectChar" w:customStyle="1">
    <w:name w:val="Comment Subject Char"/>
    <w:uiPriority w:val="99"/>
    <w:semiHidden/>
    <w:link w:val="CommentSubject"/>
    <w:rsid w:val="005d0cd5"/>
    <w:basedOn w:val="CommentTextChar"/>
    <w:rPr>
      <w:b/>
      <w:bCs/>
      <w:sz w:val="20"/>
      <w:szCs w:val="20"/>
    </w:rPr>
  </w:style>
  <w:style w:type="character" w:styleId="BalloonTextChar" w:customStyle="1">
    <w:name w:val="Balloon Text Char"/>
    <w:uiPriority w:val="99"/>
    <w:semiHidden/>
    <w:link w:val="BalloonText"/>
    <w:rsid w:val="005d0cd5"/>
    <w:basedOn w:val="DefaultParagraphFont"/>
    <w:rPr>
      <w:rFonts w:ascii="Lucida Grande" w:hAnsi="Lucida Grande" w:cs="Lucida Grande"/>
      <w:sz w:val="18"/>
      <w:szCs w:val="18"/>
    </w:rPr>
  </w:style>
  <w:style w:type="character" w:styleId="DocIDChar" w:customStyle="1">
    <w:name w:val="DocID Char"/>
    <w:link w:val="DocID"/>
    <w:rsid w:val="003313de"/>
    <w:basedOn w:val="DefaultParagraphFont"/>
    <w:rPr>
      <w:rFonts w:ascii="Arial" w:hAnsi="Arial" w:cs="Arial"/>
      <w:color w:val="FFFFFF"/>
      <w:sz w:val="16"/>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Header">
    <w:name w:val="Header"/>
    <w:uiPriority w:val="99"/>
    <w:unhideWhenUsed/>
    <w:link w:val="HeaderChar"/>
    <w:rsid w:val="00004fb9"/>
    <w:basedOn w:val="Normal"/>
    <w:pPr>
      <w:tabs>
        <w:tab w:val="center" w:pos="4680" w:leader="none"/>
        <w:tab w:val="right" w:pos="9360" w:leader="none"/>
      </w:tabs>
    </w:pPr>
    <w:rPr/>
  </w:style>
  <w:style w:type="paragraph" w:styleId="Footer">
    <w:name w:val="Footer"/>
    <w:uiPriority w:val="99"/>
    <w:unhideWhenUsed/>
    <w:link w:val="FooterChar"/>
    <w:rsid w:val="00004fb9"/>
    <w:basedOn w:val="Normal"/>
    <w:pPr>
      <w:tabs>
        <w:tab w:val="center" w:pos="4680" w:leader="none"/>
        <w:tab w:val="right" w:pos="9360" w:leader="none"/>
      </w:tabs>
    </w:pPr>
    <w:rPr/>
  </w:style>
  <w:style w:type="paragraph" w:styleId="Footnotetext">
    <w:name w:val="footnote text"/>
    <w:uiPriority w:val="99"/>
    <w:unhideWhenUsed/>
    <w:link w:val="FootnoteTextChar"/>
    <w:rsid w:val="00004fb9"/>
    <w:basedOn w:val="Normal"/>
    <w:pPr/>
    <w:rPr/>
  </w:style>
  <w:style w:type="paragraph" w:styleId="Annotationtext">
    <w:name w:val="annotation text"/>
    <w:uiPriority w:val="99"/>
    <w:semiHidden/>
    <w:unhideWhenUsed/>
    <w:link w:val="CommentTextChar"/>
    <w:rsid w:val="005d0cd5"/>
    <w:basedOn w:val="Normal"/>
    <w:pPr/>
    <w:rPr/>
  </w:style>
  <w:style w:type="paragraph" w:styleId="Annotationsubject">
    <w:name w:val="annotation subject"/>
    <w:uiPriority w:val="99"/>
    <w:semiHidden/>
    <w:unhideWhenUsed/>
    <w:link w:val="CommentSubjectChar"/>
    <w:rsid w:val="005d0cd5"/>
    <w:basedOn w:val="Annotationtext"/>
    <w:pPr/>
    <w:rPr>
      <w:b/>
      <w:bCs/>
      <w:sz w:val="20"/>
      <w:szCs w:val="20"/>
    </w:rPr>
  </w:style>
  <w:style w:type="paragraph" w:styleId="BalloonText">
    <w:name w:val="Balloon Text"/>
    <w:uiPriority w:val="99"/>
    <w:semiHidden/>
    <w:unhideWhenUsed/>
    <w:link w:val="BalloonTextChar"/>
    <w:rsid w:val="005d0cd5"/>
    <w:basedOn w:val="Normal"/>
    <w:pPr/>
    <w:rPr>
      <w:rFonts w:ascii="Lucida Grande" w:hAnsi="Lucida Grande" w:cs="Lucida Grande"/>
      <w:sz w:val="18"/>
      <w:szCs w:val="18"/>
    </w:rPr>
  </w:style>
  <w:style w:type="paragraph" w:styleId="DocID" w:customStyle="1">
    <w:name w:val="DocID"/>
    <w:link w:val="DocIDChar"/>
    <w:rsid w:val="003313de"/>
    <w:basedOn w:val="Normal"/>
    <w:pPr/>
    <w:rPr>
      <w:rFonts w:ascii="Arial" w:hAnsi="Arial" w:cs="Arial"/>
      <w:color w:val="FFFFFF"/>
      <w:sz w:val="16"/>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39"/>
    <w:rsid w:val="00004fb9"/>
    <w:tblP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comments" Target="comments.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BCDC43F-9A3E-4E7D-82CF-FAF754115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2016-07-20T22:44:00Z</dcterms:created>
  <dc:creator>Grace Abuhamad</dc:creator>
  <dc:language>en-GB</dc:language>
  <cp:lastModifiedBy>Gregory S. Shatan</cp:lastModifiedBy>
  <cp:lastPrinted>2016-07-05T22:43:00Z</cp:lastPrinted>
  <dcterms:modified xsi:type="dcterms:W3CDTF">2016-07-20T22:44:00Z</dcterms:modified>
  <cp:revision>2</cp:revision>
</cp:coreProperties>
</file>