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31.2" w:lineRule="auto"/>
        <w:contextualSpacing w:val="0"/>
      </w:pPr>
      <w:r w:rsidDel="00000000" w:rsidR="00000000" w:rsidRPr="00000000">
        <w:rPr>
          <w:rtl w:val="0"/>
        </w:rPr>
        <w:t xml:space="preserve">Requirements Template.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120.0" w:type="dxa"/>
        <w:jc w:val="left"/>
        <w:tblLayout w:type="fixed"/>
        <w:tblLook w:val="0600"/>
      </w:tblPr>
      <w:tblGrid>
        <w:gridCol w:w="3165"/>
        <w:gridCol w:w="5955"/>
        <w:tblGridChange w:id="0">
          <w:tblGrid>
            <w:gridCol w:w="3165"/>
            <w:gridCol w:w="5955"/>
          </w:tblGrid>
        </w:tblGridChange>
      </w:tblGrid>
      <w:tr>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spacing w:line="331.2" w:lineRule="auto"/>
              <w:ind w:left="360"/>
              <w:contextualSpacing w:val="0"/>
            </w:pPr>
            <w:r w:rsidDel="00000000" w:rsidR="00000000" w:rsidRPr="00000000">
              <w:rPr>
                <w:rFonts w:ascii="Calibri" w:cs="Calibri" w:eastAsia="Calibri" w:hAnsi="Calibri"/>
                <w:b w:val="1"/>
                <w:shd w:fill="b3b3b3" w:val="clear"/>
                <w:rtl w:val="0"/>
              </w:rPr>
              <w:t xml:space="preserve">Design Team X</w:t>
            </w:r>
            <w:r w:rsidDel="00000000" w:rsidR="00000000" w:rsidRPr="00000000">
              <w:rPr>
                <w:shd w:fill="b3b3b3" w:val="clear"/>
                <w:rtl w:val="0"/>
              </w:rPr>
              <w:t xml:space="preserve">           </w:t>
              <w:tab/>
              <w:t xml:space="preserve"> </w:t>
            </w:r>
            <w:r w:rsidDel="00000000" w:rsidR="00000000" w:rsidRPr="00000000">
              <w:rPr>
                <w:rFonts w:ascii="Calibri" w:cs="Calibri" w:eastAsia="Calibri" w:hAnsi="Calibri"/>
                <w:b w:val="1"/>
                <w:shd w:fill="b3b3b3" w:val="clear"/>
                <w:rtl w:val="0"/>
              </w:rPr>
              <w:t xml:space="preserve"> </w:t>
            </w:r>
          </w:p>
        </w:tc>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shd w:fill="b3b3b3" w:val="clear"/>
                <w:rtl w:val="0"/>
              </w:rPr>
              <w:t xml:space="preserve">RFP Mechanism</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Draft Transition Proposal Reference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rtl w:val="0"/>
              </w:rPr>
              <w:t xml:space="preserve">III.A.ii (?) and section VI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Summary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ind w:right="20"/>
              <w:contextualSpacing w:val="0"/>
            </w:pPr>
            <w:r w:rsidDel="00000000" w:rsidR="00000000" w:rsidRPr="00000000">
              <w:rPr>
                <w:rFonts w:ascii="Calibri" w:cs="Calibri" w:eastAsia="Calibri" w:hAnsi="Calibri"/>
                <w:rtl w:val="0"/>
              </w:rPr>
              <w:t xml:space="preserve">One of the basic components of an internal or affiliate model is the possibility of an RFP process.  Contract Co. type solutions and free standing solutions would not require this mechanism, though they might have similar mechanisms of their own.</w:t>
            </w:r>
          </w:p>
          <w:p w:rsidR="00000000" w:rsidDel="00000000" w:rsidP="00000000" w:rsidRDefault="00000000" w:rsidRPr="00000000">
            <w:pPr>
              <w:spacing w:line="331.2" w:lineRule="auto"/>
              <w:ind w:right="20"/>
              <w:contextualSpacing w:val="0"/>
            </w:pPr>
            <w:r w:rsidDel="00000000" w:rsidR="00000000" w:rsidRPr="00000000">
              <w:rPr>
                <w:rtl w:val="0"/>
              </w:rPr>
            </w:r>
          </w:p>
          <w:p w:rsidR="00000000" w:rsidDel="00000000" w:rsidP="00000000" w:rsidRDefault="00000000" w:rsidRPr="00000000">
            <w:pPr>
              <w:spacing w:line="331.2" w:lineRule="auto"/>
              <w:ind w:right="20"/>
              <w:contextualSpacing w:val="0"/>
            </w:pPr>
            <w:r w:rsidDel="00000000" w:rsidR="00000000" w:rsidRPr="00000000">
              <w:rPr>
                <w:rFonts w:ascii="Calibri" w:cs="Calibri" w:eastAsia="Calibri" w:hAnsi="Calibri"/>
                <w:rtl w:val="0"/>
              </w:rPr>
              <w:t xml:space="preserve">This seems to be a gap in our current work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Detailed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rFonts w:ascii="Calibri" w:cs="Calibri" w:eastAsia="Calibri" w:hAnsi="Calibri"/>
                <w:rtl w:val="0"/>
              </w:rPr>
              <w:t xml:space="preserve">Propose a mechanism including:</w:t>
            </w:r>
          </w:p>
          <w:p w:rsidR="00000000" w:rsidDel="00000000" w:rsidP="00000000" w:rsidRDefault="00000000" w:rsidRPr="00000000">
            <w:pPr>
              <w:numPr>
                <w:ilvl w:val="0"/>
                <w:numId w:val="2"/>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What triggers the RFP Mechanism&gt;</w:t>
            </w:r>
          </w:p>
          <w:p w:rsidR="00000000" w:rsidDel="00000000" w:rsidP="00000000" w:rsidRDefault="00000000" w:rsidRPr="00000000">
            <w:pPr>
              <w:numPr>
                <w:ilvl w:val="1"/>
                <w:numId w:val="2"/>
              </w:numPr>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What escalation processes result in the trigger?</w:t>
            </w:r>
          </w:p>
          <w:p w:rsidR="00000000" w:rsidDel="00000000" w:rsidP="00000000" w:rsidRDefault="00000000" w:rsidRPr="00000000">
            <w:pPr>
              <w:numPr>
                <w:ilvl w:val="1"/>
                <w:numId w:val="2"/>
              </w:numPr>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Who participates in the trigger?</w:t>
            </w:r>
          </w:p>
          <w:p w:rsidR="00000000" w:rsidDel="00000000" w:rsidP="00000000" w:rsidRDefault="00000000" w:rsidRPr="00000000">
            <w:pPr>
              <w:numPr>
                <w:ilvl w:val="1"/>
                <w:numId w:val="2"/>
              </w:numPr>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Are there several possible triggers?</w:t>
            </w:r>
          </w:p>
          <w:p w:rsidR="00000000" w:rsidDel="00000000" w:rsidP="00000000" w:rsidRDefault="00000000" w:rsidRPr="00000000">
            <w:pPr>
              <w:numPr>
                <w:ilvl w:val="0"/>
                <w:numId w:val="2"/>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How  is the RFP mechanism work organized?</w:t>
            </w:r>
          </w:p>
          <w:p w:rsidR="00000000" w:rsidDel="00000000" w:rsidP="00000000" w:rsidRDefault="00000000" w:rsidRPr="00000000">
            <w:pPr>
              <w:numPr>
                <w:ilvl w:val="0"/>
                <w:numId w:val="2"/>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Who participates in the RFP mechanism?</w:t>
            </w:r>
          </w:p>
          <w:p w:rsidR="00000000" w:rsidDel="00000000" w:rsidP="00000000" w:rsidRDefault="00000000" w:rsidRPr="00000000">
            <w:pPr>
              <w:numPr>
                <w:ilvl w:val="0"/>
                <w:numId w:val="2"/>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How is community involved? </w:t>
            </w:r>
          </w:p>
          <w:p w:rsidR="00000000" w:rsidDel="00000000" w:rsidP="00000000" w:rsidRDefault="00000000" w:rsidRPr="00000000">
            <w:pPr>
              <w:numPr>
                <w:ilvl w:val="1"/>
                <w:numId w:val="2"/>
              </w:numPr>
              <w:ind w:left="144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Are comment periods enough?</w:t>
            </w:r>
          </w:p>
          <w:p w:rsidR="00000000" w:rsidDel="00000000" w:rsidP="00000000" w:rsidRDefault="00000000" w:rsidRPr="00000000">
            <w:pPr>
              <w:numPr>
                <w:ilvl w:val="0"/>
                <w:numId w:val="2"/>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How is the selection of a provider determined?</w:t>
            </w:r>
          </w:p>
          <w:p w:rsidR="00000000" w:rsidDel="00000000" w:rsidP="00000000" w:rsidRDefault="00000000" w:rsidRPr="00000000">
            <w:pPr>
              <w:numPr>
                <w:ilvl w:val="0"/>
                <w:numId w:val="2"/>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Which CCWG mechanisms/powers would it rely on?</w:t>
            </w:r>
          </w:p>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Proposed Membership</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Good to include people who have done (created, administered, and/or participated &amp;c, in)  RFPs before.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Graduates of DT-{C, F, L, M, N} </w:t>
            </w:r>
          </w:p>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Proposed by / Lead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rtl w:val="0"/>
              </w:rPr>
              <w:t xml:space="preserve">Avri Doria, Matt Shears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Status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Step 0</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Determination by CWG Chairs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 work to be done in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