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74" w:rsidRDefault="00F678E1" w:rsidP="000D7E60">
      <w:pPr>
        <w:jc w:val="center"/>
        <w:rPr>
          <w:b/>
          <w:sz w:val="32"/>
          <w:szCs w:val="32"/>
        </w:rPr>
      </w:pPr>
      <w:bookmarkStart w:id="0" w:name="_GoBack"/>
      <w:bookmarkEnd w:id="0"/>
      <w:r>
        <w:rPr>
          <w:b/>
          <w:sz w:val="32"/>
          <w:szCs w:val="32"/>
        </w:rPr>
        <w:t xml:space="preserve">SAMPLE </w:t>
      </w:r>
      <w:r w:rsidR="00A90865">
        <w:rPr>
          <w:b/>
          <w:sz w:val="32"/>
          <w:szCs w:val="32"/>
        </w:rPr>
        <w:t xml:space="preserve">TRIAGE </w:t>
      </w:r>
      <w:r w:rsidR="000D7E60" w:rsidRPr="000D7E60">
        <w:rPr>
          <w:b/>
          <w:sz w:val="32"/>
          <w:szCs w:val="32"/>
        </w:rPr>
        <w:t>OF IANA FUNCTIONS CONTRACT</w:t>
      </w:r>
      <w:r w:rsidR="00A1140C">
        <w:rPr>
          <w:rStyle w:val="FootnoteReference"/>
          <w:b/>
          <w:sz w:val="32"/>
          <w:szCs w:val="32"/>
        </w:rPr>
        <w:footnoteReference w:id="1"/>
      </w:r>
    </w:p>
    <w:p w:rsidR="00A90865" w:rsidRDefault="00A90865" w:rsidP="00345558">
      <w:pPr>
        <w:rPr>
          <w:sz w:val="24"/>
          <w:szCs w:val="24"/>
        </w:rPr>
      </w:pPr>
      <w:r>
        <w:rPr>
          <w:sz w:val="24"/>
          <w:szCs w:val="24"/>
        </w:rPr>
        <w:t xml:space="preserve">The current IANA functions contract represents the responsibilities that ICANN/IANA has undertaken to perform in its contract with the NTIA.  These individual contract terms </w:t>
      </w:r>
      <w:r w:rsidR="00B433D7">
        <w:rPr>
          <w:sz w:val="24"/>
          <w:szCs w:val="24"/>
        </w:rPr>
        <w:t xml:space="preserve">should </w:t>
      </w:r>
      <w:r>
        <w:rPr>
          <w:sz w:val="24"/>
          <w:szCs w:val="24"/>
        </w:rPr>
        <w:t>be assessed to determine:</w:t>
      </w:r>
    </w:p>
    <w:p w:rsidR="00A90865" w:rsidRDefault="00A90865" w:rsidP="00A90865">
      <w:pPr>
        <w:pStyle w:val="ListParagraph"/>
        <w:numPr>
          <w:ilvl w:val="0"/>
          <w:numId w:val="2"/>
        </w:numPr>
        <w:rPr>
          <w:sz w:val="24"/>
          <w:szCs w:val="24"/>
        </w:rPr>
      </w:pPr>
      <w:r>
        <w:rPr>
          <w:sz w:val="24"/>
          <w:szCs w:val="24"/>
        </w:rPr>
        <w:t xml:space="preserve">Which </w:t>
      </w:r>
      <w:r w:rsidR="00B433D7">
        <w:rPr>
          <w:sz w:val="24"/>
          <w:szCs w:val="24"/>
        </w:rPr>
        <w:t xml:space="preserve">provisions </w:t>
      </w:r>
      <w:r>
        <w:rPr>
          <w:sz w:val="24"/>
          <w:szCs w:val="24"/>
        </w:rPr>
        <w:t>should be retained in a future arrangement to which NTIA will not be a party;</w:t>
      </w:r>
    </w:p>
    <w:p w:rsidR="00A90865" w:rsidRDefault="00A90865" w:rsidP="00A90865">
      <w:pPr>
        <w:pStyle w:val="ListParagraph"/>
        <w:numPr>
          <w:ilvl w:val="0"/>
          <w:numId w:val="2"/>
        </w:numPr>
        <w:rPr>
          <w:sz w:val="24"/>
          <w:szCs w:val="24"/>
        </w:rPr>
      </w:pPr>
      <w:r>
        <w:rPr>
          <w:sz w:val="24"/>
          <w:szCs w:val="24"/>
        </w:rPr>
        <w:t>Which are specific to US government contracting practices and need not be retained;</w:t>
      </w:r>
    </w:p>
    <w:p w:rsidR="00A90865" w:rsidRDefault="00A90865" w:rsidP="00A90865">
      <w:pPr>
        <w:pStyle w:val="ListParagraph"/>
        <w:numPr>
          <w:ilvl w:val="0"/>
          <w:numId w:val="2"/>
        </w:numPr>
        <w:rPr>
          <w:sz w:val="24"/>
          <w:szCs w:val="24"/>
        </w:rPr>
      </w:pPr>
      <w:r>
        <w:rPr>
          <w:sz w:val="24"/>
          <w:szCs w:val="24"/>
        </w:rPr>
        <w:t>Which might need to be strengthened or enhanced to reflect the absence of overall NTIA stewardship, and</w:t>
      </w:r>
    </w:p>
    <w:p w:rsidR="00A90865" w:rsidRDefault="00A90865" w:rsidP="00A90865">
      <w:pPr>
        <w:pStyle w:val="ListParagraph"/>
        <w:numPr>
          <w:ilvl w:val="0"/>
          <w:numId w:val="2"/>
        </w:numPr>
        <w:rPr>
          <w:sz w:val="24"/>
          <w:szCs w:val="24"/>
        </w:rPr>
      </w:pPr>
      <w:r>
        <w:rPr>
          <w:sz w:val="24"/>
          <w:szCs w:val="24"/>
        </w:rPr>
        <w:t>Which may have a clear link to oversight and accountability.</w:t>
      </w:r>
    </w:p>
    <w:p w:rsidR="00F641C8" w:rsidRDefault="00F641C8" w:rsidP="00A90865">
      <w:pPr>
        <w:pStyle w:val="ListParagraph"/>
        <w:numPr>
          <w:ilvl w:val="0"/>
          <w:numId w:val="2"/>
        </w:numPr>
        <w:rPr>
          <w:sz w:val="24"/>
          <w:szCs w:val="24"/>
        </w:rPr>
      </w:pPr>
      <w:r>
        <w:rPr>
          <w:sz w:val="24"/>
          <w:szCs w:val="24"/>
        </w:rPr>
        <w:t>Out of Scope for CWG</w:t>
      </w:r>
    </w:p>
    <w:p w:rsidR="00A90865" w:rsidRDefault="00A90865" w:rsidP="00A90865">
      <w:pPr>
        <w:rPr>
          <w:sz w:val="24"/>
          <w:szCs w:val="24"/>
        </w:rPr>
      </w:pPr>
      <w:r>
        <w:rPr>
          <w:sz w:val="24"/>
          <w:szCs w:val="24"/>
        </w:rPr>
        <w:t xml:space="preserve">The provisions below represent </w:t>
      </w:r>
      <w:r w:rsidRPr="00A90865">
        <w:rPr>
          <w:b/>
          <w:sz w:val="24"/>
          <w:szCs w:val="24"/>
          <w:u w:val="single"/>
        </w:rPr>
        <w:t>examples</w:t>
      </w:r>
      <w:r>
        <w:rPr>
          <w:sz w:val="24"/>
          <w:szCs w:val="24"/>
        </w:rPr>
        <w:t xml:space="preserve"> of provisions in the existing contract that may fall into each of these four categories.  A more complete triage can be undertaken once there is agreement on this</w:t>
      </w:r>
      <w:r w:rsidR="00B433D7">
        <w:rPr>
          <w:sz w:val="24"/>
          <w:szCs w:val="24"/>
        </w:rPr>
        <w:t xml:space="preserve"> initial</w:t>
      </w:r>
      <w:r>
        <w:rPr>
          <w:sz w:val="24"/>
          <w:szCs w:val="24"/>
        </w:rPr>
        <w:t xml:space="preserve"> categorization. </w:t>
      </w:r>
    </w:p>
    <w:tbl>
      <w:tblPr>
        <w:tblStyle w:val="TableGrid"/>
        <w:tblW w:w="13176" w:type="dxa"/>
        <w:tblLook w:val="04A0" w:firstRow="1" w:lastRow="0" w:firstColumn="1" w:lastColumn="0" w:noHBand="0" w:noVBand="1"/>
      </w:tblPr>
      <w:tblGrid>
        <w:gridCol w:w="693"/>
        <w:gridCol w:w="1021"/>
        <w:gridCol w:w="5877"/>
        <w:gridCol w:w="871"/>
        <w:gridCol w:w="881"/>
        <w:gridCol w:w="1064"/>
        <w:gridCol w:w="1534"/>
        <w:gridCol w:w="1235"/>
      </w:tblGrid>
      <w:tr w:rsidR="00B433D7" w:rsidTr="00F641C8">
        <w:tc>
          <w:tcPr>
            <w:tcW w:w="693" w:type="dxa"/>
          </w:tcPr>
          <w:p w:rsidR="00F641C8" w:rsidRPr="00A14A6C" w:rsidRDefault="00F641C8" w:rsidP="00F63495">
            <w:pPr>
              <w:jc w:val="center"/>
              <w:rPr>
                <w:b/>
              </w:rPr>
            </w:pPr>
            <w:r>
              <w:rPr>
                <w:b/>
              </w:rPr>
              <w:t>Page</w:t>
            </w:r>
          </w:p>
        </w:tc>
        <w:tc>
          <w:tcPr>
            <w:tcW w:w="1021" w:type="dxa"/>
          </w:tcPr>
          <w:p w:rsidR="00F641C8" w:rsidRDefault="00F641C8" w:rsidP="00A14A6C">
            <w:pPr>
              <w:jc w:val="center"/>
              <w:rPr>
                <w:b/>
              </w:rPr>
            </w:pPr>
            <w:r>
              <w:rPr>
                <w:b/>
              </w:rPr>
              <w:t>SECTION</w:t>
            </w:r>
          </w:p>
        </w:tc>
        <w:tc>
          <w:tcPr>
            <w:tcW w:w="5877" w:type="dxa"/>
          </w:tcPr>
          <w:p w:rsidR="00F641C8" w:rsidRPr="00A14A6C" w:rsidRDefault="00F641C8" w:rsidP="00A14A6C">
            <w:pPr>
              <w:jc w:val="center"/>
              <w:rPr>
                <w:b/>
              </w:rPr>
            </w:pPr>
            <w:r w:rsidRPr="00A14A6C">
              <w:rPr>
                <w:b/>
              </w:rPr>
              <w:t>SUBJECT</w:t>
            </w:r>
          </w:p>
        </w:tc>
        <w:tc>
          <w:tcPr>
            <w:tcW w:w="871" w:type="dxa"/>
          </w:tcPr>
          <w:p w:rsidR="00F641C8" w:rsidRDefault="00F641C8" w:rsidP="00A14A6C">
            <w:pPr>
              <w:jc w:val="center"/>
              <w:rPr>
                <w:b/>
              </w:rPr>
            </w:pPr>
            <w:r>
              <w:rPr>
                <w:b/>
              </w:rPr>
              <w:t>A</w:t>
            </w:r>
          </w:p>
          <w:p w:rsidR="00F641C8" w:rsidRPr="00A14A6C" w:rsidRDefault="00F641C8" w:rsidP="00A14A6C">
            <w:pPr>
              <w:jc w:val="center"/>
              <w:rPr>
                <w:b/>
              </w:rPr>
            </w:pPr>
            <w:r>
              <w:rPr>
                <w:b/>
              </w:rPr>
              <w:t>Retain</w:t>
            </w:r>
          </w:p>
        </w:tc>
        <w:tc>
          <w:tcPr>
            <w:tcW w:w="881" w:type="dxa"/>
          </w:tcPr>
          <w:p w:rsidR="00F641C8" w:rsidRDefault="00F641C8" w:rsidP="00A14A6C">
            <w:pPr>
              <w:jc w:val="center"/>
              <w:rPr>
                <w:b/>
              </w:rPr>
            </w:pPr>
            <w:r>
              <w:rPr>
                <w:b/>
              </w:rPr>
              <w:t>B</w:t>
            </w:r>
          </w:p>
          <w:p w:rsidR="00F641C8" w:rsidRPr="00A14A6C" w:rsidRDefault="00F641C8" w:rsidP="00A14A6C">
            <w:pPr>
              <w:jc w:val="center"/>
              <w:rPr>
                <w:b/>
              </w:rPr>
            </w:pPr>
            <w:r>
              <w:rPr>
                <w:b/>
              </w:rPr>
              <w:t>Do Not  Retain</w:t>
            </w:r>
          </w:p>
        </w:tc>
        <w:tc>
          <w:tcPr>
            <w:tcW w:w="1064" w:type="dxa"/>
          </w:tcPr>
          <w:p w:rsidR="00F641C8" w:rsidRDefault="00F641C8" w:rsidP="00A14A6C">
            <w:pPr>
              <w:jc w:val="center"/>
              <w:rPr>
                <w:b/>
              </w:rPr>
            </w:pPr>
            <w:r>
              <w:rPr>
                <w:b/>
              </w:rPr>
              <w:t>C</w:t>
            </w:r>
          </w:p>
          <w:p w:rsidR="00F641C8" w:rsidRDefault="00681220" w:rsidP="00F950AE">
            <w:pPr>
              <w:jc w:val="center"/>
              <w:rPr>
                <w:b/>
              </w:rPr>
            </w:pPr>
            <w:r>
              <w:rPr>
                <w:b/>
              </w:rPr>
              <w:t xml:space="preserve">Likely </w:t>
            </w:r>
            <w:r w:rsidR="00F641C8">
              <w:rPr>
                <w:b/>
              </w:rPr>
              <w:t xml:space="preserve">Needs </w:t>
            </w:r>
            <w:r w:rsidR="00F641C8" w:rsidRPr="00F950AE">
              <w:rPr>
                <w:b/>
                <w:sz w:val="20"/>
                <w:szCs w:val="20"/>
              </w:rPr>
              <w:t xml:space="preserve">Improving </w:t>
            </w:r>
          </w:p>
        </w:tc>
        <w:tc>
          <w:tcPr>
            <w:tcW w:w="1534" w:type="dxa"/>
          </w:tcPr>
          <w:p w:rsidR="00F641C8" w:rsidRDefault="00F641C8" w:rsidP="00A14A6C">
            <w:pPr>
              <w:jc w:val="center"/>
              <w:rPr>
                <w:b/>
              </w:rPr>
            </w:pPr>
            <w:r>
              <w:rPr>
                <w:b/>
              </w:rPr>
              <w:t>D</w:t>
            </w:r>
          </w:p>
          <w:p w:rsidR="00F641C8" w:rsidRDefault="00F641C8" w:rsidP="00A14A6C">
            <w:pPr>
              <w:jc w:val="center"/>
              <w:rPr>
                <w:b/>
              </w:rPr>
            </w:pPr>
            <w:r>
              <w:rPr>
                <w:b/>
              </w:rPr>
              <w:t xml:space="preserve">Linked to </w:t>
            </w:r>
            <w:r w:rsidR="00B433D7">
              <w:rPr>
                <w:b/>
              </w:rPr>
              <w:t xml:space="preserve">Oversight &amp; </w:t>
            </w:r>
            <w:r>
              <w:rPr>
                <w:b/>
              </w:rPr>
              <w:t>Accountability</w:t>
            </w:r>
          </w:p>
        </w:tc>
        <w:tc>
          <w:tcPr>
            <w:tcW w:w="1235" w:type="dxa"/>
          </w:tcPr>
          <w:p w:rsidR="00F641C8" w:rsidRDefault="00F641C8" w:rsidP="00A14A6C">
            <w:pPr>
              <w:jc w:val="center"/>
              <w:rPr>
                <w:b/>
              </w:rPr>
            </w:pPr>
            <w:r>
              <w:rPr>
                <w:b/>
              </w:rPr>
              <w:t>E</w:t>
            </w:r>
          </w:p>
          <w:p w:rsidR="00F641C8" w:rsidRDefault="00F641C8" w:rsidP="00A14A6C">
            <w:pPr>
              <w:jc w:val="center"/>
              <w:rPr>
                <w:b/>
              </w:rPr>
            </w:pPr>
            <w:r>
              <w:rPr>
                <w:b/>
              </w:rPr>
              <w:t>Out of Scope</w:t>
            </w:r>
          </w:p>
        </w:tc>
      </w:tr>
      <w:tr w:rsidR="00B433D7" w:rsidTr="00F641C8">
        <w:tc>
          <w:tcPr>
            <w:tcW w:w="693" w:type="dxa"/>
          </w:tcPr>
          <w:p w:rsidR="00F641C8" w:rsidRPr="00356B32" w:rsidRDefault="00F641C8" w:rsidP="00356B32">
            <w:pPr>
              <w:jc w:val="center"/>
            </w:pPr>
            <w:r>
              <w:t>6</w:t>
            </w:r>
          </w:p>
        </w:tc>
        <w:tc>
          <w:tcPr>
            <w:tcW w:w="1021" w:type="dxa"/>
          </w:tcPr>
          <w:p w:rsidR="00F641C8" w:rsidRPr="006E559E" w:rsidRDefault="00F641C8" w:rsidP="00FB260B">
            <w:pPr>
              <w:jc w:val="center"/>
              <w:rPr>
                <w:b/>
              </w:rPr>
            </w:pPr>
            <w:r w:rsidRPr="00F63495">
              <w:rPr>
                <w:b/>
              </w:rPr>
              <w:t>C.2.8</w:t>
            </w:r>
          </w:p>
        </w:tc>
        <w:tc>
          <w:tcPr>
            <w:tcW w:w="5877" w:type="dxa"/>
          </w:tcPr>
          <w:p w:rsidR="00F641C8" w:rsidRPr="006E559E" w:rsidRDefault="00F641C8" w:rsidP="00F641C8">
            <w:pPr>
              <w:rPr>
                <w:b/>
              </w:rPr>
            </w:pPr>
            <w:r w:rsidRPr="00F63495">
              <w:rPr>
                <w:b/>
              </w:rPr>
              <w:t>Performance Standards</w:t>
            </w:r>
            <w:r>
              <w:t xml:space="preserve"> – Within six (6) months of award, the Contractor shall develop performance standards, in collaboration with all interested and affected parties as enumerated in Section C.1.3, for each of the IANA functions as set forth  at C.2.9 to C.2.9.4</w:t>
            </w:r>
          </w:p>
        </w:tc>
        <w:tc>
          <w:tcPr>
            <w:tcW w:w="871" w:type="dxa"/>
          </w:tcPr>
          <w:p w:rsidR="00F641C8" w:rsidRPr="00A92B53" w:rsidRDefault="00F641C8" w:rsidP="00B452FB">
            <w:pPr>
              <w:jc w:val="center"/>
              <w:rPr>
                <w:b/>
              </w:rPr>
            </w:pPr>
            <w:r>
              <w:rPr>
                <w:b/>
              </w:rPr>
              <w:t>X</w:t>
            </w:r>
          </w:p>
        </w:tc>
        <w:tc>
          <w:tcPr>
            <w:tcW w:w="881" w:type="dxa"/>
          </w:tcPr>
          <w:p w:rsidR="00F641C8" w:rsidRPr="00A92B53" w:rsidRDefault="00F641C8" w:rsidP="00B452FB">
            <w:pPr>
              <w:jc w:val="center"/>
              <w:rPr>
                <w:b/>
              </w:rPr>
            </w:pPr>
          </w:p>
        </w:tc>
        <w:tc>
          <w:tcPr>
            <w:tcW w:w="1064" w:type="dxa"/>
          </w:tcPr>
          <w:p w:rsidR="00F641C8" w:rsidRPr="00A92B53" w:rsidRDefault="00F641C8" w:rsidP="00B452FB">
            <w:pPr>
              <w:jc w:val="center"/>
              <w:rPr>
                <w:b/>
              </w:rPr>
            </w:pPr>
            <w:r>
              <w:rPr>
                <w:b/>
              </w:rPr>
              <w:t>X</w:t>
            </w:r>
          </w:p>
        </w:tc>
        <w:tc>
          <w:tcPr>
            <w:tcW w:w="1534" w:type="dxa"/>
          </w:tcPr>
          <w:p w:rsidR="00F641C8" w:rsidRPr="00A92B53" w:rsidRDefault="00F641C8" w:rsidP="00B452FB">
            <w:pPr>
              <w:jc w:val="center"/>
              <w:rPr>
                <w:b/>
              </w:rPr>
            </w:pPr>
            <w:r>
              <w:rPr>
                <w:b/>
              </w:rPr>
              <w:t>X</w:t>
            </w:r>
          </w:p>
        </w:tc>
        <w:tc>
          <w:tcPr>
            <w:tcW w:w="1235" w:type="dxa"/>
          </w:tcPr>
          <w:p w:rsidR="00F641C8" w:rsidRPr="00A92B53" w:rsidRDefault="00F641C8" w:rsidP="00B452FB">
            <w:pPr>
              <w:jc w:val="center"/>
              <w:rPr>
                <w:b/>
              </w:rPr>
            </w:pPr>
          </w:p>
        </w:tc>
      </w:tr>
      <w:tr w:rsidR="00B433D7" w:rsidTr="00F641C8">
        <w:tc>
          <w:tcPr>
            <w:tcW w:w="693" w:type="dxa"/>
          </w:tcPr>
          <w:p w:rsidR="005A7EB8" w:rsidRDefault="005A7EB8" w:rsidP="00356B32">
            <w:pPr>
              <w:jc w:val="center"/>
            </w:pPr>
            <w:r>
              <w:t>8</w:t>
            </w:r>
          </w:p>
        </w:tc>
        <w:tc>
          <w:tcPr>
            <w:tcW w:w="1021" w:type="dxa"/>
          </w:tcPr>
          <w:p w:rsidR="005A7EB8" w:rsidRPr="00F63495" w:rsidRDefault="005A7EB8" w:rsidP="00FB260B">
            <w:pPr>
              <w:jc w:val="center"/>
              <w:rPr>
                <w:b/>
              </w:rPr>
            </w:pPr>
            <w:r>
              <w:rPr>
                <w:b/>
              </w:rPr>
              <w:t>C.2.9.4</w:t>
            </w:r>
          </w:p>
        </w:tc>
        <w:tc>
          <w:tcPr>
            <w:tcW w:w="5877" w:type="dxa"/>
          </w:tcPr>
          <w:p w:rsidR="005A7EB8" w:rsidRPr="00F63495" w:rsidRDefault="005A7EB8" w:rsidP="00F641C8">
            <w:pPr>
              <w:rPr>
                <w:b/>
              </w:rPr>
            </w:pPr>
            <w:r>
              <w:rPr>
                <w:b/>
              </w:rPr>
              <w:t>Allocate Internet Numbering Resources</w:t>
            </w:r>
          </w:p>
        </w:tc>
        <w:tc>
          <w:tcPr>
            <w:tcW w:w="871" w:type="dxa"/>
          </w:tcPr>
          <w:p w:rsidR="005A7EB8" w:rsidRDefault="005A7EB8" w:rsidP="00B452FB">
            <w:pPr>
              <w:jc w:val="center"/>
              <w:rPr>
                <w:b/>
              </w:rPr>
            </w:pPr>
          </w:p>
        </w:tc>
        <w:tc>
          <w:tcPr>
            <w:tcW w:w="881" w:type="dxa"/>
          </w:tcPr>
          <w:p w:rsidR="005A7EB8" w:rsidRPr="00A92B53" w:rsidRDefault="005A7EB8" w:rsidP="00B452FB">
            <w:pPr>
              <w:jc w:val="center"/>
              <w:rPr>
                <w:b/>
              </w:rPr>
            </w:pPr>
          </w:p>
        </w:tc>
        <w:tc>
          <w:tcPr>
            <w:tcW w:w="1064" w:type="dxa"/>
          </w:tcPr>
          <w:p w:rsidR="005A7EB8" w:rsidRDefault="005A7EB8" w:rsidP="00B452FB">
            <w:pPr>
              <w:jc w:val="center"/>
              <w:rPr>
                <w:b/>
              </w:rPr>
            </w:pPr>
          </w:p>
        </w:tc>
        <w:tc>
          <w:tcPr>
            <w:tcW w:w="1534" w:type="dxa"/>
          </w:tcPr>
          <w:p w:rsidR="005A7EB8" w:rsidRDefault="005A7EB8" w:rsidP="00B452FB">
            <w:pPr>
              <w:jc w:val="center"/>
              <w:rPr>
                <w:b/>
              </w:rPr>
            </w:pPr>
          </w:p>
        </w:tc>
        <w:tc>
          <w:tcPr>
            <w:tcW w:w="1235" w:type="dxa"/>
          </w:tcPr>
          <w:p w:rsidR="005A7EB8" w:rsidRPr="00A92B53" w:rsidRDefault="005A7EB8" w:rsidP="00B452FB">
            <w:pPr>
              <w:jc w:val="center"/>
              <w:rPr>
                <w:b/>
              </w:rPr>
            </w:pPr>
            <w:r>
              <w:rPr>
                <w:b/>
              </w:rPr>
              <w:t>X</w:t>
            </w:r>
          </w:p>
        </w:tc>
      </w:tr>
      <w:tr w:rsidR="00B433D7" w:rsidTr="00F641C8">
        <w:tc>
          <w:tcPr>
            <w:tcW w:w="693" w:type="dxa"/>
          </w:tcPr>
          <w:p w:rsidR="00681220" w:rsidRPr="00356B32" w:rsidRDefault="00681220" w:rsidP="00356B32">
            <w:pPr>
              <w:jc w:val="center"/>
            </w:pPr>
            <w:r>
              <w:t>12</w:t>
            </w:r>
          </w:p>
        </w:tc>
        <w:tc>
          <w:tcPr>
            <w:tcW w:w="1021" w:type="dxa"/>
          </w:tcPr>
          <w:p w:rsidR="00681220" w:rsidRPr="00F63495" w:rsidRDefault="00681220" w:rsidP="00FB260B">
            <w:pPr>
              <w:jc w:val="center"/>
              <w:rPr>
                <w:b/>
              </w:rPr>
            </w:pPr>
            <w:r w:rsidRPr="000D7E60">
              <w:rPr>
                <w:b/>
              </w:rPr>
              <w:t>C.6.1</w:t>
            </w:r>
          </w:p>
        </w:tc>
        <w:tc>
          <w:tcPr>
            <w:tcW w:w="5877" w:type="dxa"/>
          </w:tcPr>
          <w:p w:rsidR="00681220" w:rsidRDefault="00681220" w:rsidP="00A10495">
            <w:r>
              <w:rPr>
                <w:b/>
              </w:rPr>
              <w:t>CONFLICT OF INTEREST REQUIREMENTS</w:t>
            </w:r>
            <w:r>
              <w:t xml:space="preserve"> …The Contractor shall maintain a written, enforced conflict of interest policy that defines what constitutes a potential or actual conflict of interest for the Contractor… </w:t>
            </w:r>
          </w:p>
        </w:tc>
        <w:tc>
          <w:tcPr>
            <w:tcW w:w="871" w:type="dxa"/>
          </w:tcPr>
          <w:p w:rsidR="00681220" w:rsidRPr="00A92B53" w:rsidRDefault="00681220" w:rsidP="00B452FB">
            <w:pPr>
              <w:jc w:val="center"/>
              <w:rPr>
                <w:b/>
              </w:rPr>
            </w:pPr>
            <w:r>
              <w:rPr>
                <w:b/>
              </w:rPr>
              <w:t>X</w:t>
            </w:r>
          </w:p>
        </w:tc>
        <w:tc>
          <w:tcPr>
            <w:tcW w:w="881" w:type="dxa"/>
          </w:tcPr>
          <w:p w:rsidR="00681220" w:rsidRPr="00A92B53" w:rsidRDefault="00681220" w:rsidP="00B452FB">
            <w:pPr>
              <w:jc w:val="center"/>
              <w:rPr>
                <w:b/>
              </w:rPr>
            </w:pPr>
          </w:p>
        </w:tc>
        <w:tc>
          <w:tcPr>
            <w:tcW w:w="1064" w:type="dxa"/>
          </w:tcPr>
          <w:p w:rsidR="00681220" w:rsidRPr="00A92B53" w:rsidRDefault="00681220" w:rsidP="00B452FB">
            <w:pPr>
              <w:jc w:val="center"/>
              <w:rPr>
                <w:b/>
              </w:rPr>
            </w:pPr>
          </w:p>
        </w:tc>
        <w:tc>
          <w:tcPr>
            <w:tcW w:w="1534" w:type="dxa"/>
          </w:tcPr>
          <w:p w:rsidR="00681220" w:rsidRPr="00A92B53" w:rsidRDefault="00681220" w:rsidP="00B452FB">
            <w:pPr>
              <w:jc w:val="center"/>
              <w:rPr>
                <w:b/>
              </w:rPr>
            </w:pPr>
          </w:p>
        </w:tc>
        <w:tc>
          <w:tcPr>
            <w:tcW w:w="1235" w:type="dxa"/>
          </w:tcPr>
          <w:p w:rsidR="00681220" w:rsidRPr="00A92B53" w:rsidRDefault="00681220" w:rsidP="00B452FB">
            <w:pPr>
              <w:jc w:val="center"/>
              <w:rPr>
                <w:b/>
              </w:rPr>
            </w:pPr>
          </w:p>
        </w:tc>
      </w:tr>
      <w:tr w:rsidR="00B433D7" w:rsidTr="00F641C8">
        <w:tc>
          <w:tcPr>
            <w:tcW w:w="693" w:type="dxa"/>
          </w:tcPr>
          <w:p w:rsidR="00681220" w:rsidRPr="00356B32" w:rsidRDefault="00681220" w:rsidP="00356B32">
            <w:pPr>
              <w:jc w:val="center"/>
            </w:pPr>
            <w:r>
              <w:t>50</w:t>
            </w:r>
          </w:p>
        </w:tc>
        <w:tc>
          <w:tcPr>
            <w:tcW w:w="1021" w:type="dxa"/>
          </w:tcPr>
          <w:p w:rsidR="00681220" w:rsidRPr="00F63495" w:rsidRDefault="00681220" w:rsidP="00FB260B">
            <w:pPr>
              <w:jc w:val="center"/>
              <w:rPr>
                <w:b/>
              </w:rPr>
            </w:pPr>
            <w:r>
              <w:rPr>
                <w:b/>
              </w:rPr>
              <w:t>H.16</w:t>
            </w:r>
          </w:p>
        </w:tc>
        <w:tc>
          <w:tcPr>
            <w:tcW w:w="5877" w:type="dxa"/>
          </w:tcPr>
          <w:p w:rsidR="00681220" w:rsidRDefault="00681220" w:rsidP="005A7EB8">
            <w:r w:rsidRPr="005A7EB8">
              <w:rPr>
                <w:b/>
              </w:rPr>
              <w:t>Certification Regarding Terrorist Financing</w:t>
            </w:r>
            <w:r>
              <w:t xml:space="preserve"> … The Contractor … will take all reasonable steps to ensure that it does not and will not knowingly provider material support, advocates, facilitates or participates in terrorist acts…</w:t>
            </w:r>
          </w:p>
        </w:tc>
        <w:tc>
          <w:tcPr>
            <w:tcW w:w="871" w:type="dxa"/>
          </w:tcPr>
          <w:p w:rsidR="00681220" w:rsidRPr="00A92B53" w:rsidRDefault="00681220" w:rsidP="00B452FB">
            <w:pPr>
              <w:jc w:val="center"/>
              <w:rPr>
                <w:b/>
              </w:rPr>
            </w:pPr>
          </w:p>
        </w:tc>
        <w:tc>
          <w:tcPr>
            <w:tcW w:w="881" w:type="dxa"/>
          </w:tcPr>
          <w:p w:rsidR="00681220" w:rsidRPr="00A92B53" w:rsidRDefault="00681220" w:rsidP="00B452FB">
            <w:pPr>
              <w:jc w:val="center"/>
              <w:rPr>
                <w:b/>
              </w:rPr>
            </w:pPr>
            <w:r>
              <w:rPr>
                <w:b/>
              </w:rPr>
              <w:t>X</w:t>
            </w:r>
          </w:p>
        </w:tc>
        <w:tc>
          <w:tcPr>
            <w:tcW w:w="1064" w:type="dxa"/>
          </w:tcPr>
          <w:p w:rsidR="00681220" w:rsidRPr="00A92B53" w:rsidRDefault="00681220" w:rsidP="00B452FB">
            <w:pPr>
              <w:jc w:val="center"/>
              <w:rPr>
                <w:b/>
              </w:rPr>
            </w:pPr>
          </w:p>
        </w:tc>
        <w:tc>
          <w:tcPr>
            <w:tcW w:w="1534" w:type="dxa"/>
          </w:tcPr>
          <w:p w:rsidR="00681220" w:rsidRPr="00A92B53" w:rsidRDefault="00681220" w:rsidP="00B452FB">
            <w:pPr>
              <w:jc w:val="center"/>
              <w:rPr>
                <w:b/>
              </w:rPr>
            </w:pPr>
          </w:p>
        </w:tc>
        <w:tc>
          <w:tcPr>
            <w:tcW w:w="1235" w:type="dxa"/>
          </w:tcPr>
          <w:p w:rsidR="00681220" w:rsidRPr="00A92B53" w:rsidRDefault="00681220" w:rsidP="00B452FB">
            <w:pPr>
              <w:jc w:val="center"/>
              <w:rPr>
                <w:b/>
              </w:rPr>
            </w:pPr>
          </w:p>
        </w:tc>
      </w:tr>
    </w:tbl>
    <w:p w:rsidR="00A14A6C" w:rsidRDefault="00A14A6C"/>
    <w:sectPr w:rsidR="00A14A6C" w:rsidSect="00681220">
      <w:headerReference w:type="default" r:id="rId9"/>
      <w:pgSz w:w="15840" w:h="1224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96" w:rsidRDefault="00C54996" w:rsidP="000D7E60">
      <w:pPr>
        <w:spacing w:after="0" w:line="240" w:lineRule="auto"/>
      </w:pPr>
      <w:r>
        <w:separator/>
      </w:r>
    </w:p>
  </w:endnote>
  <w:endnote w:type="continuationSeparator" w:id="0">
    <w:p w:rsidR="00C54996" w:rsidRDefault="00C54996" w:rsidP="000D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96" w:rsidRDefault="00C54996" w:rsidP="000D7E60">
      <w:pPr>
        <w:spacing w:after="0" w:line="240" w:lineRule="auto"/>
      </w:pPr>
      <w:r>
        <w:separator/>
      </w:r>
    </w:p>
  </w:footnote>
  <w:footnote w:type="continuationSeparator" w:id="0">
    <w:p w:rsidR="00C54996" w:rsidRDefault="00C54996" w:rsidP="000D7E60">
      <w:pPr>
        <w:spacing w:after="0" w:line="240" w:lineRule="auto"/>
      </w:pPr>
      <w:r>
        <w:continuationSeparator/>
      </w:r>
    </w:p>
  </w:footnote>
  <w:footnote w:id="1">
    <w:p w:rsidR="00F641C8" w:rsidRDefault="00F641C8">
      <w:pPr>
        <w:pStyle w:val="FootnoteText"/>
      </w:pPr>
      <w:r>
        <w:rPr>
          <w:rStyle w:val="FootnoteReference"/>
        </w:rPr>
        <w:footnoteRef/>
      </w:r>
      <w:r>
        <w:t xml:space="preserve"> The full contract is available at </w:t>
      </w:r>
      <w:hyperlink r:id="rId1" w:history="1">
        <w:r w:rsidRPr="00A31F2C">
          <w:rPr>
            <w:rStyle w:val="Hyperlink"/>
          </w:rPr>
          <w:t>http://www.ntia.doc.gov/files/ntia/publications/sf_26_pg_1-2-final_award_and_sacs.pdf</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34977"/>
      <w:docPartObj>
        <w:docPartGallery w:val="Page Numbers (Top of Page)"/>
        <w:docPartUnique/>
      </w:docPartObj>
    </w:sdtPr>
    <w:sdtEndPr>
      <w:rPr>
        <w:noProof/>
      </w:rPr>
    </w:sdtEndPr>
    <w:sdtContent>
      <w:p w:rsidR="00F641C8" w:rsidRDefault="00F641C8">
        <w:pPr>
          <w:pStyle w:val="Header"/>
          <w:jc w:val="center"/>
        </w:pPr>
        <w:r>
          <w:fldChar w:fldCharType="begin"/>
        </w:r>
        <w:r>
          <w:instrText xml:space="preserve"> PAGE   \* MERGEFORMAT </w:instrText>
        </w:r>
        <w:r>
          <w:fldChar w:fldCharType="separate"/>
        </w:r>
        <w:r w:rsidR="00B433D7">
          <w:rPr>
            <w:noProof/>
          </w:rPr>
          <w:t>2</w:t>
        </w:r>
        <w:r>
          <w:rPr>
            <w:noProof/>
          </w:rPr>
          <w:fldChar w:fldCharType="end"/>
        </w:r>
      </w:p>
    </w:sdtContent>
  </w:sdt>
  <w:p w:rsidR="00F641C8" w:rsidRDefault="00F641C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B75B1"/>
    <w:multiLevelType w:val="hybridMultilevel"/>
    <w:tmpl w:val="955C719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nsid w:val="5C805972"/>
    <w:multiLevelType w:val="hybridMultilevel"/>
    <w:tmpl w:val="6ACA69B0"/>
    <w:lvl w:ilvl="0" w:tplc="10090015">
      <w:start w:val="1"/>
      <w:numFmt w:val="upperLetter"/>
      <w:lvlText w:val="%1."/>
      <w:lvlJc w:val="left"/>
      <w:pPr>
        <w:ind w:left="780" w:hanging="360"/>
      </w:pPr>
      <w:rPr>
        <w:rFont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A6C"/>
    <w:rsid w:val="00006537"/>
    <w:rsid w:val="000D7E60"/>
    <w:rsid w:val="001F6265"/>
    <w:rsid w:val="002E2574"/>
    <w:rsid w:val="002E54BF"/>
    <w:rsid w:val="00345558"/>
    <w:rsid w:val="00356B32"/>
    <w:rsid w:val="003C3D5A"/>
    <w:rsid w:val="003D2BEA"/>
    <w:rsid w:val="00522B9C"/>
    <w:rsid w:val="005A7EB8"/>
    <w:rsid w:val="005F25F6"/>
    <w:rsid w:val="0060333E"/>
    <w:rsid w:val="00616C35"/>
    <w:rsid w:val="00647AC2"/>
    <w:rsid w:val="00681220"/>
    <w:rsid w:val="00691E10"/>
    <w:rsid w:val="006E559E"/>
    <w:rsid w:val="007061E4"/>
    <w:rsid w:val="007D14DB"/>
    <w:rsid w:val="00855DBC"/>
    <w:rsid w:val="0091222E"/>
    <w:rsid w:val="00921A54"/>
    <w:rsid w:val="009806A5"/>
    <w:rsid w:val="009C7983"/>
    <w:rsid w:val="00A10495"/>
    <w:rsid w:val="00A1140C"/>
    <w:rsid w:val="00A14A6C"/>
    <w:rsid w:val="00A90865"/>
    <w:rsid w:val="00A92B53"/>
    <w:rsid w:val="00AC1F6A"/>
    <w:rsid w:val="00B25F58"/>
    <w:rsid w:val="00B433D7"/>
    <w:rsid w:val="00B452FB"/>
    <w:rsid w:val="00BA53D1"/>
    <w:rsid w:val="00C54996"/>
    <w:rsid w:val="00CD2759"/>
    <w:rsid w:val="00DA4D59"/>
    <w:rsid w:val="00DB7397"/>
    <w:rsid w:val="00E71651"/>
    <w:rsid w:val="00E814B8"/>
    <w:rsid w:val="00EA6944"/>
    <w:rsid w:val="00F478F1"/>
    <w:rsid w:val="00F63495"/>
    <w:rsid w:val="00F641C8"/>
    <w:rsid w:val="00F678E1"/>
    <w:rsid w:val="00F950AE"/>
    <w:rsid w:val="00FB260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60"/>
  </w:style>
  <w:style w:type="paragraph" w:styleId="Footer">
    <w:name w:val="footer"/>
    <w:basedOn w:val="Normal"/>
    <w:link w:val="FooterChar"/>
    <w:uiPriority w:val="99"/>
    <w:unhideWhenUsed/>
    <w:rsid w:val="000D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60"/>
  </w:style>
  <w:style w:type="paragraph" w:styleId="FootnoteText">
    <w:name w:val="footnote text"/>
    <w:basedOn w:val="Normal"/>
    <w:link w:val="FootnoteTextChar"/>
    <w:uiPriority w:val="99"/>
    <w:semiHidden/>
    <w:unhideWhenUsed/>
    <w:rsid w:val="00A11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40C"/>
    <w:rPr>
      <w:sz w:val="20"/>
      <w:szCs w:val="20"/>
    </w:rPr>
  </w:style>
  <w:style w:type="character" w:styleId="FootnoteReference">
    <w:name w:val="footnote reference"/>
    <w:basedOn w:val="DefaultParagraphFont"/>
    <w:uiPriority w:val="99"/>
    <w:semiHidden/>
    <w:unhideWhenUsed/>
    <w:rsid w:val="00A1140C"/>
    <w:rPr>
      <w:vertAlign w:val="superscript"/>
    </w:rPr>
  </w:style>
  <w:style w:type="character" w:styleId="Hyperlink">
    <w:name w:val="Hyperlink"/>
    <w:basedOn w:val="DefaultParagraphFont"/>
    <w:uiPriority w:val="99"/>
    <w:unhideWhenUsed/>
    <w:rsid w:val="00A1140C"/>
    <w:rPr>
      <w:color w:val="0000FF" w:themeColor="hyperlink"/>
      <w:u w:val="single"/>
    </w:rPr>
  </w:style>
  <w:style w:type="paragraph" w:styleId="ListParagraph">
    <w:name w:val="List Paragraph"/>
    <w:basedOn w:val="Normal"/>
    <w:uiPriority w:val="34"/>
    <w:qFormat/>
    <w:rsid w:val="00A90865"/>
    <w:pPr>
      <w:ind w:left="720"/>
      <w:contextualSpacing/>
    </w:pPr>
  </w:style>
  <w:style w:type="paragraph" w:styleId="BalloonText">
    <w:name w:val="Balloon Text"/>
    <w:basedOn w:val="Normal"/>
    <w:link w:val="BalloonTextChar"/>
    <w:uiPriority w:val="99"/>
    <w:semiHidden/>
    <w:unhideWhenUsed/>
    <w:rsid w:val="00F67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8E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60"/>
  </w:style>
  <w:style w:type="paragraph" w:styleId="Footer">
    <w:name w:val="footer"/>
    <w:basedOn w:val="Normal"/>
    <w:link w:val="FooterChar"/>
    <w:uiPriority w:val="99"/>
    <w:unhideWhenUsed/>
    <w:rsid w:val="000D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60"/>
  </w:style>
  <w:style w:type="paragraph" w:styleId="FootnoteText">
    <w:name w:val="footnote text"/>
    <w:basedOn w:val="Normal"/>
    <w:link w:val="FootnoteTextChar"/>
    <w:uiPriority w:val="99"/>
    <w:semiHidden/>
    <w:unhideWhenUsed/>
    <w:rsid w:val="00A11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40C"/>
    <w:rPr>
      <w:sz w:val="20"/>
      <w:szCs w:val="20"/>
    </w:rPr>
  </w:style>
  <w:style w:type="character" w:styleId="FootnoteReference">
    <w:name w:val="footnote reference"/>
    <w:basedOn w:val="DefaultParagraphFont"/>
    <w:uiPriority w:val="99"/>
    <w:semiHidden/>
    <w:unhideWhenUsed/>
    <w:rsid w:val="00A1140C"/>
    <w:rPr>
      <w:vertAlign w:val="superscript"/>
    </w:rPr>
  </w:style>
  <w:style w:type="character" w:styleId="Hyperlink">
    <w:name w:val="Hyperlink"/>
    <w:basedOn w:val="DefaultParagraphFont"/>
    <w:uiPriority w:val="99"/>
    <w:unhideWhenUsed/>
    <w:rsid w:val="00A1140C"/>
    <w:rPr>
      <w:color w:val="0000FF" w:themeColor="hyperlink"/>
      <w:u w:val="single"/>
    </w:rPr>
  </w:style>
  <w:style w:type="paragraph" w:styleId="ListParagraph">
    <w:name w:val="List Paragraph"/>
    <w:basedOn w:val="Normal"/>
    <w:uiPriority w:val="34"/>
    <w:qFormat/>
    <w:rsid w:val="00A90865"/>
    <w:pPr>
      <w:ind w:left="720"/>
      <w:contextualSpacing/>
    </w:pPr>
  </w:style>
  <w:style w:type="paragraph" w:styleId="BalloonText">
    <w:name w:val="Balloon Text"/>
    <w:basedOn w:val="Normal"/>
    <w:link w:val="BalloonTextChar"/>
    <w:uiPriority w:val="99"/>
    <w:semiHidden/>
    <w:unhideWhenUsed/>
    <w:rsid w:val="00F67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168519">
      <w:bodyDiv w:val="1"/>
      <w:marLeft w:val="0"/>
      <w:marRight w:val="0"/>
      <w:marTop w:val="0"/>
      <w:marBottom w:val="0"/>
      <w:divBdr>
        <w:top w:val="none" w:sz="0" w:space="0" w:color="auto"/>
        <w:left w:val="none" w:sz="0" w:space="0" w:color="auto"/>
        <w:bottom w:val="none" w:sz="0" w:space="0" w:color="auto"/>
        <w:right w:val="none" w:sz="0" w:space="0" w:color="auto"/>
      </w:divBdr>
      <w:divsChild>
        <w:div w:id="2117405538">
          <w:marLeft w:val="0"/>
          <w:marRight w:val="0"/>
          <w:marTop w:val="0"/>
          <w:marBottom w:val="0"/>
          <w:divBdr>
            <w:top w:val="none" w:sz="0" w:space="0" w:color="auto"/>
            <w:left w:val="none" w:sz="0" w:space="0" w:color="auto"/>
            <w:bottom w:val="none" w:sz="0" w:space="0" w:color="auto"/>
            <w:right w:val="none" w:sz="0" w:space="0" w:color="auto"/>
          </w:divBdr>
        </w:div>
        <w:div w:id="677926200">
          <w:marLeft w:val="0"/>
          <w:marRight w:val="0"/>
          <w:marTop w:val="0"/>
          <w:marBottom w:val="0"/>
          <w:divBdr>
            <w:top w:val="none" w:sz="0" w:space="0" w:color="auto"/>
            <w:left w:val="none" w:sz="0" w:space="0" w:color="auto"/>
            <w:bottom w:val="none" w:sz="0" w:space="0" w:color="auto"/>
            <w:right w:val="none" w:sz="0" w:space="0" w:color="auto"/>
          </w:divBdr>
        </w:div>
        <w:div w:id="1798596899">
          <w:marLeft w:val="0"/>
          <w:marRight w:val="0"/>
          <w:marTop w:val="0"/>
          <w:marBottom w:val="0"/>
          <w:divBdr>
            <w:top w:val="none" w:sz="0" w:space="0" w:color="auto"/>
            <w:left w:val="none" w:sz="0" w:space="0" w:color="auto"/>
            <w:bottom w:val="none" w:sz="0" w:space="0" w:color="auto"/>
            <w:right w:val="none" w:sz="0" w:space="0" w:color="auto"/>
          </w:divBdr>
        </w:div>
        <w:div w:id="2065828808">
          <w:marLeft w:val="0"/>
          <w:marRight w:val="0"/>
          <w:marTop w:val="0"/>
          <w:marBottom w:val="0"/>
          <w:divBdr>
            <w:top w:val="none" w:sz="0" w:space="0" w:color="auto"/>
            <w:left w:val="none" w:sz="0" w:space="0" w:color="auto"/>
            <w:bottom w:val="none" w:sz="0" w:space="0" w:color="auto"/>
            <w:right w:val="none" w:sz="0" w:space="0" w:color="auto"/>
          </w:divBdr>
        </w:div>
        <w:div w:id="209246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files/ntia/publications/sf_26_pg_1-2-final_award_and_sa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62F29-D998-A948-815F-B2812603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1509</Characters>
  <Application>Microsoft Macintosh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Marika Konings</cp:lastModifiedBy>
  <cp:revision>2</cp:revision>
  <cp:lastPrinted>2014-10-20T19:19:00Z</cp:lastPrinted>
  <dcterms:created xsi:type="dcterms:W3CDTF">2014-10-22T15:28:00Z</dcterms:created>
  <dcterms:modified xsi:type="dcterms:W3CDTF">2014-10-22T15:28:00Z</dcterms:modified>
</cp:coreProperties>
</file>