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MemoHeading"/>
        <w:rPr>
          <w:rFonts w:ascii="Arial" w:hAnsi="Arial" w:cs="Arial"/>
          <w:sz w:val="24"/>
          <w:szCs w:val="24"/>
        </w:rPr>
      </w:pPr>
      <w:bookmarkStart w:id="0" w:name="LOCMemorandum"/>
      <w:r>
        <w:rPr>
          <w:rFonts w:ascii="Arial" w:hAnsi="Arial" w:cs="Arial"/>
          <w:sz w:val="24"/>
          <w:szCs w:val="24"/>
        </w:rPr>
        <w:t>Memorandum</w:t>
      </w:r>
      <w:bookmarkEnd w:id="0"/>
    </w:p>
    <w:sdt>
      <w:sdtPr>
        <w:alias w:val="pcgDeliveryMethods"/>
        <w:id w:val="130346533"/>
        <w:placeholder>
          <w:docPart w:val="AE4907C0687A4D1491DD465B1C01DBA8"/>
        </w:placeholder>
        <w:showingPlcHdr/>
      </w:sdtPr>
      <w:sdtContent>
        <w:p>
          <w:pPr>
            <w:pStyle w:val="DeliveryMethodCompressed"/>
          </w:pPr>
        </w:p>
        <w:bookmarkStart w:id="1" w:name="DeliveryMethods" w:displacedByCustomXml="next"/>
        <w:bookmarkEnd w:id="1" w:displacedByCustomXml="next"/>
      </w:sdtContent>
    </w:sdt>
    <w:tbl>
      <w:tblPr>
        <w:tblW w:w="0" w:type="auto"/>
        <w:tblInd w:w="18" w:type="dxa"/>
        <w:tblBorders>
          <w:bottom w:val="double" w:sz="4" w:space="0" w:color="auto"/>
        </w:tblBorders>
        <w:tblLayout w:type="fixed"/>
        <w:tblCellMar>
          <w:left w:w="115" w:type="dxa"/>
          <w:bottom w:w="216" w:type="dxa"/>
          <w:right w:w="115" w:type="dxa"/>
        </w:tblCellMar>
        <w:tblLook w:val="0000"/>
      </w:tblPr>
      <w:tblGrid>
        <w:gridCol w:w="1530"/>
        <w:gridCol w:w="7920"/>
      </w:tblGrid>
      <w:tr>
        <w:trPr>
          <w:cantSplit/>
        </w:trPr>
        <w:tc>
          <w:tcPr>
            <w:tcW w:w="1530" w:type="dxa"/>
            <w:tcBorders>
              <w:bottom w:val="nil"/>
            </w:tcBorders>
          </w:tcPr>
          <w:p>
            <w:pPr>
              <w:pStyle w:val="MemoTableLabel"/>
              <w:rPr>
                <w:rFonts w:cs="Arial"/>
                <w:szCs w:val="21"/>
              </w:rPr>
            </w:pPr>
            <w:bookmarkStart w:id="2" w:name="LOCTo"/>
            <w:r>
              <w:rPr>
                <w:rFonts w:cs="Arial"/>
                <w:szCs w:val="21"/>
              </w:rPr>
              <w:t>To:</w:t>
            </w:r>
            <w:bookmarkEnd w:id="2"/>
          </w:p>
        </w:tc>
        <w:bookmarkStart w:id="3" w:name="ToName"/>
        <w:tc>
          <w:tcPr>
            <w:tcW w:w="7920" w:type="dxa"/>
            <w:tcBorders>
              <w:bottom w:val="nil"/>
            </w:tcBorders>
          </w:tcPr>
          <w:p>
            <w:pPr>
              <w:pStyle w:val="MemoTableData"/>
              <w:rPr>
                <w:rFonts w:cs="Arial"/>
                <w:szCs w:val="21"/>
              </w:rPr>
            </w:pPr>
            <w:sdt>
              <w:sdtPr>
                <w:rPr>
                  <w:rFonts w:cs="Arial"/>
                  <w:szCs w:val="21"/>
                </w:rPr>
                <w:alias w:val="pcgToName"/>
                <w:tag w:val="Recipient(s)"/>
                <w:id w:val="50158765"/>
                <w:placeholder>
                  <w:docPart w:val="D5C00E2C1E9640239F9DFDFFCE66FA74"/>
                </w:placeholder>
              </w:sdtPr>
              <w:sdtContent>
                <w:r>
                  <w:rPr>
                    <w:rFonts w:cs="Arial"/>
                    <w:szCs w:val="21"/>
                  </w:rPr>
                  <w:fldChar w:fldCharType="begin"/>
                </w:r>
                <w:r>
                  <w:rPr>
                    <w:rFonts w:cs="Arial"/>
                    <w:szCs w:val="21"/>
                  </w:rPr>
                  <w:instrText xml:space="preserve"> MACROBUTTON NoMacro  </w:instrText>
                </w:r>
                <w:r>
                  <w:rPr>
                    <w:rFonts w:cs="Arial"/>
                    <w:szCs w:val="21"/>
                  </w:rPr>
                  <w:fldChar w:fldCharType="end"/>
                </w:r>
                <w:bookmarkEnd w:id="3"/>
                <w:r>
                  <w:rPr>
                    <w:rFonts w:cs="Arial"/>
                    <w:szCs w:val="21"/>
                  </w:rPr>
                  <w:t>Cross-Community Working Group to Develop an IANA Stewardship Transition Proposal on Naming Related Functions (“</w:t>
                </w:r>
                <w:r>
                  <w:rPr>
                    <w:rFonts w:cs="Arial"/>
                    <w:b/>
                    <w:szCs w:val="21"/>
                  </w:rPr>
                  <w:t>CWG</w:t>
                </w:r>
                <w:r>
                  <w:rPr>
                    <w:rFonts w:cs="Arial"/>
                    <w:szCs w:val="21"/>
                  </w:rPr>
                  <w:t>”)</w:t>
                </w:r>
              </w:sdtContent>
            </w:sdt>
          </w:p>
        </w:tc>
      </w:tr>
      <w:tr>
        <w:trPr>
          <w:cantSplit/>
        </w:trPr>
        <w:tc>
          <w:tcPr>
            <w:tcW w:w="1530" w:type="dxa"/>
            <w:tcBorders>
              <w:top w:val="nil"/>
              <w:bottom w:val="nil"/>
            </w:tcBorders>
          </w:tcPr>
          <w:p>
            <w:pPr>
              <w:pStyle w:val="MemoTableLabel"/>
              <w:rPr>
                <w:rFonts w:cs="Arial"/>
                <w:szCs w:val="21"/>
              </w:rPr>
            </w:pPr>
            <w:bookmarkStart w:id="4" w:name="LOCFrom"/>
            <w:r>
              <w:rPr>
                <w:rFonts w:cs="Arial"/>
                <w:szCs w:val="21"/>
              </w:rPr>
              <w:t>From:</w:t>
            </w:r>
            <w:bookmarkEnd w:id="4"/>
          </w:p>
        </w:tc>
        <w:tc>
          <w:tcPr>
            <w:tcW w:w="7920" w:type="dxa"/>
            <w:tcBorders>
              <w:top w:val="nil"/>
              <w:bottom w:val="nil"/>
            </w:tcBorders>
          </w:tcPr>
          <w:p>
            <w:pPr>
              <w:pStyle w:val="MemoTableData"/>
              <w:rPr>
                <w:rFonts w:cs="Arial"/>
                <w:szCs w:val="21"/>
              </w:rPr>
            </w:pPr>
            <w:sdt>
              <w:sdtPr>
                <w:rPr>
                  <w:rFonts w:cs="Arial"/>
                  <w:szCs w:val="21"/>
                </w:rPr>
                <w:alias w:val="pcgFromName"/>
                <w:id w:val="50158760"/>
                <w:placeholder>
                  <w:docPart w:val="38FEAF61856A4FAFBB624003FE7245FE"/>
                </w:placeholder>
              </w:sdtPr>
              <w:sdtContent>
                <w:bookmarkStart w:id="5" w:name="FromName"/>
                <w:r>
                  <w:rPr>
                    <w:rFonts w:cs="Arial"/>
                    <w:szCs w:val="21"/>
                  </w:rPr>
                  <w:t>Sidley Austin LLP (“</w:t>
                </w:r>
                <w:r>
                  <w:rPr>
                    <w:rFonts w:cs="Arial"/>
                    <w:b/>
                    <w:szCs w:val="21"/>
                  </w:rPr>
                  <w:t>Sidley</w:t>
                </w:r>
                <w:r>
                  <w:rPr>
                    <w:rFonts w:cs="Arial"/>
                    <w:szCs w:val="21"/>
                  </w:rPr>
                  <w:t>”)</w:t>
                </w:r>
                <w:bookmarkEnd w:id="5"/>
              </w:sdtContent>
            </w:sdt>
          </w:p>
        </w:tc>
      </w:tr>
      <w:tr>
        <w:trPr>
          <w:cantSplit/>
        </w:trPr>
        <w:tc>
          <w:tcPr>
            <w:tcW w:w="1530" w:type="dxa"/>
            <w:tcBorders>
              <w:top w:val="nil"/>
              <w:bottom w:val="nil"/>
            </w:tcBorders>
            <w:tcMar>
              <w:bottom w:w="0" w:type="dxa"/>
            </w:tcMar>
          </w:tcPr>
          <w:p>
            <w:pPr>
              <w:pStyle w:val="MemoTableLabel"/>
              <w:rPr>
                <w:rFonts w:cs="Arial"/>
                <w:szCs w:val="21"/>
              </w:rPr>
            </w:pPr>
            <w:bookmarkStart w:id="6" w:name="LOCRe"/>
            <w:r>
              <w:rPr>
                <w:rFonts w:cs="Arial"/>
                <w:szCs w:val="21"/>
              </w:rPr>
              <w:t>Re:</w:t>
            </w:r>
            <w:bookmarkEnd w:id="6"/>
          </w:p>
        </w:tc>
        <w:tc>
          <w:tcPr>
            <w:tcW w:w="7920" w:type="dxa"/>
            <w:tcBorders>
              <w:top w:val="nil"/>
              <w:bottom w:val="nil"/>
            </w:tcBorders>
            <w:tcMar>
              <w:bottom w:w="0" w:type="dxa"/>
            </w:tcMar>
          </w:tcPr>
          <w:p>
            <w:pPr>
              <w:pStyle w:val="ReLine"/>
              <w:spacing w:after="240"/>
              <w:rPr>
                <w:rFonts w:cs="Arial"/>
                <w:szCs w:val="21"/>
              </w:rPr>
            </w:pPr>
            <w:sdt>
              <w:sdtPr>
                <w:rPr>
                  <w:rFonts w:cs="Arial"/>
                  <w:szCs w:val="21"/>
                </w:rPr>
                <w:alias w:val="pcgRELine"/>
                <w:id w:val="50158716"/>
                <w:placeholder>
                  <w:docPart w:val="04927DF0AC414889BBBC98D1698154FC"/>
                </w:placeholder>
              </w:sdtPr>
              <w:sdtContent>
                <w:r>
                  <w:rPr>
                    <w:rFonts w:cs="Arial"/>
                    <w:szCs w:val="21"/>
                  </w:rPr>
                  <w:t>Term Sheet – ICANN-PTI Contract</w:t>
                </w:r>
              </w:sdtContent>
            </w:sdt>
          </w:p>
        </w:tc>
      </w:tr>
      <w:tr>
        <w:trPr>
          <w:cantSplit/>
        </w:trPr>
        <w:tc>
          <w:tcPr>
            <w:tcW w:w="1530" w:type="dxa"/>
            <w:tcBorders>
              <w:top w:val="nil"/>
              <w:bottom w:val="single" w:sz="4" w:space="0" w:color="auto"/>
            </w:tcBorders>
          </w:tcPr>
          <w:p>
            <w:pPr>
              <w:pStyle w:val="MemoTableLabel"/>
              <w:rPr>
                <w:rFonts w:cs="Arial"/>
                <w:szCs w:val="21"/>
              </w:rPr>
            </w:pPr>
            <w:bookmarkStart w:id="7" w:name="LOCDate"/>
            <w:r>
              <w:rPr>
                <w:rFonts w:cs="Arial"/>
                <w:szCs w:val="21"/>
              </w:rPr>
              <w:t>Date:</w:t>
            </w:r>
            <w:bookmarkEnd w:id="7"/>
          </w:p>
        </w:tc>
        <w:sdt>
          <w:sdtPr>
            <w:rPr>
              <w:rFonts w:cs="Arial"/>
              <w:szCs w:val="21"/>
            </w:rPr>
            <w:alias w:val="pcgDate"/>
            <w:id w:val="22699819"/>
            <w:placeholder>
              <w:docPart w:val="D52FD3A017E0429DA47A647200D1051F"/>
            </w:placeholder>
            <w:date w:fullDate="2015-05-18T00:00:00Z">
              <w:dateFormat w:val="MMMM d, yyyy"/>
              <w:lid w:val="en-US"/>
              <w:storeMappedDataAs w:val="text"/>
              <w:calendar w:val="gregorian"/>
            </w:date>
          </w:sdtPr>
          <w:sdtContent>
            <w:tc>
              <w:tcPr>
                <w:tcW w:w="7920" w:type="dxa"/>
                <w:tcBorders>
                  <w:top w:val="nil"/>
                  <w:bottom w:val="single" w:sz="4" w:space="0" w:color="auto"/>
                </w:tcBorders>
              </w:tcPr>
              <w:p>
                <w:pPr>
                  <w:pStyle w:val="Date"/>
                  <w:rPr>
                    <w:rFonts w:cs="Arial"/>
                    <w:szCs w:val="21"/>
                  </w:rPr>
                </w:pPr>
                <w:r>
                  <w:rPr>
                    <w:rFonts w:cs="Arial"/>
                    <w:szCs w:val="21"/>
                  </w:rPr>
                  <w:t>May 18, 2015</w:t>
                </w:r>
              </w:p>
            </w:tc>
          </w:sdtContent>
        </w:sdt>
      </w:tr>
    </w:tbl>
    <w:p/>
    <w:p>
      <w:pPr>
        <w:pStyle w:val="CWGL4"/>
        <w:numPr>
          <w:ilvl w:val="2"/>
          <w:numId w:val="0"/>
        </w:numPr>
        <w:spacing w:line="240" w:lineRule="auto"/>
      </w:pPr>
      <w:r>
        <w:t>IANA Functions Contract between ICANN and the NTIA</w:t>
      </w:r>
    </w:p>
    <w:p>
      <w:pPr>
        <w:pStyle w:val="CWGbody"/>
      </w:pPr>
      <w:r>
        <w:t>Under the current CWG draft proposal, the IANA Functions Contract between ICANN and the NTIA (the “</w:t>
      </w:r>
      <w:r>
        <w:rPr>
          <w:b/>
        </w:rPr>
        <w:t>ICANN-NTIA Contract</w:t>
      </w:r>
      <w:r>
        <w:t>”) will be replaced by a contract between ICANN and Post-Transition IANA (“</w:t>
      </w:r>
      <w:r>
        <w:rPr>
          <w:b/>
        </w:rPr>
        <w:t>PTI</w:t>
      </w:r>
      <w:r>
        <w:t xml:space="preserve">”). As a general matter, the provisions of the agreement setting forth the performance requirements of ICANN and PTI would be retained, with ICANN essentially assuming the role of the NTIA.  However, provisions unique to contracting with the United States Government would not be retained. </w:t>
      </w:r>
    </w:p>
    <w:p>
      <w:pPr>
        <w:pStyle w:val="CWGbody"/>
      </w:pPr>
      <w:r>
        <w:t xml:space="preserve">This proposed term sheet prepared by Sidley is based upon the term sheet contained in the Public Consultation on Draft Transition Proposal, dated December 1, 2014, with updates to accommodate the iterative process that CWG has undertaken to respond to prior public comments and further analysis. </w:t>
      </w:r>
    </w:p>
    <w:p>
      <w:pPr>
        <w:pStyle w:val="CWGbody"/>
      </w:pPr>
      <w:r>
        <w:t>This proposed term sheet sets forth the key provisions required to be in the initial contract between ICANN and PTI (the “</w:t>
      </w:r>
      <w:r>
        <w:rPr>
          <w:b/>
        </w:rPr>
        <w:t>ICANN-PTI Contract</w:t>
      </w:r>
      <w:r>
        <w:t>” or “</w:t>
      </w:r>
      <w:r>
        <w:rPr>
          <w:b/>
        </w:rPr>
        <w:t>Contract</w:t>
      </w:r>
      <w:r>
        <w:t xml:space="preserve">”).  In drafting this term sheet, we assumed the current CWG model, under which PTI would be formed as a separate legal entity and an affiliate or controlled subsidiary of ICANN (depending on the final form of entity of PTI selected).  </w:t>
      </w:r>
    </w:p>
    <w:p>
      <w:pPr>
        <w:pStyle w:val="CWGbody"/>
      </w:pPr>
      <w:r>
        <w:t xml:space="preserve">It is anticipated that this initial proposed term sheet will be further revised after review and consideration by CWG, and to consider the feedback and public comment on the Second Draft Proposal circulated in April 2015.  </w:t>
      </w:r>
    </w:p>
    <w:p>
      <w:pPr>
        <w:pStyle w:val="CWGbody"/>
      </w:pPr>
    </w:p>
    <w:p>
      <w:pPr>
        <w:pStyle w:val="Header"/>
        <w:jc w:val="center"/>
        <w:rPr>
          <w:b/>
          <w:sz w:val="20"/>
          <w:szCs w:val="20"/>
        </w:rPr>
      </w:pPr>
      <w:r>
        <w:rPr>
          <w:b/>
          <w:sz w:val="20"/>
          <w:szCs w:val="20"/>
        </w:rPr>
        <w:t>PROPOSED KEY TERMS FOR ICANN-PTI CONTRACT</w:t>
      </w:r>
    </w:p>
    <w:p>
      <w:pPr>
        <w:pStyle w:val="Header"/>
        <w:jc w:val="center"/>
        <w:rPr>
          <w:b/>
          <w:sz w:val="20"/>
          <w:szCs w:val="20"/>
        </w:rPr>
      </w:pPr>
    </w:p>
    <w:tbl>
      <w:tblPr>
        <w:tblStyle w:val="TableGrid"/>
        <w:tblW w:w="0" w:type="auto"/>
        <w:tblInd w:w="1368" w:type="dxa"/>
        <w:tblLook w:val="04A0"/>
      </w:tblPr>
      <w:tblGrid>
        <w:gridCol w:w="6840"/>
      </w:tblGrid>
      <w:tr>
        <w:tc>
          <w:tcPr>
            <w:tcW w:w="6840" w:type="dxa"/>
          </w:tcPr>
          <w:p>
            <w:pPr>
              <w:pStyle w:val="Header"/>
              <w:numPr>
                <w:ilvl w:val="0"/>
                <w:numId w:val="44"/>
              </w:numPr>
              <w:ind w:left="252" w:hanging="252"/>
              <w:rPr>
                <w:color w:val="000000" w:themeColor="text1"/>
                <w:sz w:val="20"/>
                <w:szCs w:val="20"/>
                <w:highlight w:val="yellow"/>
              </w:rPr>
            </w:pPr>
            <w:r>
              <w:rPr>
                <w:color w:val="000000" w:themeColor="text1"/>
                <w:sz w:val="20"/>
                <w:szCs w:val="20"/>
                <w:highlight w:val="yellow"/>
              </w:rPr>
              <w:t>All terms are subject to further review and discussion</w:t>
            </w:r>
          </w:p>
          <w:p>
            <w:pPr>
              <w:pStyle w:val="Header"/>
              <w:numPr>
                <w:ilvl w:val="0"/>
                <w:numId w:val="44"/>
              </w:numPr>
              <w:ind w:left="252" w:hanging="252"/>
              <w:rPr>
                <w:color w:val="000000" w:themeColor="text1"/>
                <w:sz w:val="20"/>
                <w:szCs w:val="20"/>
              </w:rPr>
            </w:pPr>
            <w:r>
              <w:rPr>
                <w:color w:val="000000" w:themeColor="text1"/>
                <w:sz w:val="20"/>
                <w:szCs w:val="20"/>
              </w:rPr>
              <w:t xml:space="preserve">Terms in current ICANN-PTI Contract but revised for dates,  for change in parties from the ICANN-NTIA Contract, or for other non-substantive revisions are in </w:t>
            </w:r>
            <w:commentRangeStart w:id="8"/>
            <w:r>
              <w:rPr>
                <w:color w:val="0070C0"/>
                <w:sz w:val="20"/>
                <w:szCs w:val="20"/>
              </w:rPr>
              <w:t>blue</w:t>
            </w:r>
            <w:commentRangeEnd w:id="8"/>
            <w:r>
              <w:rPr>
                <w:rStyle w:val="CommentReference"/>
              </w:rPr>
              <w:commentReference w:id="8"/>
            </w:r>
          </w:p>
          <w:p>
            <w:pPr>
              <w:pStyle w:val="Header"/>
              <w:numPr>
                <w:ilvl w:val="0"/>
                <w:numId w:val="44"/>
              </w:numPr>
              <w:ind w:left="252" w:hanging="252"/>
              <w:rPr>
                <w:color w:val="000000" w:themeColor="text1"/>
                <w:sz w:val="20"/>
                <w:szCs w:val="20"/>
              </w:rPr>
            </w:pPr>
            <w:r>
              <w:rPr>
                <w:color w:val="000000" w:themeColor="text1"/>
                <w:sz w:val="20"/>
                <w:szCs w:val="20"/>
              </w:rPr>
              <w:lastRenderedPageBreak/>
              <w:t xml:space="preserve">New terms or substantive changes to existing terms are in </w:t>
            </w:r>
            <w:commentRangeStart w:id="9"/>
            <w:r>
              <w:rPr>
                <w:b/>
                <w:color w:val="000000" w:themeColor="text1"/>
                <w:sz w:val="20"/>
                <w:szCs w:val="20"/>
              </w:rPr>
              <w:t xml:space="preserve">black </w:t>
            </w:r>
            <w:commentRangeEnd w:id="9"/>
            <w:r>
              <w:rPr>
                <w:rStyle w:val="CommentReference"/>
              </w:rPr>
              <w:commentReference w:id="9"/>
            </w:r>
            <w:r>
              <w:rPr>
                <w:b/>
                <w:color w:val="000000" w:themeColor="text1"/>
                <w:sz w:val="20"/>
                <w:szCs w:val="20"/>
              </w:rPr>
              <w:t xml:space="preserve"> </w:t>
            </w:r>
          </w:p>
          <w:p>
            <w:pPr>
              <w:pStyle w:val="Header"/>
              <w:numPr>
                <w:ilvl w:val="0"/>
                <w:numId w:val="44"/>
              </w:numPr>
              <w:ind w:left="252" w:hanging="252"/>
              <w:rPr>
                <w:color w:val="000000" w:themeColor="text1"/>
                <w:sz w:val="20"/>
                <w:szCs w:val="20"/>
              </w:rPr>
            </w:pPr>
            <w:r>
              <w:rPr>
                <w:color w:val="000000" w:themeColor="text1"/>
                <w:sz w:val="20"/>
                <w:szCs w:val="20"/>
              </w:rPr>
              <w:t>Terms in [square brackets] are placeholders only</w:t>
            </w:r>
          </w:p>
          <w:p>
            <w:pPr>
              <w:pStyle w:val="Header"/>
              <w:numPr>
                <w:ilvl w:val="0"/>
                <w:numId w:val="44"/>
              </w:numPr>
              <w:ind w:left="252" w:hanging="252"/>
              <w:rPr>
                <w:color w:val="000000" w:themeColor="text1"/>
                <w:sz w:val="20"/>
                <w:szCs w:val="20"/>
              </w:rPr>
            </w:pPr>
            <w:r>
              <w:rPr>
                <w:color w:val="000000" w:themeColor="text1"/>
                <w:sz w:val="20"/>
                <w:szCs w:val="20"/>
              </w:rPr>
              <w:t>Terms connected by “</w:t>
            </w:r>
            <w:r>
              <w:rPr>
                <w:i/>
                <w:color w:val="000000" w:themeColor="text1"/>
                <w:sz w:val="20"/>
                <w:szCs w:val="20"/>
              </w:rPr>
              <w:t>or</w:t>
            </w:r>
            <w:r>
              <w:rPr>
                <w:color w:val="000000" w:themeColor="text1"/>
                <w:sz w:val="20"/>
                <w:szCs w:val="20"/>
              </w:rPr>
              <w:t>” are alternatives</w:t>
            </w:r>
          </w:p>
          <w:p>
            <w:pPr>
              <w:pStyle w:val="Header"/>
              <w:numPr>
                <w:ilvl w:val="0"/>
                <w:numId w:val="44"/>
              </w:numPr>
              <w:ind w:left="252" w:hanging="252"/>
              <w:rPr>
                <w:color w:val="000000" w:themeColor="text1"/>
                <w:sz w:val="20"/>
                <w:szCs w:val="20"/>
              </w:rPr>
            </w:pPr>
            <w:r>
              <w:rPr>
                <w:color w:val="000000" w:themeColor="text1"/>
                <w:sz w:val="20"/>
                <w:szCs w:val="20"/>
              </w:rPr>
              <w:t>TBD means To Be Determined</w:t>
            </w:r>
          </w:p>
        </w:tc>
      </w:tr>
    </w:tbl>
    <w:p>
      <w:pPr>
        <w:pStyle w:val="Header"/>
        <w:jc w:val="center"/>
        <w:rPr>
          <w:b/>
          <w:sz w:val="20"/>
          <w:szCs w:val="20"/>
        </w:rPr>
      </w:pPr>
    </w:p>
    <w:p>
      <w:pPr>
        <w:pStyle w:val="ListParagraph"/>
        <w:rPr>
          <w:sz w:val="24"/>
        </w:rPr>
      </w:pPr>
    </w:p>
    <w:tbl>
      <w:tblPr>
        <w:tblStyle w:val="TableGrid"/>
        <w:tblW w:w="9828" w:type="dxa"/>
        <w:tblLayout w:type="fixed"/>
        <w:tblLook w:val="04A0"/>
      </w:tblPr>
      <w:tblGrid>
        <w:gridCol w:w="2178"/>
        <w:gridCol w:w="5310"/>
        <w:gridCol w:w="1170"/>
        <w:gridCol w:w="1170"/>
      </w:tblGrid>
      <w:tr>
        <w:trPr>
          <w:tblHeader/>
        </w:trPr>
        <w:tc>
          <w:tcPr>
            <w:tcW w:w="2178" w:type="dxa"/>
            <w:shd w:val="clear" w:color="auto" w:fill="C6D9F1" w:themeFill="text2" w:themeFillTint="33"/>
          </w:tcPr>
          <w:p>
            <w:pPr>
              <w:spacing w:after="60"/>
              <w:jc w:val="center"/>
              <w:rPr>
                <w:b/>
                <w:color w:val="000000"/>
                <w:sz w:val="20"/>
                <w:szCs w:val="20"/>
              </w:rPr>
            </w:pPr>
            <w:r>
              <w:rPr>
                <w:b/>
                <w:color w:val="000000"/>
                <w:sz w:val="20"/>
                <w:szCs w:val="20"/>
              </w:rPr>
              <w:t>PROVISION</w:t>
            </w:r>
          </w:p>
        </w:tc>
        <w:tc>
          <w:tcPr>
            <w:tcW w:w="5310" w:type="dxa"/>
            <w:shd w:val="clear" w:color="auto" w:fill="C6D9F1" w:themeFill="text2" w:themeFillTint="33"/>
          </w:tcPr>
          <w:p>
            <w:pPr>
              <w:spacing w:after="60"/>
              <w:jc w:val="center"/>
              <w:rPr>
                <w:b/>
                <w:color w:val="000000"/>
                <w:sz w:val="20"/>
                <w:szCs w:val="20"/>
              </w:rPr>
            </w:pPr>
            <w:r>
              <w:rPr>
                <w:b/>
                <w:color w:val="000000"/>
                <w:sz w:val="20"/>
                <w:szCs w:val="20"/>
              </w:rPr>
              <w:t>SUMMARY OF KEY TERMS</w:t>
            </w:r>
          </w:p>
        </w:tc>
        <w:tc>
          <w:tcPr>
            <w:tcW w:w="1170" w:type="dxa"/>
            <w:shd w:val="clear" w:color="auto" w:fill="C6D9F1" w:themeFill="text2" w:themeFillTint="33"/>
          </w:tcPr>
          <w:p>
            <w:pPr>
              <w:spacing w:after="60"/>
              <w:jc w:val="center"/>
              <w:rPr>
                <w:b/>
                <w:color w:val="000000"/>
                <w:sz w:val="20"/>
                <w:szCs w:val="20"/>
              </w:rPr>
            </w:pPr>
            <w:r>
              <w:rPr>
                <w:b/>
                <w:color w:val="000000"/>
                <w:sz w:val="20"/>
                <w:szCs w:val="20"/>
              </w:rPr>
              <w:t>Compare to Current ICANN-NTIA Contract</w:t>
            </w:r>
          </w:p>
        </w:tc>
        <w:tc>
          <w:tcPr>
            <w:tcW w:w="1170" w:type="dxa"/>
            <w:shd w:val="clear" w:color="auto" w:fill="C6D9F1" w:themeFill="text2" w:themeFillTint="33"/>
          </w:tcPr>
          <w:p>
            <w:pPr>
              <w:spacing w:after="60"/>
              <w:jc w:val="center"/>
              <w:rPr>
                <w:b/>
                <w:color w:val="000000"/>
                <w:sz w:val="20"/>
                <w:szCs w:val="20"/>
              </w:rPr>
            </w:pPr>
            <w:r>
              <w:rPr>
                <w:b/>
                <w:color w:val="000000"/>
                <w:sz w:val="20"/>
                <w:szCs w:val="20"/>
              </w:rPr>
              <w:t>Relevant section of 2</w:t>
            </w:r>
            <w:r>
              <w:rPr>
                <w:b/>
                <w:color w:val="000000"/>
                <w:sz w:val="20"/>
                <w:szCs w:val="20"/>
                <w:vertAlign w:val="superscript"/>
              </w:rPr>
              <w:t>nd</w:t>
            </w:r>
            <w:r>
              <w:rPr>
                <w:b/>
                <w:color w:val="000000"/>
                <w:sz w:val="20"/>
                <w:szCs w:val="20"/>
              </w:rPr>
              <w:t xml:space="preserve"> Draft Proposal (April 2015)</w:t>
            </w:r>
          </w:p>
        </w:tc>
      </w:tr>
      <w:tr>
        <w:tc>
          <w:tcPr>
            <w:tcW w:w="2178" w:type="dxa"/>
          </w:tcPr>
          <w:p>
            <w:pPr>
              <w:spacing w:after="60"/>
              <w:rPr>
                <w:b/>
                <w:color w:val="000000"/>
                <w:sz w:val="20"/>
                <w:szCs w:val="20"/>
              </w:rPr>
            </w:pPr>
            <w:r>
              <w:rPr>
                <w:b/>
                <w:color w:val="000000"/>
                <w:sz w:val="20"/>
                <w:szCs w:val="20"/>
              </w:rPr>
              <w:t>PARTIES</w:t>
            </w:r>
          </w:p>
        </w:tc>
        <w:tc>
          <w:tcPr>
            <w:tcW w:w="5310" w:type="dxa"/>
          </w:tcPr>
          <w:p>
            <w:pPr>
              <w:pStyle w:val="ListParagraph"/>
              <w:numPr>
                <w:ilvl w:val="0"/>
                <w:numId w:val="25"/>
              </w:numPr>
              <w:spacing w:after="60"/>
              <w:ind w:left="252" w:hanging="252"/>
              <w:jc w:val="left"/>
              <w:rPr>
                <w:color w:val="000000"/>
                <w:sz w:val="20"/>
                <w:szCs w:val="20"/>
              </w:rPr>
            </w:pPr>
            <w:r>
              <w:rPr>
                <w:color w:val="000000"/>
                <w:sz w:val="20"/>
                <w:szCs w:val="20"/>
              </w:rPr>
              <w:t>The Parties to the ICANN-PTI Contract are:</w:t>
            </w:r>
          </w:p>
          <w:p>
            <w:pPr>
              <w:pStyle w:val="ListParagraph"/>
              <w:numPr>
                <w:ilvl w:val="1"/>
                <w:numId w:val="25"/>
              </w:numPr>
              <w:spacing w:after="60"/>
              <w:ind w:left="612"/>
              <w:jc w:val="left"/>
              <w:rPr>
                <w:color w:val="000000"/>
                <w:sz w:val="20"/>
                <w:szCs w:val="20"/>
              </w:rPr>
            </w:pPr>
            <w:r>
              <w:rPr>
                <w:color w:val="000000"/>
                <w:sz w:val="20"/>
                <w:szCs w:val="20"/>
              </w:rPr>
              <w:t>ICANN</w:t>
            </w:r>
          </w:p>
          <w:p>
            <w:pPr>
              <w:pStyle w:val="ListParagraph"/>
              <w:numPr>
                <w:ilvl w:val="1"/>
                <w:numId w:val="25"/>
              </w:numPr>
              <w:spacing w:after="60"/>
              <w:ind w:left="612"/>
              <w:jc w:val="left"/>
              <w:rPr>
                <w:color w:val="000000"/>
                <w:sz w:val="20"/>
                <w:szCs w:val="20"/>
              </w:rPr>
            </w:pPr>
            <w:r>
              <w:rPr>
                <w:color w:val="000000"/>
                <w:sz w:val="20"/>
                <w:szCs w:val="20"/>
              </w:rPr>
              <w:t xml:space="preserve">PTI (IANA Functions Operator for naming functions) </w:t>
            </w: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r>
              <w:rPr>
                <w:color w:val="000000"/>
                <w:sz w:val="20"/>
                <w:szCs w:val="20"/>
              </w:rPr>
              <w:t>III.A</w:t>
            </w:r>
          </w:p>
        </w:tc>
      </w:tr>
      <w:tr>
        <w:tc>
          <w:tcPr>
            <w:tcW w:w="2178" w:type="dxa"/>
          </w:tcPr>
          <w:p>
            <w:pPr>
              <w:spacing w:after="60"/>
              <w:rPr>
                <w:b/>
                <w:color w:val="000000"/>
                <w:sz w:val="20"/>
                <w:szCs w:val="20"/>
              </w:rPr>
            </w:pPr>
            <w:r>
              <w:rPr>
                <w:b/>
                <w:color w:val="000000"/>
                <w:sz w:val="20"/>
                <w:szCs w:val="20"/>
              </w:rPr>
              <w:t>DURATION</w:t>
            </w:r>
          </w:p>
        </w:tc>
        <w:tc>
          <w:tcPr>
            <w:tcW w:w="5310" w:type="dxa"/>
          </w:tcPr>
          <w:p>
            <w:pPr>
              <w:spacing w:after="60"/>
              <w:rPr>
                <w:color w:val="000000"/>
                <w:sz w:val="20"/>
                <w:szCs w:val="20"/>
              </w:rPr>
            </w:pPr>
          </w:p>
        </w:tc>
        <w:tc>
          <w:tcPr>
            <w:tcW w:w="1170" w:type="dxa"/>
          </w:tcPr>
          <w:p>
            <w:pPr>
              <w:spacing w:after="60"/>
              <w:jc w:val="center"/>
              <w:rPr>
                <w:color w:val="000000"/>
                <w:sz w:val="20"/>
                <w:szCs w:val="20"/>
              </w:rPr>
            </w:pPr>
            <w:r>
              <w:rPr>
                <w:color w:val="000000"/>
                <w:sz w:val="20"/>
                <w:szCs w:val="20"/>
              </w:rPr>
              <w:t>F</w:t>
            </w:r>
          </w:p>
        </w:tc>
        <w:tc>
          <w:tcPr>
            <w:tcW w:w="1170" w:type="dxa"/>
          </w:tcPr>
          <w:p>
            <w:pPr>
              <w:spacing w:after="60"/>
              <w:jc w:val="center"/>
              <w:rPr>
                <w:color w:val="000000"/>
                <w:sz w:val="20"/>
                <w:szCs w:val="20"/>
              </w:rPr>
            </w:pPr>
          </w:p>
        </w:tc>
      </w:tr>
      <w:tr>
        <w:tc>
          <w:tcPr>
            <w:tcW w:w="2178" w:type="dxa"/>
          </w:tcPr>
          <w:p>
            <w:pPr>
              <w:spacing w:after="60"/>
              <w:rPr>
                <w:color w:val="4F81BD" w:themeColor="accent1"/>
                <w:sz w:val="20"/>
                <w:szCs w:val="20"/>
              </w:rPr>
            </w:pPr>
            <w:r>
              <w:rPr>
                <w:color w:val="4F81BD" w:themeColor="accent1"/>
                <w:sz w:val="20"/>
                <w:szCs w:val="20"/>
              </w:rPr>
              <w:t>Term</w:t>
            </w:r>
          </w:p>
        </w:tc>
        <w:tc>
          <w:tcPr>
            <w:tcW w:w="5310" w:type="dxa"/>
          </w:tcPr>
          <w:p>
            <w:pPr>
              <w:pStyle w:val="ListParagraph"/>
              <w:numPr>
                <w:ilvl w:val="0"/>
                <w:numId w:val="25"/>
              </w:numPr>
              <w:spacing w:after="60"/>
              <w:ind w:left="252" w:hanging="252"/>
              <w:jc w:val="left"/>
              <w:rPr>
                <w:color w:val="4F81BD" w:themeColor="accent1"/>
                <w:sz w:val="20"/>
                <w:szCs w:val="20"/>
              </w:rPr>
            </w:pPr>
            <w:r>
              <w:rPr>
                <w:color w:val="4F81BD" w:themeColor="accent1"/>
                <w:sz w:val="20"/>
                <w:szCs w:val="20"/>
              </w:rPr>
              <w:t>The period of performance of the ICANN-PTI Contract is: [October 1, 2015] – [TBD]</w:t>
            </w:r>
          </w:p>
        </w:tc>
        <w:tc>
          <w:tcPr>
            <w:tcW w:w="1170" w:type="dxa"/>
          </w:tcPr>
          <w:p>
            <w:pPr>
              <w:spacing w:after="60"/>
              <w:jc w:val="center"/>
              <w:rPr>
                <w:color w:val="4F81BD" w:themeColor="accent1"/>
                <w:sz w:val="20"/>
                <w:szCs w:val="20"/>
              </w:rPr>
            </w:pPr>
            <w:r>
              <w:rPr>
                <w:color w:val="4F81BD" w:themeColor="accent1"/>
                <w:sz w:val="20"/>
                <w:szCs w:val="20"/>
              </w:rPr>
              <w:t>F.1, I.70</w:t>
            </w:r>
          </w:p>
        </w:tc>
        <w:tc>
          <w:tcPr>
            <w:tcW w:w="1170" w:type="dxa"/>
          </w:tcPr>
          <w:p>
            <w:pPr>
              <w:spacing w:after="60"/>
              <w:jc w:val="center"/>
              <w:rPr>
                <w:color w:val="FF0000"/>
                <w:sz w:val="20"/>
                <w:szCs w:val="20"/>
              </w:rPr>
            </w:pPr>
          </w:p>
        </w:tc>
      </w:tr>
      <w:tr>
        <w:tc>
          <w:tcPr>
            <w:tcW w:w="2178" w:type="dxa"/>
          </w:tcPr>
          <w:p>
            <w:pPr>
              <w:spacing w:after="60"/>
              <w:rPr>
                <w:b/>
                <w:sz w:val="20"/>
                <w:szCs w:val="20"/>
              </w:rPr>
            </w:pPr>
            <w:r>
              <w:rPr>
                <w:b/>
                <w:sz w:val="20"/>
                <w:szCs w:val="20"/>
              </w:rPr>
              <w:t>Renewal Terms</w:t>
            </w:r>
          </w:p>
        </w:tc>
        <w:tc>
          <w:tcPr>
            <w:tcW w:w="5310" w:type="dxa"/>
          </w:tcPr>
          <w:p>
            <w:pPr>
              <w:pStyle w:val="ListParagraph"/>
              <w:numPr>
                <w:ilvl w:val="0"/>
                <w:numId w:val="41"/>
              </w:numPr>
              <w:spacing w:after="60"/>
              <w:ind w:left="252" w:hanging="252"/>
              <w:jc w:val="left"/>
              <w:rPr>
                <w:sz w:val="20"/>
                <w:szCs w:val="20"/>
              </w:rPr>
            </w:pPr>
            <w:r>
              <w:rPr>
                <w:sz w:val="20"/>
                <w:szCs w:val="20"/>
              </w:rPr>
              <w:t>The ICANN-PTI Contract will provide for automatic renewal, unless ICANN elects not to renew the ICANN-PTI Contract upon recommendation by the IANA Function Review Team (IFRT), with support of the ICANN Board.</w:t>
            </w:r>
          </w:p>
          <w:p>
            <w:pPr>
              <w:pStyle w:val="ListParagraph"/>
              <w:numPr>
                <w:ilvl w:val="0"/>
                <w:numId w:val="41"/>
              </w:numPr>
              <w:spacing w:after="60"/>
              <w:ind w:left="252" w:hanging="252"/>
              <w:jc w:val="left"/>
              <w:rPr>
                <w:sz w:val="20"/>
                <w:szCs w:val="20"/>
              </w:rPr>
            </w:pPr>
            <w:r>
              <w:rPr>
                <w:sz w:val="20"/>
                <w:szCs w:val="20"/>
              </w:rPr>
              <w:t xml:space="preserve">Any ICANN election of non-renewal shall be provided with not less than [[__] months] prior written notice, and PTI shall provide full support and cooperation to ICANN, and to any successor entity to PTI, in order to effect an orderly, stable, secure and efficient transition of this Contract and services and obligations provided by PTI hereunder.  See also the Continuity of Operations provisions below.  </w:t>
            </w:r>
          </w:p>
          <w:p>
            <w:pPr>
              <w:pStyle w:val="ListParagraph"/>
              <w:numPr>
                <w:ilvl w:val="0"/>
                <w:numId w:val="41"/>
              </w:numPr>
              <w:spacing w:after="60"/>
              <w:ind w:left="252" w:hanging="252"/>
              <w:jc w:val="left"/>
              <w:rPr>
                <w:sz w:val="20"/>
                <w:szCs w:val="20"/>
              </w:rPr>
            </w:pPr>
            <w:r>
              <w:rPr>
                <w:sz w:val="20"/>
                <w:szCs w:val="20"/>
              </w:rPr>
              <w:t xml:space="preserve">If the ICANN-PTI Contract automatically renews, the extended contract shall include this automatic renewal clause. </w:t>
            </w:r>
          </w:p>
          <w:p>
            <w:pPr>
              <w:pStyle w:val="ListParagraph"/>
              <w:numPr>
                <w:ilvl w:val="0"/>
                <w:numId w:val="41"/>
              </w:numPr>
              <w:spacing w:after="60"/>
              <w:ind w:left="252" w:hanging="252"/>
              <w:jc w:val="left"/>
              <w:rPr>
                <w:sz w:val="20"/>
                <w:szCs w:val="20"/>
              </w:rPr>
            </w:pPr>
            <w:r>
              <w:rPr>
                <w:sz w:val="20"/>
                <w:szCs w:val="20"/>
              </w:rPr>
              <w:t xml:space="preserve">The renewal period is </w:t>
            </w:r>
            <w:commentRangeStart w:id="10"/>
            <w:r>
              <w:rPr>
                <w:sz w:val="20"/>
                <w:szCs w:val="20"/>
              </w:rPr>
              <w:t>[TBD].</w:t>
            </w:r>
            <w:commentRangeEnd w:id="10"/>
            <w:r>
              <w:rPr>
                <w:rStyle w:val="CommentReference"/>
              </w:rPr>
              <w:commentReference w:id="10"/>
            </w:r>
          </w:p>
          <w:p>
            <w:pPr>
              <w:pStyle w:val="ListParagraph"/>
              <w:numPr>
                <w:ilvl w:val="0"/>
                <w:numId w:val="41"/>
              </w:numPr>
              <w:spacing w:after="60"/>
              <w:ind w:left="252" w:hanging="252"/>
              <w:jc w:val="left"/>
              <w:rPr>
                <w:color w:val="0070C0"/>
                <w:sz w:val="20"/>
                <w:szCs w:val="20"/>
              </w:rPr>
            </w:pPr>
            <w:commentRangeStart w:id="11"/>
            <w:r>
              <w:rPr>
                <w:sz w:val="20"/>
                <w:szCs w:val="20"/>
              </w:rPr>
              <w:t>The total duration of the ICANN-PTI Contract, including the automatic renewal under this clause, shall not exceed [TBD] years.</w:t>
            </w:r>
            <w:r>
              <w:rPr>
                <w:color w:val="0070C0"/>
                <w:sz w:val="20"/>
                <w:szCs w:val="20"/>
              </w:rPr>
              <w:t xml:space="preserve"> </w:t>
            </w:r>
            <w:commentRangeEnd w:id="11"/>
            <w:r>
              <w:rPr>
                <w:rStyle w:val="CommentReference"/>
              </w:rPr>
              <w:commentReference w:id="11"/>
            </w:r>
          </w:p>
        </w:tc>
        <w:tc>
          <w:tcPr>
            <w:tcW w:w="1170" w:type="dxa"/>
          </w:tcPr>
          <w:p>
            <w:pPr>
              <w:spacing w:after="60"/>
              <w:jc w:val="center"/>
              <w:rPr>
                <w:sz w:val="20"/>
                <w:szCs w:val="20"/>
              </w:rPr>
            </w:pPr>
            <w:r>
              <w:rPr>
                <w:sz w:val="20"/>
                <w:szCs w:val="20"/>
              </w:rPr>
              <w:t>I.59, I.70</w:t>
            </w:r>
          </w:p>
        </w:tc>
        <w:tc>
          <w:tcPr>
            <w:tcW w:w="1170" w:type="dxa"/>
          </w:tcPr>
          <w:p>
            <w:pPr>
              <w:spacing w:after="60"/>
              <w:jc w:val="center"/>
              <w:rPr>
                <w:color w:val="0070C0"/>
                <w:sz w:val="20"/>
                <w:szCs w:val="20"/>
              </w:rPr>
            </w:pPr>
            <w:r>
              <w:rPr>
                <w:sz w:val="20"/>
                <w:szCs w:val="20"/>
              </w:rPr>
              <w:t>III.A.i.a.</w:t>
            </w:r>
          </w:p>
        </w:tc>
      </w:tr>
      <w:tr>
        <w:tc>
          <w:tcPr>
            <w:tcW w:w="2178" w:type="dxa"/>
          </w:tcPr>
          <w:p>
            <w:pPr>
              <w:spacing w:after="60"/>
              <w:jc w:val="left"/>
              <w:rPr>
                <w:color w:val="000000"/>
                <w:sz w:val="20"/>
                <w:szCs w:val="20"/>
              </w:rPr>
            </w:pPr>
            <w:r>
              <w:rPr>
                <w:color w:val="000000"/>
                <w:sz w:val="20"/>
                <w:szCs w:val="20"/>
              </w:rPr>
              <w:t xml:space="preserve">IANA Function Review </w:t>
            </w:r>
          </w:p>
        </w:tc>
        <w:tc>
          <w:tcPr>
            <w:tcW w:w="5310" w:type="dxa"/>
          </w:tcPr>
          <w:p>
            <w:pPr>
              <w:pStyle w:val="ListParagraph"/>
              <w:numPr>
                <w:ilvl w:val="0"/>
                <w:numId w:val="42"/>
              </w:numPr>
              <w:spacing w:after="60"/>
              <w:ind w:left="252" w:hanging="252"/>
              <w:jc w:val="left"/>
              <w:rPr>
                <w:color w:val="000000"/>
                <w:sz w:val="20"/>
                <w:szCs w:val="20"/>
              </w:rPr>
            </w:pPr>
            <w:r>
              <w:rPr>
                <w:color w:val="000000"/>
                <w:sz w:val="20"/>
                <w:szCs w:val="20"/>
              </w:rPr>
              <w:t>The IANA Function Review (IFR) of PTI’s performance will be conducted by the IFRT in accordance with the processes set forth in ICANN’s governance documents.</w:t>
            </w:r>
          </w:p>
          <w:p>
            <w:pPr>
              <w:pStyle w:val="ListParagraph"/>
              <w:numPr>
                <w:ilvl w:val="0"/>
                <w:numId w:val="42"/>
              </w:numPr>
              <w:spacing w:after="60"/>
              <w:ind w:left="252" w:hanging="252"/>
              <w:jc w:val="left"/>
              <w:rPr>
                <w:color w:val="000000"/>
                <w:sz w:val="20"/>
                <w:szCs w:val="20"/>
              </w:rPr>
            </w:pPr>
            <w:commentRangeStart w:id="12"/>
            <w:r>
              <w:rPr>
                <w:color w:val="000000"/>
                <w:sz w:val="20"/>
                <w:szCs w:val="20"/>
              </w:rPr>
              <w:t>PTI shall submit to the procedures and scope of the IFR. PTI agrees to make any necessary changes, including amendment to the ICANN-PTI Contract, as adopted and implemented by ICANN following an IFR.</w:t>
            </w:r>
            <w:commentRangeEnd w:id="12"/>
            <w:r>
              <w:rPr>
                <w:rStyle w:val="CommentReference"/>
              </w:rPr>
              <w:commentReference w:id="12"/>
            </w:r>
          </w:p>
          <w:p>
            <w:pPr>
              <w:pStyle w:val="ListParagraph"/>
              <w:numPr>
                <w:ilvl w:val="0"/>
                <w:numId w:val="42"/>
              </w:numPr>
              <w:spacing w:after="60"/>
              <w:ind w:left="252" w:hanging="252"/>
              <w:jc w:val="left"/>
              <w:rPr>
                <w:color w:val="000000"/>
                <w:sz w:val="20"/>
                <w:szCs w:val="20"/>
              </w:rPr>
            </w:pPr>
            <w:r>
              <w:rPr>
                <w:color w:val="000000"/>
                <w:sz w:val="20"/>
                <w:szCs w:val="20"/>
              </w:rPr>
              <w:t xml:space="preserve">An initial IFR shall take place two years following the transition of the IANA functions to PTI. </w:t>
            </w:r>
          </w:p>
          <w:p>
            <w:pPr>
              <w:pStyle w:val="ListParagraph"/>
              <w:numPr>
                <w:ilvl w:val="0"/>
                <w:numId w:val="42"/>
              </w:numPr>
              <w:spacing w:after="60"/>
              <w:ind w:left="252" w:hanging="252"/>
              <w:jc w:val="left"/>
              <w:rPr>
                <w:color w:val="000000"/>
                <w:sz w:val="20"/>
                <w:szCs w:val="20"/>
              </w:rPr>
            </w:pPr>
            <w:r>
              <w:rPr>
                <w:color w:val="000000"/>
                <w:sz w:val="20"/>
                <w:szCs w:val="20"/>
              </w:rPr>
              <w:t xml:space="preserve">Subsequent IFRs shall occur every five years. </w:t>
            </w:r>
          </w:p>
          <w:p>
            <w:pPr>
              <w:pStyle w:val="ListParagraph"/>
              <w:numPr>
                <w:ilvl w:val="0"/>
                <w:numId w:val="42"/>
              </w:numPr>
              <w:spacing w:after="60"/>
              <w:ind w:left="252" w:hanging="252"/>
              <w:jc w:val="left"/>
              <w:rPr>
                <w:color w:val="000000"/>
                <w:sz w:val="20"/>
                <w:szCs w:val="20"/>
              </w:rPr>
            </w:pPr>
            <w:commentRangeStart w:id="13"/>
            <w:r>
              <w:rPr>
                <w:color w:val="000000"/>
                <w:sz w:val="20"/>
                <w:szCs w:val="20"/>
              </w:rPr>
              <w:t xml:space="preserve">[A special review may also be initiated by the Country </w:t>
            </w:r>
            <w:r>
              <w:rPr>
                <w:color w:val="000000"/>
                <w:sz w:val="20"/>
                <w:szCs w:val="20"/>
              </w:rPr>
              <w:lastRenderedPageBreak/>
              <w:t>Code Names Supporting Organisation (ccNSO) or Generic Names Supporting Organisation (GNSO) in the event that the Customer Standing Committee (CSC) or Top-Level Domains (TLDs) raise concerns sufficient to trigger such review.]</w:t>
            </w:r>
            <w:commentRangeEnd w:id="13"/>
            <w:r>
              <w:rPr>
                <w:rStyle w:val="CommentReference"/>
              </w:rPr>
              <w:commentReference w:id="13"/>
            </w: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r>
              <w:rPr>
                <w:color w:val="000000"/>
                <w:sz w:val="20"/>
                <w:szCs w:val="20"/>
              </w:rPr>
              <w:t>III.A.i.d.</w:t>
            </w:r>
          </w:p>
        </w:tc>
      </w:tr>
      <w:tr>
        <w:tc>
          <w:tcPr>
            <w:tcW w:w="2178" w:type="dxa"/>
          </w:tcPr>
          <w:p>
            <w:pPr>
              <w:spacing w:after="60"/>
              <w:rPr>
                <w:color w:val="000000"/>
                <w:sz w:val="20"/>
                <w:szCs w:val="20"/>
              </w:rPr>
            </w:pPr>
            <w:r>
              <w:rPr>
                <w:color w:val="000000"/>
                <w:sz w:val="20"/>
                <w:szCs w:val="20"/>
              </w:rPr>
              <w:lastRenderedPageBreak/>
              <w:t>Performance Monitoring</w:t>
            </w:r>
          </w:p>
        </w:tc>
        <w:tc>
          <w:tcPr>
            <w:tcW w:w="5310" w:type="dxa"/>
          </w:tcPr>
          <w:p>
            <w:pPr>
              <w:pStyle w:val="ListParagraph"/>
              <w:numPr>
                <w:ilvl w:val="0"/>
                <w:numId w:val="42"/>
              </w:numPr>
              <w:spacing w:after="60"/>
              <w:ind w:left="252" w:hanging="252"/>
              <w:jc w:val="left"/>
              <w:rPr>
                <w:color w:val="000000"/>
                <w:sz w:val="20"/>
                <w:szCs w:val="20"/>
              </w:rPr>
            </w:pPr>
            <w:r>
              <w:rPr>
                <w:color w:val="000000"/>
                <w:sz w:val="20"/>
                <w:szCs w:val="20"/>
              </w:rPr>
              <w:t>The CSC will be established to monitor PTI performance of the IANA naming function according to the ICANN-PTI Contract and Service Level Expectations (SLEs).</w:t>
            </w:r>
          </w:p>
          <w:p>
            <w:pPr>
              <w:pStyle w:val="ListParagraph"/>
              <w:numPr>
                <w:ilvl w:val="0"/>
                <w:numId w:val="42"/>
              </w:numPr>
              <w:spacing w:after="60"/>
              <w:ind w:left="252" w:hanging="252"/>
              <w:jc w:val="left"/>
              <w:rPr>
                <w:color w:val="000000"/>
                <w:sz w:val="20"/>
                <w:szCs w:val="20"/>
              </w:rPr>
            </w:pPr>
            <w:r>
              <w:rPr>
                <w:color w:val="000000"/>
                <w:sz w:val="20"/>
                <w:szCs w:val="20"/>
              </w:rPr>
              <w:t xml:space="preserve">PTI shall act in good-faith to resolve all issues identified by CSC directly and to submit to the escalation mechanics set forth in the ICANN-PTI Contract and ICANN governance documents. </w:t>
            </w:r>
          </w:p>
          <w:p>
            <w:pPr>
              <w:pStyle w:val="ListParagraph"/>
              <w:numPr>
                <w:ilvl w:val="0"/>
                <w:numId w:val="42"/>
              </w:numPr>
              <w:spacing w:after="60"/>
              <w:ind w:left="252" w:hanging="252"/>
              <w:jc w:val="left"/>
              <w:rPr>
                <w:color w:val="000000"/>
                <w:sz w:val="20"/>
                <w:szCs w:val="20"/>
              </w:rPr>
            </w:pPr>
            <w:r>
              <w:rPr>
                <w:color w:val="000000"/>
                <w:sz w:val="20"/>
                <w:szCs w:val="20"/>
              </w:rPr>
              <w:t>The CSC shall be empowered to escalate identified areas of concern to the ccNSO and/or GNSO. The ccNSO and GNSO will be responsible for developing their own procedures, which will be done post-transition.</w:t>
            </w: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r>
              <w:rPr>
                <w:color w:val="000000"/>
                <w:sz w:val="20"/>
                <w:szCs w:val="20"/>
              </w:rPr>
              <w:t>III.A.i.</w:t>
            </w:r>
          </w:p>
        </w:tc>
      </w:tr>
      <w:tr>
        <w:tc>
          <w:tcPr>
            <w:tcW w:w="2178" w:type="dxa"/>
          </w:tcPr>
          <w:p>
            <w:pPr>
              <w:spacing w:after="60"/>
              <w:jc w:val="left"/>
              <w:rPr>
                <w:b/>
                <w:sz w:val="20"/>
                <w:szCs w:val="20"/>
              </w:rPr>
            </w:pPr>
            <w:commentRangeStart w:id="14"/>
            <w:r>
              <w:rPr>
                <w:b/>
                <w:sz w:val="20"/>
                <w:szCs w:val="20"/>
              </w:rPr>
              <w:t xml:space="preserve">ESCALATION MECHANISMS (IANA Customer Service Complaint Resolution Process) </w:t>
            </w:r>
            <w:commentRangeEnd w:id="14"/>
            <w:r>
              <w:rPr>
                <w:rStyle w:val="CommentReference"/>
              </w:rPr>
              <w:commentReference w:id="14"/>
            </w:r>
          </w:p>
        </w:tc>
        <w:tc>
          <w:tcPr>
            <w:tcW w:w="5310" w:type="dxa"/>
          </w:tcPr>
          <w:p>
            <w:pPr>
              <w:pStyle w:val="ListParagraph"/>
              <w:numPr>
                <w:ilvl w:val="0"/>
                <w:numId w:val="42"/>
              </w:numPr>
              <w:spacing w:after="60"/>
              <w:ind w:left="252" w:hanging="252"/>
              <w:jc w:val="left"/>
              <w:rPr>
                <w:sz w:val="20"/>
                <w:szCs w:val="20"/>
              </w:rPr>
            </w:pPr>
            <w:r>
              <w:rPr>
                <w:sz w:val="20"/>
                <w:szCs w:val="20"/>
              </w:rPr>
              <w:t xml:space="preserve">Phase 1: If anyone experiences an issue with PTI’s delivery of IANA naming functions, the complainant can send an email to PTI who will escalate the complaint internally as required. This process is open to anyone, including individuals, ccTLD regional organizations and ICANN SO/ACs. </w:t>
            </w:r>
          </w:p>
          <w:p>
            <w:pPr>
              <w:pStyle w:val="ListParagraph"/>
              <w:numPr>
                <w:ilvl w:val="0"/>
                <w:numId w:val="42"/>
              </w:numPr>
              <w:spacing w:after="60"/>
              <w:ind w:left="252" w:hanging="252"/>
              <w:jc w:val="left"/>
              <w:rPr>
                <w:sz w:val="20"/>
                <w:szCs w:val="20"/>
              </w:rPr>
            </w:pPr>
            <w:r>
              <w:rPr>
                <w:sz w:val="20"/>
                <w:szCs w:val="20"/>
              </w:rPr>
              <w:t>Phase 2: If the issue is not addressed, then direct customers only may request mediation. ICANN and CSC is notified of the issue and CSC reviews to determine whether the issue is part of a persistent performance issue or an indication of a systemic problem. If so, the CSC may seek remediation through the Problem Resolution Process described below.  This process is only open to direct customers. Non-direct customers, including TLD organizations, who have issues unresolved in Phase 1, may escalate the issues to the ombudsman or the applicable liaisons to the CSC.</w:t>
            </w:r>
          </w:p>
          <w:p>
            <w:pPr>
              <w:pStyle w:val="ListParagraph"/>
              <w:numPr>
                <w:ilvl w:val="0"/>
                <w:numId w:val="42"/>
              </w:numPr>
              <w:spacing w:after="60"/>
              <w:ind w:left="252" w:hanging="252"/>
              <w:jc w:val="left"/>
              <w:rPr>
                <w:sz w:val="20"/>
                <w:szCs w:val="20"/>
              </w:rPr>
            </w:pPr>
            <w:r>
              <w:rPr>
                <w:sz w:val="20"/>
                <w:szCs w:val="20"/>
              </w:rPr>
              <w:t xml:space="preserve">The complainant may also initiate an independent review process if the issue is not addressed.  </w:t>
            </w:r>
          </w:p>
          <w:p>
            <w:pPr>
              <w:spacing w:after="60"/>
              <w:rPr>
                <w:sz w:val="20"/>
                <w:szCs w:val="20"/>
              </w:rPr>
            </w:pPr>
            <w:r>
              <w:rPr>
                <w:sz w:val="20"/>
                <w:szCs w:val="20"/>
              </w:rPr>
              <w:t xml:space="preserve">Further details of the escalation mechanism may be found in </w:t>
            </w:r>
            <w:commentRangeStart w:id="15"/>
            <w:r>
              <w:rPr>
                <w:sz w:val="20"/>
                <w:szCs w:val="20"/>
              </w:rPr>
              <w:t xml:space="preserve">[Final Report]. </w:t>
            </w:r>
            <w:commentRangeEnd w:id="15"/>
            <w:r>
              <w:rPr>
                <w:rStyle w:val="CommentReference"/>
              </w:rPr>
              <w:commentReference w:id="15"/>
            </w: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r>
              <w:rPr>
                <w:color w:val="000000"/>
                <w:sz w:val="20"/>
                <w:szCs w:val="20"/>
              </w:rPr>
              <w:t>III.A.ii.c./ Annex I</w:t>
            </w:r>
          </w:p>
        </w:tc>
      </w:tr>
      <w:tr>
        <w:tc>
          <w:tcPr>
            <w:tcW w:w="2178" w:type="dxa"/>
          </w:tcPr>
          <w:p>
            <w:pPr>
              <w:spacing w:after="60"/>
              <w:jc w:val="left"/>
              <w:rPr>
                <w:b/>
                <w:sz w:val="20"/>
                <w:szCs w:val="20"/>
              </w:rPr>
            </w:pPr>
            <w:r>
              <w:rPr>
                <w:b/>
                <w:sz w:val="20"/>
                <w:szCs w:val="20"/>
              </w:rPr>
              <w:t xml:space="preserve">ESCALATION MECHANISMS (IANA Problem Resolution Process) </w:t>
            </w:r>
          </w:p>
        </w:tc>
        <w:tc>
          <w:tcPr>
            <w:tcW w:w="5310" w:type="dxa"/>
          </w:tcPr>
          <w:p>
            <w:pPr>
              <w:spacing w:after="60"/>
              <w:rPr>
                <w:sz w:val="20"/>
                <w:szCs w:val="20"/>
              </w:rPr>
            </w:pPr>
            <w:r>
              <w:rPr>
                <w:sz w:val="20"/>
                <w:szCs w:val="20"/>
              </w:rPr>
              <w:t xml:space="preserve">The </w:t>
            </w:r>
            <w:commentRangeStart w:id="16"/>
            <w:r>
              <w:rPr>
                <w:sz w:val="20"/>
                <w:szCs w:val="20"/>
              </w:rPr>
              <w:t xml:space="preserve">CSC </w:t>
            </w:r>
            <w:commentRangeEnd w:id="16"/>
            <w:r>
              <w:rPr>
                <w:rStyle w:val="CommentReference"/>
              </w:rPr>
              <w:commentReference w:id="16"/>
            </w:r>
            <w:r>
              <w:rPr>
                <w:sz w:val="20"/>
                <w:szCs w:val="20"/>
              </w:rPr>
              <w:t xml:space="preserve">may seek resolution with PTI performance issues in accordance with the Remedial Action Plan which includes: </w:t>
            </w:r>
          </w:p>
          <w:p>
            <w:pPr>
              <w:pStyle w:val="ListParagraph"/>
              <w:numPr>
                <w:ilvl w:val="0"/>
                <w:numId w:val="45"/>
              </w:numPr>
              <w:spacing w:after="60"/>
              <w:jc w:val="left"/>
              <w:rPr>
                <w:sz w:val="20"/>
                <w:szCs w:val="20"/>
              </w:rPr>
            </w:pPr>
            <w:r>
              <w:rPr>
                <w:sz w:val="20"/>
                <w:szCs w:val="20"/>
              </w:rPr>
              <w:t>CSC reports persistent issues to PTI and requests remedial action in [TBD] days.</w:t>
            </w:r>
          </w:p>
          <w:p>
            <w:pPr>
              <w:pStyle w:val="ListParagraph"/>
              <w:numPr>
                <w:ilvl w:val="0"/>
                <w:numId w:val="45"/>
              </w:numPr>
              <w:spacing w:after="60"/>
              <w:jc w:val="left"/>
              <w:rPr>
                <w:sz w:val="20"/>
                <w:szCs w:val="20"/>
              </w:rPr>
            </w:pPr>
            <w:r>
              <w:rPr>
                <w:sz w:val="20"/>
                <w:szCs w:val="20"/>
              </w:rPr>
              <w:t xml:space="preserve">CSC confirms completion of the remedial action. </w:t>
            </w:r>
          </w:p>
          <w:p>
            <w:pPr>
              <w:pStyle w:val="ListParagraph"/>
              <w:numPr>
                <w:ilvl w:val="0"/>
                <w:numId w:val="45"/>
              </w:numPr>
              <w:spacing w:after="60"/>
              <w:jc w:val="left"/>
              <w:rPr>
                <w:sz w:val="20"/>
                <w:szCs w:val="20"/>
              </w:rPr>
            </w:pPr>
            <w:r>
              <w:rPr>
                <w:sz w:val="20"/>
                <w:szCs w:val="20"/>
              </w:rPr>
              <w:lastRenderedPageBreak/>
              <w:t xml:space="preserve">If CSC determines that the remedial action has been exhausted and has not led to necessary improvements, the CSC is authorized to escalate to the ccNSO and/or the GNSO, who might then decide to take further action using agreed consultation and escalation processes to be determined post-transition. </w:t>
            </w: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r>
              <w:rPr>
                <w:color w:val="000000"/>
                <w:sz w:val="20"/>
                <w:szCs w:val="20"/>
              </w:rPr>
              <w:t xml:space="preserve">III.A.ii.c./ </w:t>
            </w:r>
            <w:r>
              <w:rPr>
                <w:sz w:val="20"/>
                <w:szCs w:val="20"/>
              </w:rPr>
              <w:t>Annex J</w:t>
            </w:r>
          </w:p>
        </w:tc>
      </w:tr>
      <w:tr>
        <w:tc>
          <w:tcPr>
            <w:tcW w:w="2178" w:type="dxa"/>
          </w:tcPr>
          <w:p>
            <w:pPr>
              <w:spacing w:after="60"/>
              <w:jc w:val="left"/>
              <w:rPr>
                <w:b/>
                <w:color w:val="0070C0"/>
                <w:sz w:val="20"/>
                <w:szCs w:val="20"/>
              </w:rPr>
            </w:pPr>
            <w:r>
              <w:rPr>
                <w:b/>
                <w:color w:val="0070C0"/>
                <w:sz w:val="20"/>
                <w:szCs w:val="20"/>
              </w:rPr>
              <w:lastRenderedPageBreak/>
              <w:t xml:space="preserve">ESCALATION MECHANISMS (Root Zone Emergency Process) </w:t>
            </w:r>
          </w:p>
        </w:tc>
        <w:tc>
          <w:tcPr>
            <w:tcW w:w="5310" w:type="dxa"/>
          </w:tcPr>
          <w:p>
            <w:pPr>
              <w:spacing w:after="60"/>
              <w:rPr>
                <w:color w:val="0070C0"/>
                <w:sz w:val="20"/>
                <w:szCs w:val="20"/>
              </w:rPr>
            </w:pPr>
            <w:commentRangeStart w:id="17"/>
            <w:r>
              <w:rPr>
                <w:color w:val="0070C0"/>
                <w:sz w:val="20"/>
                <w:szCs w:val="20"/>
              </w:rPr>
              <w:t>[Retain provisions from current ICANN-NTIA Contract.]</w:t>
            </w:r>
            <w:commentRangeEnd w:id="17"/>
            <w:r>
              <w:rPr>
                <w:rStyle w:val="CommentReference"/>
              </w:rPr>
              <w:commentReference w:id="17"/>
            </w:r>
          </w:p>
        </w:tc>
        <w:tc>
          <w:tcPr>
            <w:tcW w:w="1170" w:type="dxa"/>
          </w:tcPr>
          <w:p>
            <w:pPr>
              <w:spacing w:after="60"/>
              <w:jc w:val="center"/>
              <w:rPr>
                <w:color w:val="0070C0"/>
                <w:sz w:val="20"/>
                <w:szCs w:val="20"/>
              </w:rPr>
            </w:pPr>
          </w:p>
        </w:tc>
        <w:tc>
          <w:tcPr>
            <w:tcW w:w="1170" w:type="dxa"/>
          </w:tcPr>
          <w:p>
            <w:pPr>
              <w:spacing w:after="60"/>
              <w:jc w:val="center"/>
              <w:rPr>
                <w:color w:val="0070C0"/>
                <w:sz w:val="20"/>
                <w:szCs w:val="20"/>
              </w:rPr>
            </w:pPr>
            <w:r>
              <w:rPr>
                <w:color w:val="0070C0"/>
                <w:sz w:val="20"/>
                <w:szCs w:val="20"/>
              </w:rPr>
              <w:t>III.A.ii.c./ Annex K</w:t>
            </w:r>
          </w:p>
        </w:tc>
      </w:tr>
      <w:tr>
        <w:tc>
          <w:tcPr>
            <w:tcW w:w="2178" w:type="dxa"/>
          </w:tcPr>
          <w:p>
            <w:pPr>
              <w:spacing w:after="60"/>
              <w:jc w:val="left"/>
              <w:rPr>
                <w:b/>
                <w:color w:val="4F81BD" w:themeColor="accent1"/>
                <w:sz w:val="20"/>
                <w:szCs w:val="20"/>
              </w:rPr>
            </w:pPr>
            <w:r>
              <w:rPr>
                <w:b/>
                <w:sz w:val="20"/>
                <w:szCs w:val="20"/>
              </w:rPr>
              <w:t xml:space="preserve">ESCALATION MECHANISMS (Separation Review) </w:t>
            </w:r>
          </w:p>
        </w:tc>
        <w:tc>
          <w:tcPr>
            <w:tcW w:w="5310" w:type="dxa"/>
          </w:tcPr>
          <w:p>
            <w:pPr>
              <w:pStyle w:val="ListParagraph"/>
              <w:numPr>
                <w:ilvl w:val="0"/>
                <w:numId w:val="48"/>
              </w:numPr>
              <w:spacing w:after="60"/>
              <w:jc w:val="left"/>
              <w:rPr>
                <w:sz w:val="20"/>
                <w:szCs w:val="20"/>
              </w:rPr>
            </w:pPr>
            <w:r>
              <w:rPr>
                <w:sz w:val="20"/>
                <w:szCs w:val="20"/>
              </w:rPr>
              <w:t>A separation review can be triggered by IFRT in accordance with the ICANN governance documents. PTI shall submit to and comply with the IFR mechanics, including the separation review mechanics, adopted and implemented by ICANN.</w:t>
            </w:r>
          </w:p>
          <w:p>
            <w:pPr>
              <w:pStyle w:val="ListParagraph"/>
              <w:numPr>
                <w:ilvl w:val="0"/>
                <w:numId w:val="48"/>
              </w:numPr>
              <w:spacing w:after="60"/>
              <w:jc w:val="left"/>
              <w:rPr>
                <w:sz w:val="20"/>
                <w:szCs w:val="20"/>
              </w:rPr>
            </w:pPr>
            <w:r>
              <w:rPr>
                <w:sz w:val="20"/>
                <w:szCs w:val="20"/>
              </w:rPr>
              <w:t>All recommendations resulting from the separation review must be approved by the ICANN board.</w:t>
            </w: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r>
              <w:rPr>
                <w:sz w:val="20"/>
                <w:szCs w:val="20"/>
              </w:rPr>
              <w:t>III.A.ii.d.</w:t>
            </w:r>
          </w:p>
        </w:tc>
      </w:tr>
      <w:tr>
        <w:tc>
          <w:tcPr>
            <w:tcW w:w="2178" w:type="dxa"/>
          </w:tcPr>
          <w:p>
            <w:pPr>
              <w:spacing w:after="60"/>
              <w:jc w:val="left"/>
              <w:rPr>
                <w:b/>
                <w:color w:val="0070C0"/>
                <w:sz w:val="20"/>
                <w:szCs w:val="20"/>
              </w:rPr>
            </w:pPr>
            <w:commentRangeStart w:id="18"/>
            <w:r>
              <w:rPr>
                <w:b/>
                <w:color w:val="0070C0"/>
                <w:sz w:val="20"/>
                <w:szCs w:val="20"/>
              </w:rPr>
              <w:t xml:space="preserve">CONTINUITY OF OPERATIONS </w:t>
            </w:r>
            <w:commentRangeEnd w:id="18"/>
            <w:r>
              <w:rPr>
                <w:rStyle w:val="CommentReference"/>
              </w:rPr>
              <w:commentReference w:id="18"/>
            </w:r>
          </w:p>
        </w:tc>
        <w:tc>
          <w:tcPr>
            <w:tcW w:w="5310" w:type="dxa"/>
          </w:tcPr>
          <w:p>
            <w:pPr>
              <w:pStyle w:val="ListParagraph"/>
              <w:numPr>
                <w:ilvl w:val="0"/>
                <w:numId w:val="46"/>
              </w:numPr>
              <w:spacing w:after="60" w:line="259" w:lineRule="auto"/>
              <w:jc w:val="left"/>
              <w:rPr>
                <w:color w:val="0070C0"/>
                <w:sz w:val="20"/>
                <w:szCs w:val="20"/>
              </w:rPr>
            </w:pPr>
            <w:r>
              <w:rPr>
                <w:color w:val="0070C0"/>
                <w:sz w:val="20"/>
                <w:szCs w:val="20"/>
              </w:rPr>
              <w:t xml:space="preserve">Retain provisions from current ICANN-NTIA Contract, except that ICANN will perform duties of the Contract Officer (CO) and Contract Officer Representative (COR).  PTI agrees to be fully engaged in the transition plan and to provide appropriate transition staff and expertise to facilitate a stable transition of the IANA functions on terms more fully developed in the ICANN-PTI Contract. </w:t>
            </w:r>
          </w:p>
          <w:p>
            <w:pPr>
              <w:pStyle w:val="ListParagraph"/>
              <w:numPr>
                <w:ilvl w:val="0"/>
                <w:numId w:val="46"/>
              </w:numPr>
              <w:spacing w:after="60" w:line="259" w:lineRule="auto"/>
              <w:jc w:val="left"/>
              <w:rPr>
                <w:color w:val="0070C0"/>
                <w:sz w:val="20"/>
                <w:szCs w:val="20"/>
              </w:rPr>
            </w:pPr>
            <w:r>
              <w:rPr>
                <w:color w:val="0070C0"/>
                <w:sz w:val="20"/>
                <w:szCs w:val="20"/>
              </w:rPr>
              <w:t xml:space="preserve">ICANN, in conjunction with CSC as necessary, shall review the transition plan every five years. </w:t>
            </w:r>
          </w:p>
        </w:tc>
        <w:tc>
          <w:tcPr>
            <w:tcW w:w="1170" w:type="dxa"/>
          </w:tcPr>
          <w:p>
            <w:pPr>
              <w:spacing w:after="60"/>
              <w:jc w:val="center"/>
              <w:rPr>
                <w:color w:val="0070C0"/>
                <w:sz w:val="20"/>
                <w:szCs w:val="20"/>
              </w:rPr>
            </w:pPr>
            <w:r>
              <w:rPr>
                <w:color w:val="0070C0"/>
                <w:sz w:val="20"/>
                <w:szCs w:val="20"/>
              </w:rPr>
              <w:t>C.7</w:t>
            </w:r>
          </w:p>
        </w:tc>
        <w:tc>
          <w:tcPr>
            <w:tcW w:w="1170" w:type="dxa"/>
          </w:tcPr>
          <w:p>
            <w:pPr>
              <w:spacing w:after="60"/>
              <w:jc w:val="center"/>
              <w:rPr>
                <w:color w:val="0070C0"/>
                <w:sz w:val="20"/>
                <w:szCs w:val="20"/>
              </w:rPr>
            </w:pPr>
            <w:r>
              <w:rPr>
                <w:color w:val="4F81BD" w:themeColor="accent1"/>
                <w:sz w:val="20"/>
                <w:szCs w:val="20"/>
              </w:rPr>
              <w:t>III.A.ii.e.</w:t>
            </w:r>
          </w:p>
        </w:tc>
      </w:tr>
      <w:tr>
        <w:tc>
          <w:tcPr>
            <w:tcW w:w="2178" w:type="dxa"/>
          </w:tcPr>
          <w:p>
            <w:pPr>
              <w:spacing w:after="60"/>
              <w:jc w:val="left"/>
              <w:rPr>
                <w:b/>
                <w:color w:val="0070C0"/>
                <w:sz w:val="20"/>
                <w:szCs w:val="20"/>
              </w:rPr>
            </w:pPr>
            <w:r>
              <w:rPr>
                <w:b/>
                <w:color w:val="0070C0"/>
                <w:sz w:val="20"/>
                <w:szCs w:val="20"/>
              </w:rPr>
              <w:t>COST/PRICE</w:t>
            </w:r>
          </w:p>
          <w:p>
            <w:pPr>
              <w:spacing w:after="60"/>
              <w:jc w:val="left"/>
              <w:rPr>
                <w:b/>
                <w:color w:val="0070C0"/>
                <w:sz w:val="20"/>
                <w:szCs w:val="20"/>
              </w:rPr>
            </w:pPr>
          </w:p>
          <w:p>
            <w:pPr>
              <w:spacing w:after="60"/>
              <w:jc w:val="left"/>
              <w:rPr>
                <w:color w:val="0070C0"/>
                <w:sz w:val="20"/>
                <w:szCs w:val="20"/>
              </w:rPr>
            </w:pPr>
          </w:p>
        </w:tc>
        <w:tc>
          <w:tcPr>
            <w:tcW w:w="5310" w:type="dxa"/>
          </w:tcPr>
          <w:p>
            <w:pPr>
              <w:pStyle w:val="ListParagraph"/>
              <w:numPr>
                <w:ilvl w:val="0"/>
                <w:numId w:val="25"/>
              </w:numPr>
              <w:spacing w:after="60"/>
              <w:ind w:left="252" w:hanging="252"/>
              <w:jc w:val="left"/>
              <w:rPr>
                <w:color w:val="0070C0"/>
                <w:sz w:val="20"/>
                <w:szCs w:val="20"/>
              </w:rPr>
            </w:pPr>
            <w:r>
              <w:rPr>
                <w:color w:val="0070C0"/>
                <w:sz w:val="20"/>
                <w:szCs w:val="20"/>
              </w:rPr>
              <w:t>No charge to ICANN.</w:t>
            </w:r>
          </w:p>
          <w:p>
            <w:pPr>
              <w:pStyle w:val="ListParagraph"/>
              <w:numPr>
                <w:ilvl w:val="0"/>
                <w:numId w:val="25"/>
              </w:numPr>
              <w:spacing w:after="60"/>
              <w:ind w:left="252" w:hanging="252"/>
              <w:jc w:val="left"/>
              <w:rPr>
                <w:color w:val="0070C0"/>
                <w:sz w:val="20"/>
                <w:szCs w:val="20"/>
              </w:rPr>
            </w:pPr>
            <w:commentRangeStart w:id="19"/>
            <w:r>
              <w:rPr>
                <w:color w:val="0070C0"/>
                <w:sz w:val="20"/>
                <w:szCs w:val="20"/>
              </w:rPr>
              <w:t>PTI may establish and collect fair and reasonable fees from third parties, subject to ICANN’s approval.</w:t>
            </w:r>
            <w:commentRangeEnd w:id="19"/>
            <w:r>
              <w:rPr>
                <w:rStyle w:val="CommentReference"/>
              </w:rPr>
              <w:commentReference w:id="19"/>
            </w:r>
          </w:p>
          <w:p>
            <w:pPr>
              <w:pStyle w:val="ListParagraph"/>
              <w:numPr>
                <w:ilvl w:val="0"/>
                <w:numId w:val="25"/>
              </w:numPr>
              <w:spacing w:after="60"/>
              <w:ind w:left="252" w:hanging="252"/>
              <w:jc w:val="left"/>
              <w:rPr>
                <w:color w:val="0070C0"/>
                <w:sz w:val="20"/>
                <w:szCs w:val="20"/>
              </w:rPr>
            </w:pPr>
            <w:r>
              <w:rPr>
                <w:color w:val="0070C0"/>
                <w:sz w:val="20"/>
                <w:szCs w:val="20"/>
              </w:rPr>
              <w:t xml:space="preserve">Fees, if any, will be based on direct costs and resources. </w:t>
            </w:r>
          </w:p>
          <w:p>
            <w:pPr>
              <w:pStyle w:val="ListParagraph"/>
              <w:numPr>
                <w:ilvl w:val="0"/>
                <w:numId w:val="25"/>
              </w:numPr>
              <w:spacing w:after="60"/>
              <w:ind w:left="252" w:hanging="252"/>
              <w:jc w:val="left"/>
              <w:rPr>
                <w:color w:val="0070C0"/>
                <w:sz w:val="20"/>
                <w:szCs w:val="20"/>
              </w:rPr>
            </w:pPr>
            <w:r>
              <w:rPr>
                <w:color w:val="0070C0"/>
                <w:sz w:val="20"/>
                <w:szCs w:val="20"/>
              </w:rPr>
              <w:t>After one year of charging fees, PTI must collaborate with all Interested and Affected Parties to develop the fee structure and a method to tracks costs for each IANA function. PTI must submit copies of the above and a description of the collaboration efforts to ICANN.</w:t>
            </w:r>
          </w:p>
          <w:p>
            <w:pPr>
              <w:pStyle w:val="ListParagraph"/>
              <w:numPr>
                <w:ilvl w:val="0"/>
                <w:numId w:val="25"/>
              </w:numPr>
              <w:spacing w:after="60"/>
              <w:ind w:left="252" w:hanging="252"/>
              <w:jc w:val="left"/>
              <w:rPr>
                <w:color w:val="0070C0"/>
                <w:sz w:val="20"/>
                <w:szCs w:val="20"/>
              </w:rPr>
            </w:pPr>
            <w:r>
              <w:rPr>
                <w:color w:val="0070C0"/>
                <w:sz w:val="20"/>
                <w:szCs w:val="20"/>
              </w:rPr>
              <w:t xml:space="preserve">“Interested and Affected Parties” means the multistakeholder, private sector led, bottom-up policy development model for the DNS that ICANN represents; </w:t>
            </w:r>
            <w:r>
              <w:rPr>
                <w:b/>
                <w:color w:val="0070C0"/>
                <w:sz w:val="20"/>
                <w:szCs w:val="20"/>
              </w:rPr>
              <w:t>[</w:t>
            </w:r>
            <w:r>
              <w:rPr>
                <w:color w:val="0070C0"/>
                <w:sz w:val="20"/>
                <w:szCs w:val="20"/>
              </w:rPr>
              <w:t>the IETF, the IAB, 5 RIRs;] ccTLD and gTLD operators; governments; and the Internet user community.</w:t>
            </w:r>
          </w:p>
        </w:tc>
        <w:tc>
          <w:tcPr>
            <w:tcW w:w="1170" w:type="dxa"/>
          </w:tcPr>
          <w:p>
            <w:pPr>
              <w:spacing w:after="60"/>
              <w:jc w:val="center"/>
              <w:rPr>
                <w:color w:val="0070C0"/>
                <w:sz w:val="20"/>
                <w:szCs w:val="20"/>
              </w:rPr>
            </w:pPr>
            <w:r>
              <w:rPr>
                <w:color w:val="0070C0"/>
                <w:sz w:val="20"/>
                <w:szCs w:val="20"/>
              </w:rPr>
              <w:t>B.2</w:t>
            </w:r>
          </w:p>
        </w:tc>
        <w:tc>
          <w:tcPr>
            <w:tcW w:w="1170" w:type="dxa"/>
          </w:tcPr>
          <w:p>
            <w:pPr>
              <w:spacing w:after="60"/>
              <w:jc w:val="center"/>
              <w:rPr>
                <w:color w:val="0070C0"/>
                <w:sz w:val="20"/>
                <w:szCs w:val="20"/>
                <w:highlight w:val="yellow"/>
              </w:rPr>
            </w:pPr>
          </w:p>
        </w:tc>
      </w:tr>
      <w:tr>
        <w:tc>
          <w:tcPr>
            <w:tcW w:w="2178" w:type="dxa"/>
          </w:tcPr>
          <w:p>
            <w:pPr>
              <w:spacing w:after="60"/>
              <w:jc w:val="left"/>
              <w:rPr>
                <w:b/>
                <w:color w:val="4F81BD" w:themeColor="accent1"/>
                <w:sz w:val="20"/>
                <w:szCs w:val="20"/>
              </w:rPr>
            </w:pPr>
            <w:r>
              <w:rPr>
                <w:b/>
                <w:color w:val="4F81BD" w:themeColor="accent1"/>
                <w:sz w:val="20"/>
                <w:szCs w:val="20"/>
              </w:rPr>
              <w:t xml:space="preserve">CONSTRUCTIVE </w:t>
            </w:r>
            <w:r>
              <w:rPr>
                <w:b/>
                <w:color w:val="4F81BD" w:themeColor="accent1"/>
                <w:sz w:val="20"/>
                <w:szCs w:val="20"/>
              </w:rPr>
              <w:lastRenderedPageBreak/>
              <w:t>WORKING RELATIONSHIPS</w:t>
            </w:r>
          </w:p>
        </w:tc>
        <w:tc>
          <w:tcPr>
            <w:tcW w:w="5310" w:type="dxa"/>
          </w:tcPr>
          <w:p>
            <w:pPr>
              <w:spacing w:after="60"/>
              <w:rPr>
                <w:color w:val="0070C0"/>
                <w:sz w:val="20"/>
                <w:szCs w:val="20"/>
              </w:rPr>
            </w:pPr>
            <w:r>
              <w:rPr>
                <w:color w:val="0070C0"/>
                <w:sz w:val="20"/>
                <w:szCs w:val="20"/>
              </w:rPr>
              <w:lastRenderedPageBreak/>
              <w:t xml:space="preserve">PTI must maintain constructive working relationships with </w:t>
            </w:r>
            <w:r>
              <w:rPr>
                <w:color w:val="0070C0"/>
                <w:sz w:val="20"/>
                <w:szCs w:val="20"/>
              </w:rPr>
              <w:lastRenderedPageBreak/>
              <w:t>all Interested and Affected Parties to ensure quality and satisfactory performance.</w:t>
            </w:r>
          </w:p>
        </w:tc>
        <w:tc>
          <w:tcPr>
            <w:tcW w:w="1170" w:type="dxa"/>
          </w:tcPr>
          <w:p>
            <w:pPr>
              <w:spacing w:after="60"/>
              <w:jc w:val="center"/>
              <w:rPr>
                <w:color w:val="4F81BD" w:themeColor="accent1"/>
                <w:sz w:val="20"/>
                <w:szCs w:val="20"/>
              </w:rPr>
            </w:pPr>
            <w:r>
              <w:rPr>
                <w:color w:val="4F81BD" w:themeColor="accent1"/>
                <w:sz w:val="20"/>
                <w:szCs w:val="20"/>
              </w:rPr>
              <w:lastRenderedPageBreak/>
              <w:t>C.1.3</w:t>
            </w:r>
          </w:p>
        </w:tc>
        <w:tc>
          <w:tcPr>
            <w:tcW w:w="1170" w:type="dxa"/>
          </w:tcPr>
          <w:p>
            <w:pPr>
              <w:spacing w:after="60"/>
              <w:jc w:val="center"/>
              <w:rPr>
                <w:color w:val="FF0000"/>
                <w:sz w:val="20"/>
                <w:szCs w:val="20"/>
                <w:highlight w:val="yellow"/>
              </w:rPr>
            </w:pPr>
          </w:p>
        </w:tc>
      </w:tr>
      <w:tr>
        <w:tc>
          <w:tcPr>
            <w:tcW w:w="2178" w:type="dxa"/>
          </w:tcPr>
          <w:p>
            <w:pPr>
              <w:spacing w:after="60"/>
              <w:jc w:val="left"/>
              <w:rPr>
                <w:b/>
                <w:color w:val="000000"/>
                <w:sz w:val="20"/>
                <w:szCs w:val="20"/>
              </w:rPr>
            </w:pPr>
            <w:r>
              <w:rPr>
                <w:b/>
                <w:color w:val="000000"/>
                <w:sz w:val="20"/>
                <w:szCs w:val="20"/>
              </w:rPr>
              <w:lastRenderedPageBreak/>
              <w:t>PTI REQUIREMENTS</w:t>
            </w:r>
          </w:p>
        </w:tc>
        <w:tc>
          <w:tcPr>
            <w:tcW w:w="5310" w:type="dxa"/>
          </w:tcPr>
          <w:p>
            <w:pPr>
              <w:spacing w:after="60"/>
              <w:rPr>
                <w:color w:val="0070C0"/>
                <w:sz w:val="20"/>
                <w:szCs w:val="20"/>
              </w:rPr>
            </w:pP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p>
        </w:tc>
      </w:tr>
      <w:tr>
        <w:tc>
          <w:tcPr>
            <w:tcW w:w="2178" w:type="dxa"/>
          </w:tcPr>
          <w:p>
            <w:pPr>
              <w:spacing w:after="60"/>
              <w:jc w:val="left"/>
              <w:rPr>
                <w:color w:val="0070C0"/>
                <w:sz w:val="20"/>
                <w:szCs w:val="20"/>
              </w:rPr>
            </w:pPr>
            <w:r>
              <w:rPr>
                <w:color w:val="0070C0"/>
                <w:sz w:val="20"/>
                <w:szCs w:val="20"/>
              </w:rPr>
              <w:t>Subcontracting; [U.S. Presence Requirements]</w:t>
            </w:r>
          </w:p>
        </w:tc>
        <w:tc>
          <w:tcPr>
            <w:tcW w:w="5310" w:type="dxa"/>
          </w:tcPr>
          <w:p>
            <w:pPr>
              <w:pStyle w:val="ListParagraph"/>
              <w:numPr>
                <w:ilvl w:val="0"/>
                <w:numId w:val="29"/>
              </w:numPr>
              <w:spacing w:after="60"/>
              <w:ind w:left="252" w:hanging="252"/>
              <w:jc w:val="left"/>
              <w:rPr>
                <w:color w:val="0070C0"/>
                <w:sz w:val="20"/>
                <w:szCs w:val="20"/>
              </w:rPr>
            </w:pPr>
            <w:r>
              <w:rPr>
                <w:color w:val="0070C0"/>
                <w:sz w:val="20"/>
                <w:szCs w:val="20"/>
              </w:rPr>
              <w:t>No subcontracting.</w:t>
            </w:r>
          </w:p>
          <w:p>
            <w:pPr>
              <w:pStyle w:val="ListParagraph"/>
              <w:numPr>
                <w:ilvl w:val="0"/>
                <w:numId w:val="26"/>
              </w:numPr>
              <w:spacing w:after="60"/>
              <w:ind w:left="252" w:hanging="252"/>
              <w:jc w:val="left"/>
              <w:rPr>
                <w:color w:val="0070C0"/>
                <w:sz w:val="20"/>
                <w:szCs w:val="20"/>
              </w:rPr>
            </w:pPr>
            <w:r>
              <w:rPr>
                <w:color w:val="0070C0"/>
                <w:sz w:val="20"/>
                <w:szCs w:val="20"/>
              </w:rPr>
              <w:t>[PTI must be U.S. owned and operated, incorporated and organized under U.S. law.]</w:t>
            </w:r>
          </w:p>
          <w:p>
            <w:pPr>
              <w:pStyle w:val="ListParagraph"/>
              <w:numPr>
                <w:ilvl w:val="0"/>
                <w:numId w:val="26"/>
              </w:numPr>
              <w:spacing w:after="60"/>
              <w:ind w:left="252" w:hanging="252"/>
              <w:jc w:val="left"/>
              <w:rPr>
                <w:color w:val="0070C0"/>
                <w:sz w:val="20"/>
                <w:szCs w:val="20"/>
              </w:rPr>
            </w:pPr>
            <w:r>
              <w:rPr>
                <w:color w:val="0070C0"/>
                <w:sz w:val="20"/>
                <w:szCs w:val="20"/>
              </w:rPr>
              <w:t>[Primary IANA functions must be performed in the U.S.]</w:t>
            </w:r>
          </w:p>
          <w:p>
            <w:pPr>
              <w:pStyle w:val="ListParagraph"/>
              <w:numPr>
                <w:ilvl w:val="0"/>
                <w:numId w:val="26"/>
              </w:numPr>
              <w:spacing w:after="60"/>
              <w:ind w:left="252" w:hanging="252"/>
              <w:jc w:val="left"/>
              <w:rPr>
                <w:color w:val="0070C0"/>
                <w:sz w:val="20"/>
                <w:szCs w:val="20"/>
              </w:rPr>
            </w:pPr>
            <w:r>
              <w:rPr>
                <w:color w:val="0070C0"/>
                <w:sz w:val="20"/>
                <w:szCs w:val="20"/>
              </w:rPr>
              <w:t>[PTI must have a U.S. physical address.]</w:t>
            </w:r>
          </w:p>
        </w:tc>
        <w:tc>
          <w:tcPr>
            <w:tcW w:w="1170" w:type="dxa"/>
          </w:tcPr>
          <w:p>
            <w:pPr>
              <w:spacing w:after="60"/>
              <w:rPr>
                <w:color w:val="0070C0"/>
                <w:sz w:val="20"/>
                <w:szCs w:val="20"/>
              </w:rPr>
            </w:pPr>
            <w:r>
              <w:rPr>
                <w:color w:val="0070C0"/>
                <w:sz w:val="20"/>
                <w:szCs w:val="20"/>
              </w:rPr>
              <w:t>C.2.1</w:t>
            </w:r>
          </w:p>
        </w:tc>
        <w:tc>
          <w:tcPr>
            <w:tcW w:w="1170" w:type="dxa"/>
          </w:tcPr>
          <w:p>
            <w:pPr>
              <w:spacing w:after="60"/>
              <w:rPr>
                <w:color w:val="0070C0"/>
                <w:sz w:val="20"/>
                <w:szCs w:val="20"/>
              </w:rPr>
            </w:pPr>
          </w:p>
        </w:tc>
      </w:tr>
      <w:tr>
        <w:tc>
          <w:tcPr>
            <w:tcW w:w="2178" w:type="dxa"/>
          </w:tcPr>
          <w:p>
            <w:pPr>
              <w:spacing w:after="60"/>
              <w:jc w:val="left"/>
              <w:rPr>
                <w:color w:val="0070C0"/>
                <w:sz w:val="20"/>
                <w:szCs w:val="20"/>
              </w:rPr>
            </w:pPr>
            <w:r>
              <w:rPr>
                <w:color w:val="0070C0"/>
                <w:sz w:val="20"/>
                <w:szCs w:val="20"/>
              </w:rPr>
              <w:t>Performance of IANA Functions</w:t>
            </w:r>
          </w:p>
        </w:tc>
        <w:tc>
          <w:tcPr>
            <w:tcW w:w="5310" w:type="dxa"/>
          </w:tcPr>
          <w:p>
            <w:pPr>
              <w:pStyle w:val="ListParagraph"/>
              <w:numPr>
                <w:ilvl w:val="0"/>
                <w:numId w:val="27"/>
              </w:numPr>
              <w:spacing w:after="60"/>
              <w:ind w:left="252" w:hanging="252"/>
              <w:jc w:val="left"/>
              <w:rPr>
                <w:color w:val="0070C0"/>
                <w:sz w:val="20"/>
                <w:szCs w:val="20"/>
              </w:rPr>
            </w:pPr>
            <w:r>
              <w:rPr>
                <w:color w:val="0070C0"/>
                <w:sz w:val="20"/>
                <w:szCs w:val="20"/>
              </w:rPr>
              <w:t>IANA functions must be performed in a stable and secure manner.</w:t>
            </w:r>
          </w:p>
          <w:p>
            <w:pPr>
              <w:pStyle w:val="ListParagraph"/>
              <w:numPr>
                <w:ilvl w:val="0"/>
                <w:numId w:val="27"/>
              </w:numPr>
              <w:spacing w:after="60"/>
              <w:ind w:left="252" w:hanging="252"/>
              <w:jc w:val="left"/>
              <w:rPr>
                <w:color w:val="0070C0"/>
                <w:sz w:val="20"/>
                <w:szCs w:val="20"/>
              </w:rPr>
            </w:pPr>
            <w:r>
              <w:rPr>
                <w:color w:val="0070C0"/>
                <w:sz w:val="20"/>
                <w:szCs w:val="20"/>
              </w:rPr>
              <w:t>IANA functions are administrative and technical in nature based on established policies developed by the Interested and Affected Parties.</w:t>
            </w:r>
          </w:p>
          <w:p>
            <w:pPr>
              <w:pStyle w:val="ListParagraph"/>
              <w:numPr>
                <w:ilvl w:val="0"/>
                <w:numId w:val="27"/>
              </w:numPr>
              <w:spacing w:after="60"/>
              <w:ind w:left="252" w:hanging="252"/>
              <w:jc w:val="left"/>
              <w:rPr>
                <w:color w:val="0070C0"/>
                <w:sz w:val="20"/>
                <w:szCs w:val="20"/>
              </w:rPr>
            </w:pPr>
            <w:r>
              <w:rPr>
                <w:color w:val="0070C0"/>
                <w:sz w:val="20"/>
                <w:szCs w:val="20"/>
              </w:rPr>
              <w:t>PTI must treat each IANA function with equal priority and process all requests promptly and efficiently.</w:t>
            </w:r>
          </w:p>
        </w:tc>
        <w:tc>
          <w:tcPr>
            <w:tcW w:w="1170" w:type="dxa"/>
          </w:tcPr>
          <w:p>
            <w:pPr>
              <w:spacing w:after="60"/>
              <w:rPr>
                <w:color w:val="0070C0"/>
                <w:sz w:val="20"/>
                <w:szCs w:val="20"/>
              </w:rPr>
            </w:pPr>
            <w:r>
              <w:rPr>
                <w:color w:val="0070C0"/>
                <w:sz w:val="20"/>
                <w:szCs w:val="20"/>
              </w:rPr>
              <w:t>C.2.4</w:t>
            </w:r>
          </w:p>
        </w:tc>
        <w:tc>
          <w:tcPr>
            <w:tcW w:w="1170" w:type="dxa"/>
          </w:tcPr>
          <w:p>
            <w:pPr>
              <w:spacing w:after="60"/>
              <w:rPr>
                <w:color w:val="0070C0"/>
                <w:sz w:val="20"/>
                <w:szCs w:val="20"/>
              </w:rPr>
            </w:pPr>
          </w:p>
        </w:tc>
      </w:tr>
      <w:tr>
        <w:tc>
          <w:tcPr>
            <w:tcW w:w="2178" w:type="dxa"/>
            <w:shd w:val="clear" w:color="auto" w:fill="auto"/>
          </w:tcPr>
          <w:p>
            <w:pPr>
              <w:spacing w:after="60"/>
              <w:jc w:val="left"/>
              <w:rPr>
                <w:color w:val="0070C0"/>
                <w:sz w:val="20"/>
                <w:szCs w:val="20"/>
              </w:rPr>
            </w:pPr>
            <w:r>
              <w:rPr>
                <w:color w:val="0070C0"/>
                <w:sz w:val="20"/>
                <w:szCs w:val="20"/>
              </w:rPr>
              <w:t>Separation of Policy Development and Operational Roles</w:t>
            </w:r>
          </w:p>
        </w:tc>
        <w:tc>
          <w:tcPr>
            <w:tcW w:w="5310" w:type="dxa"/>
            <w:shd w:val="clear" w:color="auto" w:fill="auto"/>
          </w:tcPr>
          <w:p>
            <w:pPr>
              <w:spacing w:after="60"/>
              <w:rPr>
                <w:color w:val="0070C0"/>
                <w:sz w:val="20"/>
                <w:szCs w:val="20"/>
              </w:rPr>
            </w:pPr>
            <w:r>
              <w:rPr>
                <w:color w:val="0070C0"/>
                <w:sz w:val="20"/>
                <w:szCs w:val="20"/>
              </w:rPr>
              <w:t>PTI staff members will not initiate, advance, or advocate any policy development related to the IANA functions.</w:t>
            </w:r>
          </w:p>
        </w:tc>
        <w:tc>
          <w:tcPr>
            <w:tcW w:w="1170" w:type="dxa"/>
            <w:shd w:val="clear" w:color="auto" w:fill="auto"/>
          </w:tcPr>
          <w:p>
            <w:pPr>
              <w:spacing w:after="60"/>
              <w:rPr>
                <w:color w:val="0070C0"/>
                <w:sz w:val="20"/>
                <w:szCs w:val="20"/>
              </w:rPr>
            </w:pPr>
            <w:r>
              <w:rPr>
                <w:color w:val="0070C0"/>
                <w:sz w:val="20"/>
                <w:szCs w:val="20"/>
              </w:rPr>
              <w:t>C.2.5</w:t>
            </w:r>
          </w:p>
        </w:tc>
        <w:tc>
          <w:tcPr>
            <w:tcW w:w="1170" w:type="dxa"/>
          </w:tcPr>
          <w:p>
            <w:pPr>
              <w:spacing w:after="60"/>
              <w:rPr>
                <w:color w:val="0070C0"/>
                <w:sz w:val="20"/>
                <w:szCs w:val="20"/>
              </w:rPr>
            </w:pPr>
          </w:p>
        </w:tc>
      </w:tr>
      <w:tr>
        <w:tc>
          <w:tcPr>
            <w:tcW w:w="2178" w:type="dxa"/>
          </w:tcPr>
          <w:p>
            <w:pPr>
              <w:spacing w:after="60"/>
              <w:jc w:val="left"/>
              <w:rPr>
                <w:color w:val="0070C0"/>
                <w:sz w:val="20"/>
                <w:szCs w:val="20"/>
              </w:rPr>
            </w:pPr>
            <w:r>
              <w:rPr>
                <w:color w:val="0070C0"/>
                <w:sz w:val="20"/>
                <w:szCs w:val="20"/>
              </w:rPr>
              <w:t xml:space="preserve">Transparency and Accountability </w:t>
            </w:r>
          </w:p>
          <w:p>
            <w:pPr>
              <w:spacing w:after="60"/>
              <w:jc w:val="left"/>
              <w:rPr>
                <w:color w:val="0070C0"/>
                <w:sz w:val="20"/>
                <w:szCs w:val="20"/>
              </w:rPr>
            </w:pPr>
          </w:p>
          <w:p>
            <w:pPr>
              <w:spacing w:after="60"/>
              <w:jc w:val="left"/>
              <w:rPr>
                <w:color w:val="0070C0"/>
                <w:sz w:val="20"/>
                <w:szCs w:val="20"/>
              </w:rPr>
            </w:pPr>
          </w:p>
        </w:tc>
        <w:tc>
          <w:tcPr>
            <w:tcW w:w="5310" w:type="dxa"/>
          </w:tcPr>
          <w:p>
            <w:pPr>
              <w:spacing w:after="60"/>
              <w:rPr>
                <w:color w:val="0070C0"/>
                <w:sz w:val="20"/>
                <w:szCs w:val="20"/>
              </w:rPr>
            </w:pPr>
            <w:commentRangeStart w:id="20"/>
            <w:r>
              <w:rPr>
                <w:color w:val="0070C0"/>
                <w:sz w:val="20"/>
                <w:szCs w:val="20"/>
              </w:rPr>
              <w:t>PTI shall collaborate with all Interested and Affected Parties to develop and post user instructions including technical requirements for each IANA function.</w:t>
            </w:r>
            <w:commentRangeEnd w:id="20"/>
            <w:r>
              <w:rPr>
                <w:color w:val="0070C0"/>
                <w:sz w:val="20"/>
                <w:szCs w:val="20"/>
              </w:rPr>
              <w:commentReference w:id="20"/>
            </w:r>
          </w:p>
        </w:tc>
        <w:tc>
          <w:tcPr>
            <w:tcW w:w="1170" w:type="dxa"/>
          </w:tcPr>
          <w:p>
            <w:pPr>
              <w:spacing w:after="60"/>
              <w:rPr>
                <w:color w:val="0070C0"/>
                <w:sz w:val="20"/>
                <w:szCs w:val="20"/>
              </w:rPr>
            </w:pPr>
            <w:r>
              <w:rPr>
                <w:color w:val="0070C0"/>
                <w:sz w:val="20"/>
                <w:szCs w:val="20"/>
              </w:rPr>
              <w:t>C.2.6</w:t>
            </w:r>
          </w:p>
        </w:tc>
        <w:tc>
          <w:tcPr>
            <w:tcW w:w="1170" w:type="dxa"/>
          </w:tcPr>
          <w:p>
            <w:pPr>
              <w:spacing w:after="60"/>
              <w:rPr>
                <w:color w:val="0070C0"/>
                <w:sz w:val="20"/>
                <w:szCs w:val="20"/>
              </w:rPr>
            </w:pPr>
            <w:r>
              <w:rPr>
                <w:color w:val="0070C0"/>
                <w:sz w:val="20"/>
                <w:szCs w:val="20"/>
              </w:rPr>
              <w:t>Annex C</w:t>
            </w:r>
          </w:p>
        </w:tc>
      </w:tr>
      <w:tr>
        <w:tc>
          <w:tcPr>
            <w:tcW w:w="2178" w:type="dxa"/>
          </w:tcPr>
          <w:p>
            <w:pPr>
              <w:spacing w:after="60"/>
              <w:jc w:val="left"/>
              <w:rPr>
                <w:sz w:val="20"/>
                <w:szCs w:val="20"/>
              </w:rPr>
            </w:pPr>
            <w:r>
              <w:rPr>
                <w:sz w:val="20"/>
                <w:szCs w:val="20"/>
              </w:rPr>
              <w:t>Performance; Service Levels</w:t>
            </w:r>
          </w:p>
          <w:p>
            <w:pPr>
              <w:spacing w:after="60"/>
              <w:jc w:val="left"/>
              <w:rPr>
                <w:sz w:val="20"/>
                <w:szCs w:val="20"/>
              </w:rPr>
            </w:pPr>
          </w:p>
          <w:p>
            <w:pPr>
              <w:spacing w:after="60"/>
              <w:jc w:val="left"/>
              <w:rPr>
                <w:b/>
                <w:sz w:val="20"/>
                <w:szCs w:val="20"/>
              </w:rPr>
            </w:pPr>
          </w:p>
        </w:tc>
        <w:tc>
          <w:tcPr>
            <w:tcW w:w="5310" w:type="dxa"/>
          </w:tcPr>
          <w:p>
            <w:pPr>
              <w:spacing w:after="60"/>
              <w:rPr>
                <w:sz w:val="20"/>
                <w:szCs w:val="20"/>
              </w:rPr>
            </w:pPr>
            <w:r>
              <w:rPr>
                <w:sz w:val="20"/>
                <w:szCs w:val="20"/>
              </w:rPr>
              <w:t>PTI shall collaborate with all Interested and Affected Parties to develop, maintain, enhance and post performance standards for each IANA function.  ICANN and PTI shall develop service level agreements (SLAs) in accordance with the SLEs attached as Annex I hereto for the performance of these functions[, subject to the approval of ICANN, not to be unreasonably withheld or delayed].</w:t>
            </w:r>
          </w:p>
        </w:tc>
        <w:tc>
          <w:tcPr>
            <w:tcW w:w="1170" w:type="dxa"/>
          </w:tcPr>
          <w:p>
            <w:pPr>
              <w:spacing w:after="60"/>
              <w:jc w:val="center"/>
              <w:rPr>
                <w:sz w:val="20"/>
                <w:szCs w:val="20"/>
              </w:rPr>
            </w:pPr>
            <w:r>
              <w:rPr>
                <w:sz w:val="20"/>
                <w:szCs w:val="20"/>
              </w:rPr>
              <w:t>C.2.8</w:t>
            </w:r>
          </w:p>
        </w:tc>
        <w:tc>
          <w:tcPr>
            <w:tcW w:w="1170" w:type="dxa"/>
          </w:tcPr>
          <w:p>
            <w:pPr>
              <w:spacing w:after="60"/>
              <w:jc w:val="center"/>
              <w:rPr>
                <w:color w:val="FF0000"/>
                <w:sz w:val="20"/>
                <w:szCs w:val="20"/>
                <w:highlight w:val="yellow"/>
              </w:rPr>
            </w:pPr>
            <w:r>
              <w:rPr>
                <w:sz w:val="20"/>
                <w:szCs w:val="20"/>
              </w:rPr>
              <w:t>Annex C</w:t>
            </w:r>
          </w:p>
        </w:tc>
      </w:tr>
      <w:tr>
        <w:tc>
          <w:tcPr>
            <w:tcW w:w="2178" w:type="dxa"/>
            <w:shd w:val="clear" w:color="auto" w:fill="auto"/>
          </w:tcPr>
          <w:p>
            <w:pPr>
              <w:spacing w:after="60"/>
              <w:jc w:val="left"/>
              <w:rPr>
                <w:sz w:val="20"/>
                <w:szCs w:val="20"/>
              </w:rPr>
            </w:pPr>
            <w:r>
              <w:rPr>
                <w:sz w:val="20"/>
                <w:szCs w:val="20"/>
              </w:rPr>
              <w:t>Internet Assigned Numbers Authority (IANA) Functions</w:t>
            </w:r>
          </w:p>
          <w:p>
            <w:pPr>
              <w:spacing w:after="60"/>
              <w:jc w:val="left"/>
              <w:rPr>
                <w:sz w:val="20"/>
                <w:szCs w:val="20"/>
              </w:rPr>
            </w:pPr>
          </w:p>
        </w:tc>
        <w:tc>
          <w:tcPr>
            <w:tcW w:w="5310" w:type="dxa"/>
            <w:shd w:val="clear" w:color="auto" w:fill="auto"/>
          </w:tcPr>
          <w:p>
            <w:pPr>
              <w:spacing w:after="60"/>
              <w:rPr>
                <w:sz w:val="20"/>
                <w:szCs w:val="20"/>
              </w:rPr>
            </w:pPr>
            <w:commentRangeStart w:id="21"/>
            <w:r>
              <w:rPr>
                <w:sz w:val="20"/>
                <w:szCs w:val="20"/>
              </w:rPr>
              <w:t>IANA functions include (1) the coordination</w:t>
            </w:r>
            <w:r>
              <w:rPr>
                <w:b/>
                <w:bCs/>
                <w:sz w:val="20"/>
                <w:szCs w:val="20"/>
              </w:rPr>
              <w:t xml:space="preserve"> </w:t>
            </w:r>
            <w:r>
              <w:rPr>
                <w:sz w:val="20"/>
                <w:szCs w:val="20"/>
              </w:rPr>
              <w:t>of the assignment of technical Internet protocol parameters; (2) the administration of certain responsibilities associated with the Internet DNS root zone management; (3) the allocation of Internet numbering resources; and (4) other services related to the management of the ARPA and INT top-level domains (TLDs).</w:t>
            </w:r>
            <w:commentRangeEnd w:id="21"/>
            <w:r>
              <w:rPr>
                <w:rStyle w:val="CommentReference"/>
              </w:rPr>
              <w:commentReference w:id="21"/>
            </w:r>
          </w:p>
        </w:tc>
        <w:tc>
          <w:tcPr>
            <w:tcW w:w="1170" w:type="dxa"/>
            <w:shd w:val="clear" w:color="auto" w:fill="auto"/>
          </w:tcPr>
          <w:p>
            <w:pPr>
              <w:spacing w:after="60"/>
              <w:jc w:val="center"/>
              <w:rPr>
                <w:sz w:val="20"/>
                <w:szCs w:val="20"/>
              </w:rPr>
            </w:pPr>
            <w:r>
              <w:rPr>
                <w:sz w:val="20"/>
                <w:szCs w:val="20"/>
              </w:rPr>
              <w:t>C.2.9</w:t>
            </w:r>
          </w:p>
        </w:tc>
        <w:tc>
          <w:tcPr>
            <w:tcW w:w="1170" w:type="dxa"/>
          </w:tcPr>
          <w:p>
            <w:pPr>
              <w:spacing w:after="60"/>
              <w:jc w:val="center"/>
              <w:rPr>
                <w:color w:val="FF0000"/>
                <w:sz w:val="20"/>
                <w:szCs w:val="20"/>
                <w:highlight w:val="yellow"/>
              </w:rPr>
            </w:pPr>
          </w:p>
        </w:tc>
      </w:tr>
      <w:tr>
        <w:tc>
          <w:tcPr>
            <w:tcW w:w="2178" w:type="dxa"/>
            <w:shd w:val="clear" w:color="auto" w:fill="auto"/>
          </w:tcPr>
          <w:p>
            <w:pPr>
              <w:spacing w:after="60"/>
              <w:jc w:val="left"/>
              <w:rPr>
                <w:sz w:val="20"/>
                <w:szCs w:val="20"/>
              </w:rPr>
            </w:pPr>
            <w:r>
              <w:rPr>
                <w:sz w:val="20"/>
                <w:szCs w:val="20"/>
              </w:rPr>
              <w:t>Responsibility and Respect for Stakeholders</w:t>
            </w:r>
          </w:p>
          <w:p>
            <w:pPr>
              <w:spacing w:after="60"/>
              <w:jc w:val="left"/>
              <w:rPr>
                <w:sz w:val="20"/>
                <w:szCs w:val="20"/>
              </w:rPr>
            </w:pPr>
          </w:p>
        </w:tc>
        <w:tc>
          <w:tcPr>
            <w:tcW w:w="5310" w:type="dxa"/>
            <w:shd w:val="clear" w:color="auto" w:fill="auto"/>
          </w:tcPr>
          <w:p>
            <w:pPr>
              <w:spacing w:after="60"/>
              <w:rPr>
                <w:sz w:val="20"/>
                <w:szCs w:val="20"/>
              </w:rPr>
            </w:pPr>
            <w:r>
              <w:rPr>
                <w:sz w:val="20"/>
                <w:szCs w:val="20"/>
              </w:rPr>
              <w:t>PTI shall collaborate with all Interested and Affected Parties to develop and post for each IANA function a process for documenting the source of  policies and procedures and how each will be implemented.</w:t>
            </w:r>
          </w:p>
        </w:tc>
        <w:tc>
          <w:tcPr>
            <w:tcW w:w="1170" w:type="dxa"/>
            <w:shd w:val="clear" w:color="auto" w:fill="auto"/>
          </w:tcPr>
          <w:p>
            <w:pPr>
              <w:spacing w:after="60"/>
              <w:jc w:val="center"/>
              <w:rPr>
                <w:sz w:val="20"/>
                <w:szCs w:val="20"/>
              </w:rPr>
            </w:pPr>
            <w:r>
              <w:rPr>
                <w:sz w:val="20"/>
                <w:szCs w:val="20"/>
              </w:rPr>
              <w:t>C.2.7</w:t>
            </w:r>
          </w:p>
        </w:tc>
        <w:tc>
          <w:tcPr>
            <w:tcW w:w="1170" w:type="dxa"/>
          </w:tcPr>
          <w:p>
            <w:pPr>
              <w:spacing w:after="60"/>
              <w:jc w:val="center"/>
              <w:rPr>
                <w:color w:val="FF0000"/>
                <w:sz w:val="20"/>
                <w:szCs w:val="20"/>
                <w:highlight w:val="yellow"/>
              </w:rPr>
            </w:pPr>
          </w:p>
        </w:tc>
      </w:tr>
      <w:tr>
        <w:tc>
          <w:tcPr>
            <w:tcW w:w="2178" w:type="dxa"/>
          </w:tcPr>
          <w:p>
            <w:pPr>
              <w:spacing w:after="60"/>
              <w:jc w:val="left"/>
              <w:rPr>
                <w:color w:val="000000" w:themeColor="text1"/>
                <w:sz w:val="20"/>
                <w:szCs w:val="20"/>
              </w:rPr>
            </w:pPr>
            <w:r>
              <w:rPr>
                <w:color w:val="000000" w:themeColor="text1"/>
                <w:sz w:val="20"/>
                <w:szCs w:val="20"/>
              </w:rPr>
              <w:t xml:space="preserve">[Independent </w:t>
            </w:r>
            <w:r>
              <w:rPr>
                <w:color w:val="000000" w:themeColor="text1"/>
                <w:sz w:val="20"/>
                <w:szCs w:val="20"/>
              </w:rPr>
              <w:lastRenderedPageBreak/>
              <w:t>Evaluator]</w:t>
            </w:r>
          </w:p>
          <w:p>
            <w:pPr>
              <w:spacing w:after="60"/>
              <w:jc w:val="left"/>
              <w:rPr>
                <w:color w:val="000000" w:themeColor="text1"/>
                <w:sz w:val="20"/>
                <w:szCs w:val="20"/>
              </w:rPr>
            </w:pPr>
          </w:p>
          <w:p>
            <w:pPr>
              <w:spacing w:after="60"/>
              <w:jc w:val="left"/>
              <w:rPr>
                <w:color w:val="000000" w:themeColor="text1"/>
                <w:sz w:val="20"/>
                <w:szCs w:val="20"/>
              </w:rPr>
            </w:pPr>
          </w:p>
        </w:tc>
        <w:tc>
          <w:tcPr>
            <w:tcW w:w="5310" w:type="dxa"/>
          </w:tcPr>
          <w:p>
            <w:pPr>
              <w:spacing w:after="60"/>
              <w:rPr>
                <w:color w:val="000000" w:themeColor="text1"/>
                <w:sz w:val="20"/>
                <w:szCs w:val="20"/>
              </w:rPr>
            </w:pPr>
            <w:r>
              <w:rPr>
                <w:color w:val="000000" w:themeColor="text1"/>
                <w:sz w:val="20"/>
                <w:szCs w:val="20"/>
              </w:rPr>
              <w:lastRenderedPageBreak/>
              <w:t>[[</w:t>
            </w:r>
            <w:commentRangeStart w:id="22"/>
            <w:r>
              <w:rPr>
                <w:color w:val="000000" w:themeColor="text1"/>
                <w:sz w:val="20"/>
                <w:szCs w:val="20"/>
              </w:rPr>
              <w:t>An independent evaluator</w:t>
            </w:r>
            <w:commentRangeEnd w:id="22"/>
            <w:r>
              <w:rPr>
                <w:rStyle w:val="CommentReference"/>
              </w:rPr>
              <w:commentReference w:id="22"/>
            </w:r>
            <w:r>
              <w:rPr>
                <w:color w:val="000000" w:themeColor="text1"/>
                <w:sz w:val="20"/>
                <w:szCs w:val="20"/>
              </w:rPr>
              <w:t xml:space="preserve">] shall be appointed to verify </w:t>
            </w:r>
            <w:r>
              <w:rPr>
                <w:color w:val="000000" w:themeColor="text1"/>
                <w:sz w:val="20"/>
                <w:szCs w:val="20"/>
              </w:rPr>
              <w:lastRenderedPageBreak/>
              <w:t>that a root zone change request followed all applicable policies and procedures and authorize such change before it is implemented by the RZM. The independent evaluator shall be appointed for set contract periods of [3] years with the possibility of renewal at the agreement of both parties. ICANN shall be empowered to reassign or terminate the evaluator due to a finding of a conflict of interest or a determination that the evaluator failed to properly perform its duties.]</w:t>
            </w:r>
          </w:p>
        </w:tc>
        <w:tc>
          <w:tcPr>
            <w:tcW w:w="1170" w:type="dxa"/>
          </w:tcPr>
          <w:p>
            <w:pPr>
              <w:spacing w:after="60"/>
              <w:jc w:val="center"/>
              <w:rPr>
                <w:color w:val="000000" w:themeColor="text1"/>
                <w:sz w:val="20"/>
                <w:szCs w:val="20"/>
              </w:rPr>
            </w:pPr>
          </w:p>
        </w:tc>
        <w:tc>
          <w:tcPr>
            <w:tcW w:w="1170" w:type="dxa"/>
          </w:tcPr>
          <w:p>
            <w:pPr>
              <w:spacing w:after="60"/>
              <w:jc w:val="center"/>
              <w:rPr>
                <w:color w:val="000000" w:themeColor="text1"/>
                <w:sz w:val="20"/>
                <w:szCs w:val="20"/>
              </w:rPr>
            </w:pPr>
          </w:p>
        </w:tc>
      </w:tr>
      <w:tr>
        <w:tc>
          <w:tcPr>
            <w:tcW w:w="2178" w:type="dxa"/>
          </w:tcPr>
          <w:p>
            <w:pPr>
              <w:spacing w:after="60"/>
              <w:jc w:val="left"/>
              <w:rPr>
                <w:sz w:val="20"/>
                <w:szCs w:val="20"/>
              </w:rPr>
            </w:pPr>
            <w:r>
              <w:rPr>
                <w:sz w:val="20"/>
                <w:szCs w:val="20"/>
              </w:rPr>
              <w:lastRenderedPageBreak/>
              <w:t xml:space="preserve">Perform Administrative Functions Associated With Root Zone Management </w:t>
            </w:r>
          </w:p>
          <w:p>
            <w:pPr>
              <w:spacing w:after="60"/>
              <w:jc w:val="left"/>
              <w:rPr>
                <w:sz w:val="20"/>
                <w:szCs w:val="20"/>
              </w:rPr>
            </w:pPr>
          </w:p>
          <w:p>
            <w:pPr>
              <w:spacing w:after="60"/>
              <w:jc w:val="left"/>
              <w:rPr>
                <w:sz w:val="20"/>
                <w:szCs w:val="20"/>
              </w:rPr>
            </w:pPr>
          </w:p>
          <w:p>
            <w:pPr>
              <w:spacing w:after="60"/>
              <w:jc w:val="left"/>
              <w:rPr>
                <w:sz w:val="20"/>
                <w:szCs w:val="20"/>
              </w:rPr>
            </w:pPr>
          </w:p>
        </w:tc>
        <w:tc>
          <w:tcPr>
            <w:tcW w:w="5310" w:type="dxa"/>
          </w:tcPr>
          <w:p>
            <w:pPr>
              <w:pStyle w:val="ListParagraph"/>
              <w:numPr>
                <w:ilvl w:val="0"/>
                <w:numId w:val="30"/>
              </w:numPr>
              <w:spacing w:after="60"/>
              <w:ind w:left="252" w:hanging="252"/>
              <w:jc w:val="left"/>
              <w:rPr>
                <w:sz w:val="20"/>
                <w:szCs w:val="20"/>
              </w:rPr>
            </w:pPr>
            <w:r>
              <w:rPr>
                <w:sz w:val="20"/>
                <w:szCs w:val="20"/>
              </w:rPr>
              <w:t xml:space="preserve">PTI will facilitate and coordinate the root zone of the DNS and maintain 24/7 operational coverage. </w:t>
            </w:r>
          </w:p>
          <w:p>
            <w:pPr>
              <w:pStyle w:val="ListParagraph"/>
              <w:numPr>
                <w:ilvl w:val="0"/>
                <w:numId w:val="30"/>
              </w:numPr>
              <w:spacing w:after="60"/>
              <w:ind w:left="252" w:hanging="252"/>
              <w:jc w:val="left"/>
              <w:rPr>
                <w:sz w:val="20"/>
                <w:szCs w:val="20"/>
              </w:rPr>
            </w:pPr>
            <w:r>
              <w:rPr>
                <w:sz w:val="20"/>
                <w:szCs w:val="20"/>
              </w:rPr>
              <w:t xml:space="preserve">Process flow for root zone management involves [two] roles that are performed by [two] different entities: </w:t>
            </w:r>
          </w:p>
          <w:p>
            <w:pPr>
              <w:pStyle w:val="ListParagraph"/>
              <w:numPr>
                <w:ilvl w:val="1"/>
                <w:numId w:val="30"/>
              </w:numPr>
              <w:spacing w:after="60"/>
              <w:ind w:left="702" w:hanging="408"/>
              <w:jc w:val="left"/>
              <w:rPr>
                <w:sz w:val="20"/>
                <w:szCs w:val="20"/>
              </w:rPr>
            </w:pPr>
            <w:r>
              <w:rPr>
                <w:sz w:val="20"/>
                <w:szCs w:val="20"/>
              </w:rPr>
              <w:t>PTI as the IANA Functions Operator</w:t>
            </w:r>
          </w:p>
          <w:p>
            <w:pPr>
              <w:pStyle w:val="ListParagraph"/>
              <w:numPr>
                <w:ilvl w:val="1"/>
                <w:numId w:val="30"/>
              </w:numPr>
              <w:spacing w:after="60"/>
              <w:ind w:left="702" w:hanging="408"/>
              <w:jc w:val="left"/>
              <w:rPr>
                <w:sz w:val="20"/>
                <w:szCs w:val="20"/>
              </w:rPr>
            </w:pPr>
            <w:r>
              <w:rPr>
                <w:sz w:val="20"/>
                <w:szCs w:val="20"/>
              </w:rPr>
              <w:t>VeriSign (or its successor as designated by [ICANN]) as the RZM.</w:t>
            </w:r>
          </w:p>
          <w:p>
            <w:pPr>
              <w:pStyle w:val="ListParagraph"/>
              <w:numPr>
                <w:ilvl w:val="0"/>
                <w:numId w:val="30"/>
              </w:numPr>
              <w:spacing w:after="60"/>
              <w:ind w:left="252" w:hanging="252"/>
              <w:jc w:val="left"/>
              <w:rPr>
                <w:sz w:val="20"/>
                <w:szCs w:val="20"/>
              </w:rPr>
            </w:pPr>
            <w:r>
              <w:rPr>
                <w:sz w:val="20"/>
                <w:szCs w:val="20"/>
              </w:rPr>
              <w:t>PTI shall work collaboratively with the RZM.</w:t>
            </w:r>
          </w:p>
          <w:p>
            <w:pPr>
              <w:pStyle w:val="ListParagraph"/>
              <w:numPr>
                <w:ilvl w:val="0"/>
                <w:numId w:val="30"/>
              </w:numPr>
              <w:spacing w:after="60"/>
              <w:ind w:left="252" w:hanging="252"/>
              <w:jc w:val="left"/>
              <w:rPr>
                <w:sz w:val="20"/>
                <w:szCs w:val="20"/>
              </w:rPr>
            </w:pPr>
            <w:r>
              <w:rPr>
                <w:sz w:val="20"/>
                <w:szCs w:val="20"/>
              </w:rPr>
              <w:t xml:space="preserve">Any amendment to the roles and responsibilities of PTI and the RZM with respect to root zone management will require approval of </w:t>
            </w:r>
            <w:commentRangeStart w:id="23"/>
            <w:r>
              <w:rPr>
                <w:sz w:val="20"/>
                <w:szCs w:val="20"/>
              </w:rPr>
              <w:t>[________].</w:t>
            </w:r>
            <w:commentRangeEnd w:id="23"/>
            <w:r>
              <w:rPr>
                <w:rStyle w:val="CommentReference"/>
              </w:rPr>
              <w:commentReference w:id="23"/>
            </w:r>
          </w:p>
        </w:tc>
        <w:tc>
          <w:tcPr>
            <w:tcW w:w="1170" w:type="dxa"/>
          </w:tcPr>
          <w:p>
            <w:pPr>
              <w:spacing w:after="60"/>
              <w:jc w:val="center"/>
              <w:rPr>
                <w:sz w:val="20"/>
                <w:szCs w:val="20"/>
              </w:rPr>
            </w:pPr>
            <w:r>
              <w:rPr>
                <w:sz w:val="20"/>
                <w:szCs w:val="20"/>
              </w:rPr>
              <w:t>C.2.9.2</w:t>
            </w:r>
          </w:p>
        </w:tc>
        <w:tc>
          <w:tcPr>
            <w:tcW w:w="1170" w:type="dxa"/>
          </w:tcPr>
          <w:p>
            <w:pPr>
              <w:spacing w:after="60"/>
              <w:jc w:val="center"/>
              <w:rPr>
                <w:sz w:val="20"/>
                <w:szCs w:val="20"/>
              </w:rPr>
            </w:pPr>
            <w:r>
              <w:rPr>
                <w:sz w:val="20"/>
                <w:szCs w:val="20"/>
              </w:rPr>
              <w:t>III.A.iii.a./ Annex N</w:t>
            </w:r>
          </w:p>
        </w:tc>
      </w:tr>
      <w:tr>
        <w:tc>
          <w:tcPr>
            <w:tcW w:w="2178" w:type="dxa"/>
          </w:tcPr>
          <w:p>
            <w:pPr>
              <w:spacing w:after="60"/>
              <w:jc w:val="left"/>
              <w:rPr>
                <w:sz w:val="20"/>
                <w:szCs w:val="20"/>
                <w:lang w:val="fr-CA"/>
              </w:rPr>
            </w:pPr>
            <w:r>
              <w:rPr>
                <w:sz w:val="20"/>
                <w:szCs w:val="20"/>
                <w:lang w:val="fr-CA"/>
              </w:rPr>
              <w:t xml:space="preserve">Root Zone File Change Request Management </w:t>
            </w:r>
          </w:p>
        </w:tc>
        <w:tc>
          <w:tcPr>
            <w:tcW w:w="5310" w:type="dxa"/>
          </w:tcPr>
          <w:p>
            <w:pPr>
              <w:pStyle w:val="ListParagraph"/>
              <w:numPr>
                <w:ilvl w:val="0"/>
                <w:numId w:val="31"/>
              </w:numPr>
              <w:spacing w:after="60"/>
              <w:ind w:left="312" w:hanging="270"/>
              <w:jc w:val="left"/>
              <w:rPr>
                <w:sz w:val="20"/>
                <w:szCs w:val="20"/>
              </w:rPr>
            </w:pPr>
            <w:r>
              <w:rPr>
                <w:sz w:val="20"/>
                <w:szCs w:val="20"/>
              </w:rPr>
              <w:t>The RZM will receive and</w:t>
            </w:r>
            <w:r>
              <w:rPr>
                <w:b/>
                <w:bCs/>
                <w:sz w:val="20"/>
                <w:szCs w:val="20"/>
              </w:rPr>
              <w:t xml:space="preserve"> </w:t>
            </w:r>
            <w:r>
              <w:rPr>
                <w:sz w:val="20"/>
                <w:szCs w:val="20"/>
              </w:rPr>
              <w:t>process from PTI root zone file change requests for TLDs, including addition of new or updates to existing TLD name servers (NS) and delegation signer (DS) resource record (RR) information along with associated 'glue' (A and AAAA RRs). A change request may also include new TLD entries to the root zone file. No authorization for TLD change requests will be needed.</w:t>
            </w:r>
          </w:p>
          <w:p>
            <w:pPr>
              <w:pStyle w:val="ListParagraph"/>
              <w:numPr>
                <w:ilvl w:val="0"/>
                <w:numId w:val="31"/>
              </w:numPr>
              <w:spacing w:after="60"/>
              <w:ind w:left="312" w:hanging="270"/>
              <w:jc w:val="left"/>
              <w:rPr>
                <w:sz w:val="20"/>
                <w:szCs w:val="20"/>
              </w:rPr>
            </w:pPr>
            <w:r>
              <w:rPr>
                <w:sz w:val="20"/>
                <w:szCs w:val="20"/>
              </w:rPr>
              <w:t>RZM shall process root zone file changes as expeditiously as possible.</w:t>
            </w:r>
          </w:p>
        </w:tc>
        <w:tc>
          <w:tcPr>
            <w:tcW w:w="1170" w:type="dxa"/>
          </w:tcPr>
          <w:p>
            <w:pPr>
              <w:spacing w:after="60"/>
              <w:jc w:val="center"/>
              <w:rPr>
                <w:sz w:val="20"/>
                <w:szCs w:val="20"/>
              </w:rPr>
            </w:pPr>
            <w:r>
              <w:rPr>
                <w:sz w:val="20"/>
                <w:szCs w:val="20"/>
              </w:rPr>
              <w:t>C.2.9.2.a</w:t>
            </w:r>
          </w:p>
        </w:tc>
        <w:tc>
          <w:tcPr>
            <w:tcW w:w="1170" w:type="dxa"/>
          </w:tcPr>
          <w:p>
            <w:pPr>
              <w:spacing w:after="60"/>
              <w:jc w:val="center"/>
              <w:rPr>
                <w:sz w:val="20"/>
                <w:szCs w:val="20"/>
              </w:rPr>
            </w:pPr>
            <w:r>
              <w:rPr>
                <w:sz w:val="20"/>
                <w:szCs w:val="20"/>
                <w:lang w:val="fr-CA"/>
              </w:rPr>
              <w:t>III.A.iii.a</w:t>
            </w:r>
          </w:p>
        </w:tc>
      </w:tr>
      <w:tr>
        <w:tc>
          <w:tcPr>
            <w:tcW w:w="2178" w:type="dxa"/>
          </w:tcPr>
          <w:p>
            <w:pPr>
              <w:spacing w:after="60"/>
              <w:jc w:val="left"/>
              <w:rPr>
                <w:sz w:val="20"/>
                <w:szCs w:val="20"/>
              </w:rPr>
            </w:pPr>
            <w:r>
              <w:rPr>
                <w:sz w:val="20"/>
                <w:szCs w:val="20"/>
              </w:rPr>
              <w:t>Root Zone “WHOIS” Change Request and Database Management</w:t>
            </w:r>
          </w:p>
          <w:p>
            <w:pPr>
              <w:spacing w:after="60"/>
              <w:jc w:val="left"/>
              <w:rPr>
                <w:sz w:val="20"/>
                <w:szCs w:val="20"/>
              </w:rPr>
            </w:pPr>
          </w:p>
          <w:p>
            <w:pPr>
              <w:spacing w:after="60"/>
              <w:jc w:val="left"/>
              <w:rPr>
                <w:sz w:val="20"/>
                <w:szCs w:val="20"/>
              </w:rPr>
            </w:pPr>
          </w:p>
        </w:tc>
        <w:tc>
          <w:tcPr>
            <w:tcW w:w="5310" w:type="dxa"/>
          </w:tcPr>
          <w:p>
            <w:pPr>
              <w:pStyle w:val="ListParagraph"/>
              <w:numPr>
                <w:ilvl w:val="0"/>
                <w:numId w:val="32"/>
              </w:numPr>
              <w:spacing w:after="60"/>
              <w:ind w:left="222" w:hanging="222"/>
              <w:jc w:val="left"/>
              <w:rPr>
                <w:sz w:val="20"/>
                <w:szCs w:val="20"/>
              </w:rPr>
            </w:pPr>
            <w:r>
              <w:rPr>
                <w:sz w:val="20"/>
                <w:szCs w:val="20"/>
              </w:rPr>
              <w:t xml:space="preserve">PTI </w:t>
            </w:r>
            <w:r>
              <w:rPr>
                <w:bCs/>
                <w:sz w:val="20"/>
                <w:szCs w:val="20"/>
              </w:rPr>
              <w:t>will</w:t>
            </w:r>
            <w:r>
              <w:rPr>
                <w:sz w:val="20"/>
                <w:szCs w:val="20"/>
              </w:rPr>
              <w:t xml:space="preserve"> maintain, update, and make publicly accessible a Root Zone “WHOIS” database with current and verified contact information for all TLD registry operators, at a minimum: </w:t>
            </w:r>
          </w:p>
          <w:p>
            <w:pPr>
              <w:pStyle w:val="ListParagraph"/>
              <w:numPr>
                <w:ilvl w:val="1"/>
                <w:numId w:val="32"/>
              </w:numPr>
              <w:spacing w:after="60"/>
              <w:ind w:left="582" w:hanging="270"/>
              <w:jc w:val="left"/>
              <w:rPr>
                <w:sz w:val="20"/>
                <w:szCs w:val="20"/>
              </w:rPr>
            </w:pPr>
            <w:r>
              <w:rPr>
                <w:sz w:val="20"/>
                <w:szCs w:val="20"/>
              </w:rPr>
              <w:t xml:space="preserve">TLD name; </w:t>
            </w:r>
          </w:p>
          <w:p>
            <w:pPr>
              <w:pStyle w:val="ListParagraph"/>
              <w:numPr>
                <w:ilvl w:val="1"/>
                <w:numId w:val="32"/>
              </w:numPr>
              <w:spacing w:after="60"/>
              <w:ind w:left="582" w:hanging="270"/>
              <w:jc w:val="left"/>
              <w:rPr>
                <w:sz w:val="20"/>
                <w:szCs w:val="20"/>
              </w:rPr>
            </w:pPr>
            <w:r>
              <w:rPr>
                <w:sz w:val="20"/>
                <w:szCs w:val="20"/>
              </w:rPr>
              <w:t xml:space="preserve">the IP address of the primary nameserver and secondary nameserver for the TLD; </w:t>
            </w:r>
          </w:p>
          <w:p>
            <w:pPr>
              <w:pStyle w:val="ListParagraph"/>
              <w:numPr>
                <w:ilvl w:val="1"/>
                <w:numId w:val="32"/>
              </w:numPr>
              <w:spacing w:after="60"/>
              <w:ind w:left="582" w:hanging="270"/>
              <w:jc w:val="left"/>
              <w:rPr>
                <w:sz w:val="20"/>
                <w:szCs w:val="20"/>
              </w:rPr>
            </w:pPr>
            <w:r>
              <w:rPr>
                <w:sz w:val="20"/>
                <w:szCs w:val="20"/>
              </w:rPr>
              <w:t xml:space="preserve">the corresponding names of such nameservers; </w:t>
            </w:r>
          </w:p>
          <w:p>
            <w:pPr>
              <w:pStyle w:val="ListParagraph"/>
              <w:numPr>
                <w:ilvl w:val="1"/>
                <w:numId w:val="32"/>
              </w:numPr>
              <w:spacing w:after="60"/>
              <w:ind w:left="582" w:hanging="270"/>
              <w:jc w:val="left"/>
              <w:rPr>
                <w:sz w:val="20"/>
                <w:szCs w:val="20"/>
              </w:rPr>
            </w:pPr>
            <w:r>
              <w:rPr>
                <w:sz w:val="20"/>
                <w:szCs w:val="20"/>
              </w:rPr>
              <w:t xml:space="preserve">the creation date of the TLD; </w:t>
            </w:r>
          </w:p>
          <w:p>
            <w:pPr>
              <w:pStyle w:val="ListParagraph"/>
              <w:numPr>
                <w:ilvl w:val="1"/>
                <w:numId w:val="32"/>
              </w:numPr>
              <w:spacing w:after="60"/>
              <w:ind w:left="582" w:hanging="270"/>
              <w:jc w:val="left"/>
              <w:rPr>
                <w:sz w:val="20"/>
                <w:szCs w:val="20"/>
              </w:rPr>
            </w:pPr>
            <w:r>
              <w:rPr>
                <w:sz w:val="20"/>
                <w:szCs w:val="20"/>
              </w:rPr>
              <w:t xml:space="preserve">name, address, email, phone and fax numbers of the TLD registry operator; </w:t>
            </w:r>
          </w:p>
          <w:p>
            <w:pPr>
              <w:pStyle w:val="ListParagraph"/>
              <w:numPr>
                <w:ilvl w:val="1"/>
                <w:numId w:val="32"/>
              </w:numPr>
              <w:spacing w:after="60"/>
              <w:ind w:left="582" w:hanging="270"/>
              <w:jc w:val="left"/>
              <w:rPr>
                <w:sz w:val="20"/>
                <w:szCs w:val="20"/>
              </w:rPr>
            </w:pPr>
            <w:r>
              <w:rPr>
                <w:sz w:val="20"/>
                <w:szCs w:val="20"/>
              </w:rPr>
              <w:t xml:space="preserve">name, address, email, phone and fax numbers of the technical contact for the TLD registry operator; </w:t>
            </w:r>
          </w:p>
          <w:p>
            <w:pPr>
              <w:pStyle w:val="ListParagraph"/>
              <w:numPr>
                <w:ilvl w:val="1"/>
                <w:numId w:val="32"/>
              </w:numPr>
              <w:spacing w:after="60"/>
              <w:ind w:left="582" w:hanging="270"/>
              <w:jc w:val="left"/>
              <w:rPr>
                <w:sz w:val="20"/>
                <w:szCs w:val="20"/>
              </w:rPr>
            </w:pPr>
            <w:r>
              <w:rPr>
                <w:sz w:val="20"/>
                <w:szCs w:val="20"/>
              </w:rPr>
              <w:t xml:space="preserve">name, postal address, email address, phone and fax numbers of the administrative contact for the TLD registry operator; </w:t>
            </w:r>
          </w:p>
          <w:p>
            <w:pPr>
              <w:pStyle w:val="ListParagraph"/>
              <w:numPr>
                <w:ilvl w:val="1"/>
                <w:numId w:val="32"/>
              </w:numPr>
              <w:spacing w:after="60"/>
              <w:ind w:left="582" w:hanging="270"/>
              <w:jc w:val="left"/>
              <w:rPr>
                <w:sz w:val="20"/>
                <w:szCs w:val="20"/>
              </w:rPr>
            </w:pPr>
            <w:r>
              <w:rPr>
                <w:sz w:val="20"/>
                <w:szCs w:val="20"/>
              </w:rPr>
              <w:t xml:space="preserve">reports; </w:t>
            </w:r>
          </w:p>
          <w:p>
            <w:pPr>
              <w:pStyle w:val="ListParagraph"/>
              <w:numPr>
                <w:ilvl w:val="1"/>
                <w:numId w:val="32"/>
              </w:numPr>
              <w:spacing w:after="60"/>
              <w:ind w:left="582" w:hanging="270"/>
              <w:jc w:val="left"/>
              <w:rPr>
                <w:sz w:val="20"/>
                <w:szCs w:val="20"/>
              </w:rPr>
            </w:pPr>
            <w:r>
              <w:rPr>
                <w:sz w:val="20"/>
                <w:szCs w:val="20"/>
              </w:rPr>
              <w:lastRenderedPageBreak/>
              <w:t xml:space="preserve">date record last updated; </w:t>
            </w:r>
          </w:p>
          <w:p>
            <w:pPr>
              <w:pStyle w:val="ListParagraph"/>
              <w:numPr>
                <w:ilvl w:val="1"/>
                <w:numId w:val="32"/>
              </w:numPr>
              <w:spacing w:after="60"/>
              <w:ind w:left="582" w:hanging="270"/>
              <w:jc w:val="left"/>
              <w:rPr>
                <w:sz w:val="20"/>
                <w:szCs w:val="20"/>
              </w:rPr>
            </w:pPr>
            <w:r>
              <w:rPr>
                <w:sz w:val="20"/>
                <w:szCs w:val="20"/>
              </w:rPr>
              <w:t xml:space="preserve">any other information relevant to the TLD requested by the TLD registry operator. </w:t>
            </w:r>
          </w:p>
          <w:p>
            <w:pPr>
              <w:pStyle w:val="ListParagraph"/>
              <w:numPr>
                <w:ilvl w:val="0"/>
                <w:numId w:val="32"/>
              </w:numPr>
              <w:spacing w:after="60"/>
              <w:ind w:left="222" w:hanging="222"/>
              <w:jc w:val="left"/>
              <w:rPr>
                <w:sz w:val="20"/>
                <w:szCs w:val="20"/>
              </w:rPr>
            </w:pPr>
            <w:r>
              <w:rPr>
                <w:sz w:val="20"/>
                <w:szCs w:val="20"/>
              </w:rPr>
              <w:t xml:space="preserve">The RMZ shall receive and process root zone “WHOIS” change requests for TLDs from PTI.  No authorization for TLD change requests shall be required. </w:t>
            </w:r>
          </w:p>
        </w:tc>
        <w:tc>
          <w:tcPr>
            <w:tcW w:w="1170" w:type="dxa"/>
          </w:tcPr>
          <w:p>
            <w:pPr>
              <w:spacing w:after="60"/>
              <w:jc w:val="center"/>
              <w:rPr>
                <w:sz w:val="20"/>
                <w:szCs w:val="20"/>
              </w:rPr>
            </w:pPr>
            <w:r>
              <w:rPr>
                <w:sz w:val="20"/>
                <w:szCs w:val="20"/>
              </w:rPr>
              <w:lastRenderedPageBreak/>
              <w:t>C.2.9.2.b</w:t>
            </w:r>
          </w:p>
        </w:tc>
        <w:tc>
          <w:tcPr>
            <w:tcW w:w="1170" w:type="dxa"/>
          </w:tcPr>
          <w:p>
            <w:pPr>
              <w:spacing w:after="60"/>
              <w:jc w:val="center"/>
              <w:rPr>
                <w:color w:val="8064A2" w:themeColor="accent4"/>
                <w:sz w:val="20"/>
                <w:szCs w:val="20"/>
                <w:highlight w:val="yellow"/>
              </w:rPr>
            </w:pPr>
            <w:r>
              <w:rPr>
                <w:sz w:val="20"/>
                <w:szCs w:val="20"/>
                <w:lang w:val="fr-CA"/>
              </w:rPr>
              <w:t>III.A.iii.a/ Annex N</w:t>
            </w:r>
          </w:p>
        </w:tc>
      </w:tr>
      <w:tr>
        <w:tc>
          <w:tcPr>
            <w:tcW w:w="2178" w:type="dxa"/>
          </w:tcPr>
          <w:p>
            <w:pPr>
              <w:spacing w:after="60"/>
              <w:jc w:val="left"/>
              <w:rPr>
                <w:color w:val="0070C0"/>
                <w:sz w:val="20"/>
                <w:szCs w:val="20"/>
              </w:rPr>
            </w:pPr>
            <w:r>
              <w:rPr>
                <w:color w:val="0070C0"/>
                <w:sz w:val="20"/>
                <w:szCs w:val="20"/>
              </w:rPr>
              <w:lastRenderedPageBreak/>
              <w:t xml:space="preserve">Delegation and Redelegation of a Country Code Top Level -Domain (ccTLD) </w:t>
            </w:r>
          </w:p>
        </w:tc>
        <w:tc>
          <w:tcPr>
            <w:tcW w:w="5310" w:type="dxa"/>
          </w:tcPr>
          <w:p>
            <w:pPr>
              <w:pStyle w:val="ListParagraph"/>
              <w:numPr>
                <w:ilvl w:val="0"/>
                <w:numId w:val="33"/>
              </w:numPr>
              <w:spacing w:after="60"/>
              <w:ind w:left="222" w:hanging="222"/>
              <w:jc w:val="left"/>
              <w:rPr>
                <w:color w:val="0070C0"/>
                <w:sz w:val="20"/>
                <w:szCs w:val="20"/>
              </w:rPr>
            </w:pPr>
            <w:r>
              <w:rPr>
                <w:color w:val="0070C0"/>
                <w:sz w:val="20"/>
                <w:szCs w:val="20"/>
              </w:rPr>
              <w:t xml:space="preserve">PTI shall apply existing policy frameworks in processing requests related to the delegation and redelegation of a ccTLD, such as RFC 1591, the GAC Principles (2005) and any further clarification of these policies by Interested and Affected Parties. </w:t>
            </w:r>
          </w:p>
          <w:p>
            <w:pPr>
              <w:pStyle w:val="ListParagraph"/>
              <w:numPr>
                <w:ilvl w:val="0"/>
                <w:numId w:val="33"/>
              </w:numPr>
              <w:spacing w:after="60"/>
              <w:ind w:left="222" w:hanging="222"/>
              <w:jc w:val="left"/>
              <w:rPr>
                <w:color w:val="0070C0"/>
                <w:sz w:val="20"/>
                <w:szCs w:val="20"/>
              </w:rPr>
            </w:pPr>
            <w:r>
              <w:rPr>
                <w:color w:val="0070C0"/>
                <w:sz w:val="20"/>
                <w:szCs w:val="20"/>
              </w:rPr>
              <w:t xml:space="preserve">If a policy framework does not exist to cover a specific instance, PTI will consult with the Interested and Affected Parties; relevant public authorities; and governments on any recommendation that is not within or consistent with an existing policy framework. </w:t>
            </w:r>
          </w:p>
          <w:p>
            <w:pPr>
              <w:pStyle w:val="ListParagraph"/>
              <w:numPr>
                <w:ilvl w:val="0"/>
                <w:numId w:val="33"/>
              </w:numPr>
              <w:spacing w:after="60"/>
              <w:ind w:left="222" w:hanging="222"/>
              <w:jc w:val="left"/>
              <w:rPr>
                <w:color w:val="0070C0"/>
                <w:sz w:val="20"/>
                <w:szCs w:val="20"/>
              </w:rPr>
            </w:pPr>
            <w:r>
              <w:rPr>
                <w:color w:val="0070C0"/>
                <w:sz w:val="20"/>
                <w:szCs w:val="20"/>
              </w:rPr>
              <w:t xml:space="preserve">PTI shall also take into account the relevant national frameworks and applicable laws of the jurisdiction that the TLD registry serves. </w:t>
            </w:r>
          </w:p>
          <w:p>
            <w:pPr>
              <w:pStyle w:val="ListParagraph"/>
              <w:numPr>
                <w:ilvl w:val="0"/>
                <w:numId w:val="33"/>
              </w:numPr>
              <w:spacing w:after="60"/>
              <w:ind w:left="222" w:hanging="222"/>
              <w:jc w:val="left"/>
              <w:rPr>
                <w:color w:val="0070C0"/>
                <w:sz w:val="20"/>
                <w:szCs w:val="20"/>
              </w:rPr>
            </w:pPr>
            <w:r>
              <w:rPr>
                <w:color w:val="0070C0"/>
                <w:sz w:val="20"/>
                <w:szCs w:val="20"/>
              </w:rPr>
              <w:t xml:space="preserve">PTI shall submit its recommendations to the [[CSC] or [RZM] or [Independent Evaluator]] via a Delegation and Redelegation Report. </w:t>
            </w:r>
          </w:p>
          <w:p>
            <w:pPr>
              <w:pStyle w:val="ListParagraph"/>
              <w:numPr>
                <w:ilvl w:val="0"/>
                <w:numId w:val="33"/>
              </w:numPr>
              <w:spacing w:after="60"/>
              <w:ind w:left="222" w:hanging="222"/>
              <w:jc w:val="left"/>
              <w:rPr>
                <w:color w:val="0070C0"/>
                <w:sz w:val="20"/>
                <w:szCs w:val="20"/>
              </w:rPr>
            </w:pPr>
            <w:commentRangeStart w:id="24"/>
            <w:r>
              <w:rPr>
                <w:color w:val="0070C0"/>
                <w:sz w:val="20"/>
                <w:szCs w:val="20"/>
              </w:rPr>
              <w:t>[Inclusion of an “appeals mechanism” is under review.]</w:t>
            </w:r>
            <w:commentRangeEnd w:id="24"/>
            <w:r>
              <w:rPr>
                <w:rStyle w:val="CommentReference"/>
              </w:rPr>
              <w:commentReference w:id="24"/>
            </w:r>
          </w:p>
          <w:p>
            <w:pPr>
              <w:spacing w:after="60"/>
              <w:rPr>
                <w:color w:val="0070C0"/>
                <w:sz w:val="20"/>
                <w:szCs w:val="20"/>
              </w:rPr>
            </w:pPr>
          </w:p>
        </w:tc>
        <w:tc>
          <w:tcPr>
            <w:tcW w:w="1170" w:type="dxa"/>
          </w:tcPr>
          <w:p>
            <w:pPr>
              <w:spacing w:after="60"/>
              <w:jc w:val="center"/>
              <w:rPr>
                <w:color w:val="0070C0"/>
                <w:sz w:val="20"/>
                <w:szCs w:val="20"/>
              </w:rPr>
            </w:pPr>
            <w:r>
              <w:rPr>
                <w:color w:val="0070C0"/>
                <w:sz w:val="20"/>
                <w:szCs w:val="20"/>
              </w:rPr>
              <w:t>C.2.9.2.c</w:t>
            </w:r>
          </w:p>
        </w:tc>
        <w:tc>
          <w:tcPr>
            <w:tcW w:w="1170" w:type="dxa"/>
          </w:tcPr>
          <w:p>
            <w:pPr>
              <w:spacing w:after="60"/>
              <w:jc w:val="center"/>
              <w:rPr>
                <w:color w:val="0070C0"/>
                <w:sz w:val="20"/>
                <w:szCs w:val="20"/>
              </w:rPr>
            </w:pPr>
            <w:r>
              <w:rPr>
                <w:color w:val="0070C0"/>
                <w:sz w:val="20"/>
                <w:szCs w:val="20"/>
              </w:rPr>
              <w:t>III.A.iv.a./Annex O</w:t>
            </w:r>
          </w:p>
        </w:tc>
      </w:tr>
      <w:tr>
        <w:tc>
          <w:tcPr>
            <w:tcW w:w="2178" w:type="dxa"/>
          </w:tcPr>
          <w:p>
            <w:pPr>
              <w:spacing w:after="60"/>
              <w:jc w:val="left"/>
              <w:rPr>
                <w:color w:val="0070C0"/>
                <w:sz w:val="20"/>
                <w:szCs w:val="20"/>
              </w:rPr>
            </w:pPr>
            <w:r>
              <w:rPr>
                <w:color w:val="0070C0"/>
                <w:sz w:val="20"/>
                <w:szCs w:val="20"/>
              </w:rPr>
              <w:t>Delegation and Redelegation of a Generic Top Level Domain (gTLD)</w:t>
            </w:r>
          </w:p>
        </w:tc>
        <w:tc>
          <w:tcPr>
            <w:tcW w:w="5310" w:type="dxa"/>
          </w:tcPr>
          <w:p>
            <w:pPr>
              <w:pStyle w:val="ListParagraph"/>
              <w:numPr>
                <w:ilvl w:val="0"/>
                <w:numId w:val="35"/>
              </w:numPr>
              <w:spacing w:after="60"/>
              <w:ind w:left="252" w:hanging="252"/>
              <w:jc w:val="left"/>
              <w:rPr>
                <w:color w:val="0070C0"/>
                <w:sz w:val="20"/>
                <w:szCs w:val="20"/>
              </w:rPr>
            </w:pPr>
            <w:r>
              <w:rPr>
                <w:color w:val="0070C0"/>
                <w:sz w:val="20"/>
                <w:szCs w:val="20"/>
              </w:rPr>
              <w:t xml:space="preserve">PTI shall verify that all requests related to the delegation and redelegation of gTLDs are consistent with the procedures developed by ICANN. </w:t>
            </w:r>
          </w:p>
          <w:p>
            <w:pPr>
              <w:pStyle w:val="ListParagraph"/>
              <w:numPr>
                <w:ilvl w:val="0"/>
                <w:numId w:val="35"/>
              </w:numPr>
              <w:spacing w:after="60"/>
              <w:ind w:left="252" w:hanging="252"/>
              <w:jc w:val="left"/>
              <w:rPr>
                <w:color w:val="0070C0"/>
                <w:sz w:val="20"/>
                <w:szCs w:val="20"/>
              </w:rPr>
            </w:pPr>
            <w:commentRangeStart w:id="25"/>
            <w:r>
              <w:rPr>
                <w:color w:val="0070C0"/>
                <w:sz w:val="20"/>
                <w:szCs w:val="20"/>
              </w:rPr>
              <w:t xml:space="preserve">In making a delegation or redelegation recommendation, PTI must provide documentation verifying that ICANN followed its own policy framework including specific documentation demonstrating how the process provided the opportunity for input from relevant stakeholders and was supportive of the global public interest. </w:t>
            </w:r>
            <w:commentRangeEnd w:id="25"/>
            <w:r>
              <w:rPr>
                <w:rStyle w:val="CommentReference"/>
              </w:rPr>
              <w:commentReference w:id="25"/>
            </w:r>
          </w:p>
          <w:p>
            <w:pPr>
              <w:pStyle w:val="ListParagraph"/>
              <w:numPr>
                <w:ilvl w:val="0"/>
                <w:numId w:val="35"/>
              </w:numPr>
              <w:spacing w:after="60"/>
              <w:ind w:left="252" w:hanging="252"/>
              <w:jc w:val="left"/>
              <w:rPr>
                <w:color w:val="0070C0"/>
                <w:sz w:val="20"/>
                <w:szCs w:val="20"/>
              </w:rPr>
            </w:pPr>
            <w:r>
              <w:rPr>
                <w:color w:val="0070C0"/>
                <w:sz w:val="20"/>
                <w:szCs w:val="20"/>
              </w:rPr>
              <w:t xml:space="preserve">PTI shall submit its recommendations to the </w:t>
            </w:r>
            <w:commentRangeStart w:id="26"/>
            <w:r>
              <w:rPr>
                <w:color w:val="0070C0"/>
                <w:sz w:val="20"/>
                <w:szCs w:val="20"/>
              </w:rPr>
              <w:t xml:space="preserve">[[CSC] </w:t>
            </w:r>
            <w:commentRangeEnd w:id="26"/>
            <w:r>
              <w:rPr>
                <w:rStyle w:val="CommentReference"/>
              </w:rPr>
              <w:commentReference w:id="26"/>
            </w:r>
            <w:r>
              <w:rPr>
                <w:i/>
                <w:color w:val="0070C0"/>
                <w:sz w:val="20"/>
                <w:szCs w:val="20"/>
              </w:rPr>
              <w:t>or</w:t>
            </w:r>
            <w:r>
              <w:rPr>
                <w:color w:val="0070C0"/>
                <w:sz w:val="20"/>
                <w:szCs w:val="20"/>
              </w:rPr>
              <w:t xml:space="preserve"> [RZM] </w:t>
            </w:r>
            <w:r>
              <w:rPr>
                <w:i/>
                <w:color w:val="0070C0"/>
                <w:sz w:val="20"/>
                <w:szCs w:val="20"/>
              </w:rPr>
              <w:t>or</w:t>
            </w:r>
            <w:r>
              <w:rPr>
                <w:color w:val="0070C0"/>
                <w:sz w:val="20"/>
                <w:szCs w:val="20"/>
              </w:rPr>
              <w:t xml:space="preserve"> [Independent Evaluator]] via a Delegation and Redelegation Report.</w:t>
            </w:r>
          </w:p>
        </w:tc>
        <w:tc>
          <w:tcPr>
            <w:tcW w:w="1170" w:type="dxa"/>
          </w:tcPr>
          <w:p>
            <w:pPr>
              <w:spacing w:after="60"/>
              <w:jc w:val="center"/>
              <w:rPr>
                <w:color w:val="0070C0"/>
                <w:sz w:val="20"/>
                <w:szCs w:val="20"/>
              </w:rPr>
            </w:pPr>
            <w:r>
              <w:rPr>
                <w:color w:val="0070C0"/>
                <w:sz w:val="20"/>
                <w:szCs w:val="20"/>
              </w:rPr>
              <w:t>C.2.9.2.d</w:t>
            </w:r>
          </w:p>
        </w:tc>
        <w:tc>
          <w:tcPr>
            <w:tcW w:w="1170" w:type="dxa"/>
          </w:tcPr>
          <w:p>
            <w:pPr>
              <w:spacing w:after="60"/>
              <w:jc w:val="center"/>
              <w:rPr>
                <w:color w:val="0070C0"/>
                <w:sz w:val="20"/>
                <w:szCs w:val="20"/>
              </w:rPr>
            </w:pPr>
          </w:p>
        </w:tc>
      </w:tr>
      <w:tr>
        <w:tc>
          <w:tcPr>
            <w:tcW w:w="2178" w:type="dxa"/>
          </w:tcPr>
          <w:p>
            <w:pPr>
              <w:spacing w:after="60"/>
              <w:jc w:val="left"/>
              <w:rPr>
                <w:color w:val="0070C0"/>
                <w:sz w:val="20"/>
                <w:szCs w:val="20"/>
              </w:rPr>
            </w:pPr>
            <w:r>
              <w:rPr>
                <w:color w:val="0070C0"/>
                <w:sz w:val="20"/>
                <w:szCs w:val="20"/>
              </w:rPr>
              <w:t>Root Zone Automation</w:t>
            </w:r>
          </w:p>
        </w:tc>
        <w:tc>
          <w:tcPr>
            <w:tcW w:w="5310" w:type="dxa"/>
          </w:tcPr>
          <w:p>
            <w:pPr>
              <w:pStyle w:val="ListParagraph"/>
              <w:numPr>
                <w:ilvl w:val="0"/>
                <w:numId w:val="34"/>
              </w:numPr>
              <w:spacing w:after="60"/>
              <w:ind w:left="312" w:hanging="270"/>
              <w:jc w:val="left"/>
              <w:rPr>
                <w:color w:val="0070C0"/>
                <w:sz w:val="20"/>
                <w:szCs w:val="20"/>
              </w:rPr>
            </w:pPr>
            <w:r>
              <w:rPr>
                <w:color w:val="0070C0"/>
                <w:sz w:val="20"/>
                <w:szCs w:val="20"/>
              </w:rPr>
              <w:t xml:space="preserve">PTI shall work with [ICANN/the CSC and] the RZM, and collaborate with all Interested and Affected Parties, to deploy a fully automated root zone management system promptly, including, at a minimum:  </w:t>
            </w:r>
          </w:p>
          <w:p>
            <w:pPr>
              <w:pStyle w:val="ListParagraph"/>
              <w:numPr>
                <w:ilvl w:val="1"/>
                <w:numId w:val="34"/>
              </w:numPr>
              <w:spacing w:after="60"/>
              <w:ind w:left="762" w:hanging="450"/>
              <w:jc w:val="left"/>
              <w:rPr>
                <w:color w:val="0070C0"/>
                <w:sz w:val="20"/>
                <w:szCs w:val="20"/>
              </w:rPr>
            </w:pPr>
            <w:r>
              <w:rPr>
                <w:color w:val="0070C0"/>
                <w:sz w:val="20"/>
                <w:szCs w:val="20"/>
              </w:rPr>
              <w:t>a secure (encrypted) system for customer communications;</w:t>
            </w:r>
          </w:p>
          <w:p>
            <w:pPr>
              <w:pStyle w:val="ListParagraph"/>
              <w:numPr>
                <w:ilvl w:val="1"/>
                <w:numId w:val="34"/>
              </w:numPr>
              <w:spacing w:after="60"/>
              <w:ind w:left="762" w:hanging="450"/>
              <w:jc w:val="left"/>
              <w:rPr>
                <w:color w:val="0070C0"/>
                <w:sz w:val="20"/>
                <w:szCs w:val="20"/>
              </w:rPr>
            </w:pPr>
            <w:r>
              <w:rPr>
                <w:color w:val="0070C0"/>
                <w:sz w:val="20"/>
                <w:szCs w:val="20"/>
              </w:rPr>
              <w:t xml:space="preserve">an automated provisioning protocol allowing </w:t>
            </w:r>
            <w:r>
              <w:rPr>
                <w:color w:val="0070C0"/>
                <w:sz w:val="20"/>
                <w:szCs w:val="20"/>
              </w:rPr>
              <w:lastRenderedPageBreak/>
              <w:t>customers to manage their interactions with the root zone management system;</w:t>
            </w:r>
          </w:p>
          <w:p>
            <w:pPr>
              <w:pStyle w:val="ListParagraph"/>
              <w:numPr>
                <w:ilvl w:val="1"/>
                <w:numId w:val="34"/>
              </w:numPr>
              <w:spacing w:after="60"/>
              <w:ind w:left="762" w:hanging="450"/>
              <w:jc w:val="left"/>
              <w:rPr>
                <w:color w:val="0070C0"/>
                <w:sz w:val="20"/>
                <w:szCs w:val="20"/>
              </w:rPr>
            </w:pPr>
            <w:r>
              <w:rPr>
                <w:color w:val="0070C0"/>
                <w:sz w:val="20"/>
                <w:szCs w:val="20"/>
              </w:rPr>
              <w:t xml:space="preserve">an online database of change requests and subsequent actions whereby each customer can see a record of their historic requests and maintain visibility into the progress of their current requests; </w:t>
            </w:r>
          </w:p>
          <w:p>
            <w:pPr>
              <w:pStyle w:val="ListParagraph"/>
              <w:numPr>
                <w:ilvl w:val="1"/>
                <w:numId w:val="34"/>
              </w:numPr>
              <w:spacing w:after="60"/>
              <w:ind w:left="762" w:hanging="450"/>
              <w:jc w:val="left"/>
              <w:rPr>
                <w:color w:val="0070C0"/>
                <w:sz w:val="20"/>
                <w:szCs w:val="20"/>
              </w:rPr>
            </w:pPr>
            <w:r>
              <w:rPr>
                <w:color w:val="0070C0"/>
                <w:sz w:val="20"/>
                <w:szCs w:val="20"/>
              </w:rPr>
              <w:t>test system, which customers can use to meet the technical requirements for a change request;</w:t>
            </w:r>
          </w:p>
          <w:p>
            <w:pPr>
              <w:pStyle w:val="ListParagraph"/>
              <w:numPr>
                <w:ilvl w:val="1"/>
                <w:numId w:val="34"/>
              </w:numPr>
              <w:spacing w:after="60"/>
              <w:ind w:left="762" w:hanging="450"/>
              <w:jc w:val="left"/>
              <w:rPr>
                <w:color w:val="0070C0"/>
                <w:sz w:val="20"/>
                <w:szCs w:val="20"/>
              </w:rPr>
            </w:pPr>
            <w:r>
              <w:rPr>
                <w:color w:val="0070C0"/>
                <w:sz w:val="20"/>
                <w:szCs w:val="20"/>
              </w:rPr>
              <w:t>an internal interface for secure communications between PTI, [ICANN/the CSC,]</w:t>
            </w:r>
            <w:r>
              <w:rPr>
                <w:b/>
                <w:color w:val="0070C0"/>
                <w:sz w:val="20"/>
                <w:szCs w:val="20"/>
              </w:rPr>
              <w:t xml:space="preserve"> </w:t>
            </w:r>
            <w:r>
              <w:rPr>
                <w:color w:val="0070C0"/>
                <w:sz w:val="20"/>
                <w:szCs w:val="20"/>
              </w:rPr>
              <w:t>and the RZM.</w:t>
            </w:r>
          </w:p>
        </w:tc>
        <w:tc>
          <w:tcPr>
            <w:tcW w:w="1170" w:type="dxa"/>
          </w:tcPr>
          <w:p>
            <w:pPr>
              <w:spacing w:after="60"/>
              <w:jc w:val="center"/>
              <w:rPr>
                <w:color w:val="0070C0"/>
                <w:sz w:val="20"/>
                <w:szCs w:val="20"/>
              </w:rPr>
            </w:pPr>
            <w:r>
              <w:rPr>
                <w:color w:val="0070C0"/>
                <w:sz w:val="20"/>
                <w:szCs w:val="20"/>
              </w:rPr>
              <w:lastRenderedPageBreak/>
              <w:t>C.2.9.2.e</w:t>
            </w:r>
          </w:p>
        </w:tc>
        <w:tc>
          <w:tcPr>
            <w:tcW w:w="1170" w:type="dxa"/>
          </w:tcPr>
          <w:p>
            <w:pPr>
              <w:spacing w:after="60"/>
              <w:jc w:val="center"/>
              <w:rPr>
                <w:color w:val="0070C0"/>
                <w:sz w:val="20"/>
                <w:szCs w:val="20"/>
              </w:rPr>
            </w:pPr>
          </w:p>
        </w:tc>
      </w:tr>
      <w:tr>
        <w:tc>
          <w:tcPr>
            <w:tcW w:w="2178" w:type="dxa"/>
          </w:tcPr>
          <w:p>
            <w:pPr>
              <w:spacing w:after="60"/>
              <w:jc w:val="left"/>
              <w:rPr>
                <w:color w:val="0070C0"/>
                <w:sz w:val="20"/>
                <w:szCs w:val="20"/>
              </w:rPr>
            </w:pPr>
            <w:r>
              <w:rPr>
                <w:color w:val="0070C0"/>
                <w:sz w:val="20"/>
                <w:szCs w:val="20"/>
              </w:rPr>
              <w:lastRenderedPageBreak/>
              <w:t>Root DNSSEC Key Management</w:t>
            </w:r>
          </w:p>
          <w:p>
            <w:pPr>
              <w:spacing w:after="60"/>
              <w:jc w:val="left"/>
              <w:rPr>
                <w:color w:val="0070C0"/>
                <w:sz w:val="20"/>
                <w:szCs w:val="20"/>
              </w:rPr>
            </w:pPr>
          </w:p>
        </w:tc>
        <w:tc>
          <w:tcPr>
            <w:tcW w:w="5310" w:type="dxa"/>
          </w:tcPr>
          <w:p>
            <w:pPr>
              <w:pStyle w:val="ListParagraph"/>
              <w:numPr>
                <w:ilvl w:val="0"/>
                <w:numId w:val="34"/>
              </w:numPr>
              <w:spacing w:after="60"/>
              <w:ind w:left="252" w:hanging="270"/>
              <w:jc w:val="left"/>
              <w:rPr>
                <w:color w:val="0070C0"/>
                <w:sz w:val="20"/>
                <w:szCs w:val="20"/>
              </w:rPr>
            </w:pPr>
            <w:r>
              <w:rPr>
                <w:color w:val="0070C0"/>
                <w:sz w:val="20"/>
                <w:szCs w:val="20"/>
              </w:rPr>
              <w:t>PTI shall be responsible for the management of the root zone Key Signing Key (KSK), including generation, publication, and use for signing the Root Keyset.</w:t>
            </w:r>
          </w:p>
        </w:tc>
        <w:tc>
          <w:tcPr>
            <w:tcW w:w="1170" w:type="dxa"/>
          </w:tcPr>
          <w:p>
            <w:pPr>
              <w:spacing w:after="60"/>
              <w:jc w:val="center"/>
              <w:rPr>
                <w:color w:val="0070C0"/>
                <w:sz w:val="20"/>
                <w:szCs w:val="20"/>
              </w:rPr>
            </w:pPr>
            <w:r>
              <w:rPr>
                <w:color w:val="0070C0"/>
                <w:sz w:val="20"/>
                <w:szCs w:val="20"/>
              </w:rPr>
              <w:t>C.2.9.2.f</w:t>
            </w:r>
          </w:p>
        </w:tc>
        <w:tc>
          <w:tcPr>
            <w:tcW w:w="1170" w:type="dxa"/>
          </w:tcPr>
          <w:p>
            <w:pPr>
              <w:spacing w:after="60"/>
              <w:jc w:val="center"/>
              <w:rPr>
                <w:color w:val="FF0000"/>
                <w:sz w:val="20"/>
                <w:szCs w:val="20"/>
                <w:highlight w:val="yellow"/>
              </w:rPr>
            </w:pPr>
          </w:p>
        </w:tc>
      </w:tr>
      <w:tr>
        <w:tc>
          <w:tcPr>
            <w:tcW w:w="2178" w:type="dxa"/>
          </w:tcPr>
          <w:p>
            <w:pPr>
              <w:spacing w:after="60"/>
              <w:jc w:val="left"/>
              <w:rPr>
                <w:color w:val="0070C0"/>
                <w:sz w:val="20"/>
                <w:szCs w:val="20"/>
              </w:rPr>
            </w:pPr>
            <w:r>
              <w:rPr>
                <w:color w:val="0070C0"/>
                <w:sz w:val="20"/>
                <w:szCs w:val="20"/>
              </w:rPr>
              <w:t>.INT TLD</w:t>
            </w:r>
          </w:p>
          <w:p>
            <w:pPr>
              <w:spacing w:after="60"/>
              <w:jc w:val="left"/>
              <w:rPr>
                <w:color w:val="0070C0"/>
                <w:sz w:val="20"/>
                <w:szCs w:val="20"/>
              </w:rPr>
            </w:pPr>
          </w:p>
          <w:p>
            <w:pPr>
              <w:spacing w:after="60"/>
              <w:jc w:val="left"/>
              <w:rPr>
                <w:color w:val="0070C0"/>
                <w:sz w:val="20"/>
                <w:szCs w:val="20"/>
              </w:rPr>
            </w:pPr>
          </w:p>
        </w:tc>
        <w:tc>
          <w:tcPr>
            <w:tcW w:w="5310" w:type="dxa"/>
          </w:tcPr>
          <w:p>
            <w:pPr>
              <w:pStyle w:val="ListParagraph"/>
              <w:numPr>
                <w:ilvl w:val="0"/>
                <w:numId w:val="36"/>
              </w:numPr>
              <w:spacing w:after="60"/>
              <w:ind w:left="252" w:hanging="270"/>
              <w:jc w:val="left"/>
              <w:rPr>
                <w:color w:val="0070C0"/>
                <w:sz w:val="20"/>
                <w:szCs w:val="20"/>
              </w:rPr>
            </w:pPr>
            <w:r>
              <w:rPr>
                <w:color w:val="0070C0"/>
                <w:sz w:val="20"/>
                <w:szCs w:val="20"/>
              </w:rPr>
              <w:t>PTI shall operate the .INT TLD within the current</w:t>
            </w:r>
            <w:r>
              <w:rPr>
                <w:b/>
                <w:bCs/>
                <w:color w:val="0070C0"/>
                <w:sz w:val="20"/>
                <w:szCs w:val="20"/>
              </w:rPr>
              <w:t xml:space="preserve"> </w:t>
            </w:r>
            <w:r>
              <w:rPr>
                <w:color w:val="0070C0"/>
                <w:sz w:val="20"/>
                <w:szCs w:val="20"/>
              </w:rPr>
              <w:t xml:space="preserve">registration policies for the TLD. </w:t>
            </w:r>
          </w:p>
          <w:p>
            <w:pPr>
              <w:pStyle w:val="ListParagraph"/>
              <w:numPr>
                <w:ilvl w:val="0"/>
                <w:numId w:val="36"/>
              </w:numPr>
              <w:spacing w:after="60"/>
              <w:ind w:left="252" w:hanging="270"/>
              <w:jc w:val="left"/>
              <w:rPr>
                <w:color w:val="0070C0"/>
                <w:sz w:val="20"/>
                <w:szCs w:val="20"/>
              </w:rPr>
            </w:pPr>
            <w:r>
              <w:rPr>
                <w:color w:val="0070C0"/>
                <w:sz w:val="20"/>
                <w:szCs w:val="20"/>
              </w:rPr>
              <w:t>If ICANN designates a successor registry, PTI will facilitate a smooth transition.</w:t>
            </w:r>
          </w:p>
        </w:tc>
        <w:tc>
          <w:tcPr>
            <w:tcW w:w="1170" w:type="dxa"/>
          </w:tcPr>
          <w:p>
            <w:pPr>
              <w:spacing w:after="60"/>
              <w:jc w:val="center"/>
              <w:rPr>
                <w:color w:val="0070C0"/>
                <w:sz w:val="20"/>
                <w:szCs w:val="20"/>
              </w:rPr>
            </w:pPr>
            <w:r>
              <w:rPr>
                <w:color w:val="0070C0"/>
                <w:sz w:val="20"/>
                <w:szCs w:val="20"/>
              </w:rPr>
              <w:t>C.2.9.4</w:t>
            </w:r>
          </w:p>
        </w:tc>
        <w:tc>
          <w:tcPr>
            <w:tcW w:w="1170" w:type="dxa"/>
          </w:tcPr>
          <w:p>
            <w:pPr>
              <w:spacing w:after="60"/>
              <w:jc w:val="center"/>
              <w:rPr>
                <w:color w:val="0070C0"/>
                <w:sz w:val="20"/>
                <w:szCs w:val="20"/>
                <w:highlight w:val="yellow"/>
              </w:rPr>
            </w:pPr>
          </w:p>
        </w:tc>
      </w:tr>
      <w:tr>
        <w:tc>
          <w:tcPr>
            <w:tcW w:w="2178" w:type="dxa"/>
          </w:tcPr>
          <w:p>
            <w:pPr>
              <w:spacing w:after="60"/>
              <w:jc w:val="left"/>
              <w:rPr>
                <w:color w:val="0070C0"/>
                <w:sz w:val="20"/>
                <w:szCs w:val="20"/>
              </w:rPr>
            </w:pPr>
            <w:r>
              <w:rPr>
                <w:color w:val="0070C0"/>
                <w:sz w:val="20"/>
                <w:szCs w:val="20"/>
              </w:rPr>
              <w:t>Inspection Of All Deliverables And Reports Before Publication</w:t>
            </w:r>
          </w:p>
          <w:p>
            <w:pPr>
              <w:spacing w:after="60"/>
              <w:jc w:val="left"/>
              <w:rPr>
                <w:color w:val="0070C0"/>
                <w:sz w:val="20"/>
                <w:szCs w:val="20"/>
              </w:rPr>
            </w:pPr>
          </w:p>
          <w:p>
            <w:pPr>
              <w:spacing w:after="60"/>
              <w:jc w:val="left"/>
              <w:rPr>
                <w:color w:val="0070C0"/>
                <w:sz w:val="20"/>
                <w:szCs w:val="20"/>
              </w:rPr>
            </w:pPr>
          </w:p>
        </w:tc>
        <w:tc>
          <w:tcPr>
            <w:tcW w:w="5310" w:type="dxa"/>
          </w:tcPr>
          <w:p>
            <w:pPr>
              <w:pStyle w:val="ListParagraph"/>
              <w:numPr>
                <w:ilvl w:val="0"/>
                <w:numId w:val="37"/>
              </w:numPr>
              <w:spacing w:after="60"/>
              <w:ind w:left="252" w:hanging="252"/>
              <w:jc w:val="left"/>
              <w:rPr>
                <w:color w:val="0070C0"/>
                <w:sz w:val="20"/>
                <w:szCs w:val="20"/>
              </w:rPr>
            </w:pPr>
            <w:commentRangeStart w:id="27"/>
            <w:r>
              <w:rPr>
                <w:color w:val="0070C0"/>
                <w:sz w:val="20"/>
                <w:szCs w:val="20"/>
              </w:rPr>
              <w:t xml:space="preserve">[ICANN] </w:t>
            </w:r>
            <w:commentRangeEnd w:id="27"/>
            <w:r>
              <w:rPr>
                <w:rStyle w:val="CommentReference"/>
              </w:rPr>
              <w:commentReference w:id="27"/>
            </w:r>
            <w:r>
              <w:rPr>
                <w:color w:val="0070C0"/>
                <w:sz w:val="20"/>
                <w:szCs w:val="20"/>
              </w:rPr>
              <w:t>will perform final inspection and</w:t>
            </w:r>
            <w:r>
              <w:rPr>
                <w:b/>
                <w:bCs/>
                <w:color w:val="0070C0"/>
                <w:sz w:val="20"/>
                <w:szCs w:val="20"/>
              </w:rPr>
              <w:t xml:space="preserve"> </w:t>
            </w:r>
            <w:r>
              <w:rPr>
                <w:color w:val="0070C0"/>
                <w:sz w:val="20"/>
                <w:szCs w:val="20"/>
              </w:rPr>
              <w:t>acceptance of all deliverables and reports, including those articulated as Contractor Requirements in the NTIA-ICANN Contract.</w:t>
            </w:r>
          </w:p>
          <w:p>
            <w:pPr>
              <w:pStyle w:val="ListParagraph"/>
              <w:numPr>
                <w:ilvl w:val="0"/>
                <w:numId w:val="37"/>
              </w:numPr>
              <w:spacing w:after="60"/>
              <w:ind w:left="252" w:hanging="252"/>
              <w:jc w:val="left"/>
              <w:rPr>
                <w:color w:val="0070C0"/>
                <w:sz w:val="20"/>
                <w:szCs w:val="20"/>
              </w:rPr>
            </w:pPr>
            <w:r>
              <w:rPr>
                <w:iCs/>
                <w:color w:val="0070C0"/>
                <w:sz w:val="20"/>
                <w:szCs w:val="20"/>
              </w:rPr>
              <w:t>Prior to publication/posting of reports PTI shall obtain approval from [ICANN], not to be unreasonably withheld or delayed</w:t>
            </w:r>
            <w:r>
              <w:rPr>
                <w:i/>
                <w:iCs/>
                <w:color w:val="0070C0"/>
                <w:sz w:val="20"/>
                <w:szCs w:val="20"/>
              </w:rPr>
              <w:t>.</w:t>
            </w:r>
            <w:r>
              <w:rPr>
                <w:color w:val="0070C0"/>
                <w:sz w:val="20"/>
                <w:szCs w:val="20"/>
              </w:rPr>
              <w:t xml:space="preserve"> </w:t>
            </w:r>
          </w:p>
        </w:tc>
        <w:tc>
          <w:tcPr>
            <w:tcW w:w="1170" w:type="dxa"/>
          </w:tcPr>
          <w:p>
            <w:pPr>
              <w:spacing w:after="60"/>
              <w:jc w:val="center"/>
              <w:rPr>
                <w:color w:val="0070C0"/>
                <w:sz w:val="20"/>
                <w:szCs w:val="20"/>
              </w:rPr>
            </w:pPr>
            <w:r>
              <w:rPr>
                <w:color w:val="0070C0"/>
                <w:sz w:val="20"/>
                <w:szCs w:val="20"/>
              </w:rPr>
              <w:t>C.2.11</w:t>
            </w:r>
          </w:p>
        </w:tc>
        <w:tc>
          <w:tcPr>
            <w:tcW w:w="1170" w:type="dxa"/>
          </w:tcPr>
          <w:p>
            <w:pPr>
              <w:spacing w:after="60"/>
              <w:jc w:val="center"/>
              <w:rPr>
                <w:color w:val="0070C0"/>
                <w:sz w:val="20"/>
                <w:szCs w:val="20"/>
                <w:highlight w:val="yellow"/>
              </w:rPr>
            </w:pPr>
          </w:p>
        </w:tc>
      </w:tr>
      <w:tr>
        <w:tc>
          <w:tcPr>
            <w:tcW w:w="2178" w:type="dxa"/>
          </w:tcPr>
          <w:p>
            <w:pPr>
              <w:spacing w:after="60"/>
              <w:jc w:val="left"/>
              <w:rPr>
                <w:color w:val="0070C0"/>
                <w:sz w:val="20"/>
                <w:szCs w:val="20"/>
              </w:rPr>
            </w:pPr>
            <w:r>
              <w:rPr>
                <w:color w:val="0070C0"/>
                <w:sz w:val="20"/>
                <w:szCs w:val="20"/>
              </w:rPr>
              <w:t xml:space="preserve">PTI To Provide Qualified Program Manager </w:t>
            </w:r>
          </w:p>
        </w:tc>
        <w:tc>
          <w:tcPr>
            <w:tcW w:w="5310" w:type="dxa"/>
          </w:tcPr>
          <w:p>
            <w:pPr>
              <w:pStyle w:val="ListParagraph"/>
              <w:numPr>
                <w:ilvl w:val="0"/>
                <w:numId w:val="34"/>
              </w:numPr>
              <w:spacing w:after="60"/>
              <w:ind w:left="402" w:hanging="402"/>
              <w:jc w:val="left"/>
              <w:rPr>
                <w:color w:val="0070C0"/>
                <w:sz w:val="20"/>
                <w:szCs w:val="20"/>
              </w:rPr>
            </w:pPr>
            <w:r>
              <w:rPr>
                <w:color w:val="0070C0"/>
                <w:sz w:val="20"/>
                <w:szCs w:val="20"/>
              </w:rPr>
              <w:t>PTI shall provide trained, knowledgeable technical</w:t>
            </w:r>
            <w:r>
              <w:rPr>
                <w:b/>
                <w:bCs/>
                <w:color w:val="0070C0"/>
                <w:sz w:val="20"/>
                <w:szCs w:val="20"/>
              </w:rPr>
              <w:t xml:space="preserve"> </w:t>
            </w:r>
            <w:r>
              <w:rPr>
                <w:color w:val="0070C0"/>
                <w:sz w:val="20"/>
                <w:szCs w:val="20"/>
              </w:rPr>
              <w:t xml:space="preserve">personnel with excellent oral and written communication skills (i.e., the capability to converse fluently, communicate effectively, and write intelligibly in the English language). </w:t>
            </w:r>
          </w:p>
          <w:p>
            <w:pPr>
              <w:pStyle w:val="ListParagraph"/>
              <w:numPr>
                <w:ilvl w:val="0"/>
                <w:numId w:val="34"/>
              </w:numPr>
              <w:spacing w:after="60"/>
              <w:ind w:left="402" w:hanging="402"/>
              <w:jc w:val="left"/>
              <w:rPr>
                <w:color w:val="0070C0"/>
                <w:sz w:val="20"/>
                <w:szCs w:val="20"/>
              </w:rPr>
            </w:pPr>
            <w:r>
              <w:rPr>
                <w:color w:val="0070C0"/>
                <w:sz w:val="20"/>
                <w:szCs w:val="20"/>
              </w:rPr>
              <w:t>PTI’s IANA Functions Program Manager organizes, plans, directs, staffs, and coordinates the overall program effort; manages contract and subcontract activities as the authorized interface with ICANN, including CSC, and the IFRT and is responsible for the following:</w:t>
            </w:r>
          </w:p>
          <w:p>
            <w:pPr>
              <w:numPr>
                <w:ilvl w:val="0"/>
                <w:numId w:val="28"/>
              </w:numPr>
              <w:spacing w:after="60"/>
              <w:jc w:val="left"/>
              <w:rPr>
                <w:color w:val="0070C0"/>
                <w:sz w:val="20"/>
                <w:szCs w:val="20"/>
                <w:vertAlign w:val="superscript"/>
              </w:rPr>
            </w:pPr>
            <w:r>
              <w:rPr>
                <w:color w:val="0070C0"/>
                <w:sz w:val="20"/>
                <w:szCs w:val="20"/>
              </w:rPr>
              <w:t xml:space="preserve">Shall be responsible for the overall ICANN-PTI Contract performance and shall not serve in any other capacity under the ICANN-PTI Contract. </w:t>
            </w:r>
          </w:p>
          <w:p>
            <w:pPr>
              <w:numPr>
                <w:ilvl w:val="0"/>
                <w:numId w:val="28"/>
              </w:numPr>
              <w:spacing w:after="60"/>
              <w:jc w:val="left"/>
              <w:rPr>
                <w:color w:val="0070C0"/>
                <w:sz w:val="20"/>
                <w:szCs w:val="20"/>
                <w:vertAlign w:val="superscript"/>
              </w:rPr>
            </w:pPr>
            <w:r>
              <w:rPr>
                <w:color w:val="0070C0"/>
                <w:sz w:val="20"/>
                <w:szCs w:val="20"/>
              </w:rPr>
              <w:t xml:space="preserve">Shall have demonstrated communications skills with all levels of management. </w:t>
            </w:r>
          </w:p>
          <w:p>
            <w:pPr>
              <w:numPr>
                <w:ilvl w:val="0"/>
                <w:numId w:val="28"/>
              </w:numPr>
              <w:spacing w:after="60"/>
              <w:jc w:val="left"/>
              <w:rPr>
                <w:color w:val="0070C0"/>
                <w:sz w:val="20"/>
                <w:szCs w:val="20"/>
                <w:vertAlign w:val="superscript"/>
              </w:rPr>
            </w:pPr>
            <w:r>
              <w:rPr>
                <w:color w:val="0070C0"/>
                <w:sz w:val="20"/>
                <w:szCs w:val="20"/>
              </w:rPr>
              <w:t xml:space="preserve">Shall meet and confer with ICANN regarding the status of specific PTI activities and problems, issues, or conflicts requiring resolution. </w:t>
            </w:r>
          </w:p>
          <w:p>
            <w:pPr>
              <w:numPr>
                <w:ilvl w:val="0"/>
                <w:numId w:val="28"/>
              </w:numPr>
              <w:spacing w:after="60"/>
              <w:jc w:val="left"/>
              <w:rPr>
                <w:color w:val="0070C0"/>
                <w:sz w:val="20"/>
                <w:szCs w:val="20"/>
                <w:vertAlign w:val="superscript"/>
              </w:rPr>
            </w:pPr>
            <w:r>
              <w:rPr>
                <w:color w:val="0070C0"/>
                <w:sz w:val="20"/>
                <w:szCs w:val="20"/>
              </w:rPr>
              <w:lastRenderedPageBreak/>
              <w:t>Shall be capable of negotiating and making binding decisions for PTI within his or her scope of delegated authority.</w:t>
            </w:r>
          </w:p>
          <w:p>
            <w:pPr>
              <w:numPr>
                <w:ilvl w:val="0"/>
                <w:numId w:val="28"/>
              </w:numPr>
              <w:spacing w:after="60"/>
              <w:jc w:val="left"/>
              <w:rPr>
                <w:color w:val="0070C0"/>
                <w:sz w:val="20"/>
                <w:szCs w:val="20"/>
                <w:vertAlign w:val="superscript"/>
              </w:rPr>
            </w:pPr>
            <w:r>
              <w:rPr>
                <w:color w:val="0070C0"/>
                <w:sz w:val="20"/>
                <w:szCs w:val="20"/>
              </w:rPr>
              <w:t>Shall have extensive experience and proven expertise in managing similar multi-task contracts of this type and complexity.</w:t>
            </w:r>
          </w:p>
        </w:tc>
        <w:tc>
          <w:tcPr>
            <w:tcW w:w="1170" w:type="dxa"/>
          </w:tcPr>
          <w:p>
            <w:pPr>
              <w:spacing w:after="60"/>
              <w:jc w:val="center"/>
              <w:rPr>
                <w:color w:val="0070C0"/>
                <w:sz w:val="20"/>
                <w:szCs w:val="20"/>
                <w:highlight w:val="yellow"/>
              </w:rPr>
            </w:pPr>
            <w:r>
              <w:rPr>
                <w:color w:val="0070C0"/>
                <w:sz w:val="20"/>
                <w:szCs w:val="20"/>
              </w:rPr>
              <w:lastRenderedPageBreak/>
              <w:t>C.2.12.a</w:t>
            </w:r>
          </w:p>
        </w:tc>
        <w:tc>
          <w:tcPr>
            <w:tcW w:w="1170" w:type="dxa"/>
          </w:tcPr>
          <w:p>
            <w:pPr>
              <w:spacing w:after="60"/>
              <w:jc w:val="center"/>
              <w:rPr>
                <w:color w:val="0070C0"/>
                <w:sz w:val="20"/>
                <w:szCs w:val="20"/>
                <w:highlight w:val="yellow"/>
              </w:rPr>
            </w:pPr>
          </w:p>
        </w:tc>
      </w:tr>
      <w:tr>
        <w:tc>
          <w:tcPr>
            <w:tcW w:w="2178" w:type="dxa"/>
          </w:tcPr>
          <w:p>
            <w:pPr>
              <w:spacing w:after="60"/>
              <w:jc w:val="left"/>
              <w:rPr>
                <w:color w:val="0070C0"/>
                <w:sz w:val="20"/>
                <w:szCs w:val="20"/>
              </w:rPr>
            </w:pPr>
            <w:r>
              <w:rPr>
                <w:color w:val="0070C0"/>
                <w:sz w:val="20"/>
                <w:szCs w:val="20"/>
              </w:rPr>
              <w:lastRenderedPageBreak/>
              <w:t>Key Personnel</w:t>
            </w:r>
          </w:p>
        </w:tc>
        <w:tc>
          <w:tcPr>
            <w:tcW w:w="5310" w:type="dxa"/>
          </w:tcPr>
          <w:p>
            <w:pPr>
              <w:pStyle w:val="ListParagraph"/>
              <w:numPr>
                <w:ilvl w:val="0"/>
                <w:numId w:val="38"/>
              </w:numPr>
              <w:spacing w:after="60"/>
              <w:ind w:left="252" w:hanging="252"/>
              <w:jc w:val="left"/>
              <w:rPr>
                <w:color w:val="0070C0"/>
                <w:sz w:val="20"/>
                <w:szCs w:val="20"/>
              </w:rPr>
            </w:pPr>
            <w:r>
              <w:rPr>
                <w:color w:val="0070C0"/>
                <w:sz w:val="20"/>
                <w:szCs w:val="20"/>
              </w:rPr>
              <w:t xml:space="preserve">In addition to the Qualified Program Manager, PTI shall assign to the ICANN-PTI Contract the following key personnel: </w:t>
            </w:r>
          </w:p>
          <w:p>
            <w:pPr>
              <w:pStyle w:val="ListParagraph"/>
              <w:numPr>
                <w:ilvl w:val="1"/>
                <w:numId w:val="38"/>
              </w:numPr>
              <w:spacing w:after="60"/>
              <w:ind w:left="792" w:hanging="540"/>
              <w:jc w:val="left"/>
              <w:rPr>
                <w:color w:val="0070C0"/>
                <w:sz w:val="20"/>
                <w:szCs w:val="20"/>
              </w:rPr>
            </w:pPr>
            <w:r>
              <w:rPr>
                <w:color w:val="0070C0"/>
                <w:sz w:val="20"/>
                <w:szCs w:val="20"/>
              </w:rPr>
              <w:t>IANA Functions Program Manager</w:t>
            </w:r>
          </w:p>
          <w:p>
            <w:pPr>
              <w:pStyle w:val="ListParagraph"/>
              <w:numPr>
                <w:ilvl w:val="1"/>
                <w:numId w:val="38"/>
              </w:numPr>
              <w:spacing w:after="60"/>
              <w:ind w:left="792" w:hanging="540"/>
              <w:jc w:val="left"/>
              <w:rPr>
                <w:color w:val="0070C0"/>
                <w:sz w:val="20"/>
                <w:szCs w:val="20"/>
              </w:rPr>
            </w:pPr>
            <w:r>
              <w:rPr>
                <w:color w:val="0070C0"/>
                <w:sz w:val="20"/>
                <w:szCs w:val="20"/>
              </w:rPr>
              <w:t xml:space="preserve">IANA Function Liaison for Root Zone Management </w:t>
            </w:r>
          </w:p>
        </w:tc>
        <w:tc>
          <w:tcPr>
            <w:tcW w:w="1170" w:type="dxa"/>
          </w:tcPr>
          <w:p>
            <w:pPr>
              <w:spacing w:after="60"/>
              <w:jc w:val="center"/>
              <w:rPr>
                <w:color w:val="0070C0"/>
                <w:sz w:val="20"/>
                <w:szCs w:val="20"/>
              </w:rPr>
            </w:pPr>
            <w:r>
              <w:rPr>
                <w:color w:val="0070C0"/>
                <w:sz w:val="20"/>
                <w:szCs w:val="20"/>
              </w:rPr>
              <w:t>C.2.12.b</w:t>
            </w:r>
          </w:p>
        </w:tc>
        <w:tc>
          <w:tcPr>
            <w:tcW w:w="1170" w:type="dxa"/>
          </w:tcPr>
          <w:p>
            <w:pPr>
              <w:spacing w:after="60"/>
              <w:jc w:val="center"/>
              <w:rPr>
                <w:color w:val="FF0000"/>
                <w:sz w:val="20"/>
                <w:szCs w:val="20"/>
              </w:rPr>
            </w:pPr>
          </w:p>
        </w:tc>
      </w:tr>
      <w:tr>
        <w:tc>
          <w:tcPr>
            <w:tcW w:w="2178" w:type="dxa"/>
          </w:tcPr>
          <w:p>
            <w:pPr>
              <w:spacing w:after="60"/>
              <w:jc w:val="left"/>
              <w:rPr>
                <w:color w:val="0070C0"/>
                <w:sz w:val="20"/>
                <w:szCs w:val="20"/>
              </w:rPr>
            </w:pPr>
            <w:r>
              <w:rPr>
                <w:color w:val="0070C0"/>
                <w:sz w:val="20"/>
                <w:szCs w:val="20"/>
              </w:rPr>
              <w:t>Changes to Key Personnel</w:t>
            </w:r>
          </w:p>
          <w:p>
            <w:pPr>
              <w:spacing w:after="60"/>
              <w:jc w:val="left"/>
              <w:rPr>
                <w:color w:val="0070C0"/>
                <w:sz w:val="20"/>
                <w:szCs w:val="20"/>
              </w:rPr>
            </w:pPr>
          </w:p>
          <w:p>
            <w:pPr>
              <w:spacing w:after="60"/>
              <w:jc w:val="left"/>
              <w:rPr>
                <w:color w:val="0070C0"/>
                <w:sz w:val="20"/>
                <w:szCs w:val="20"/>
              </w:rPr>
            </w:pPr>
          </w:p>
        </w:tc>
        <w:tc>
          <w:tcPr>
            <w:tcW w:w="5310" w:type="dxa"/>
          </w:tcPr>
          <w:p>
            <w:pPr>
              <w:pStyle w:val="ListParagraph"/>
              <w:numPr>
                <w:ilvl w:val="0"/>
                <w:numId w:val="38"/>
              </w:numPr>
              <w:spacing w:after="60"/>
              <w:ind w:left="252" w:hanging="252"/>
              <w:jc w:val="left"/>
              <w:rPr>
                <w:color w:val="0070C0"/>
                <w:sz w:val="20"/>
                <w:szCs w:val="20"/>
              </w:rPr>
            </w:pPr>
            <w:commentRangeStart w:id="28"/>
            <w:r>
              <w:rPr>
                <w:color w:val="0070C0"/>
                <w:sz w:val="20"/>
                <w:szCs w:val="20"/>
              </w:rPr>
              <w:t xml:space="preserve">PTI shall obtain ICANN consent prior to making key personnel substitutions. </w:t>
            </w:r>
            <w:commentRangeEnd w:id="28"/>
            <w:r>
              <w:rPr>
                <w:rStyle w:val="CommentReference"/>
              </w:rPr>
              <w:commentReference w:id="28"/>
            </w:r>
          </w:p>
          <w:p>
            <w:pPr>
              <w:pStyle w:val="ListParagraph"/>
              <w:numPr>
                <w:ilvl w:val="0"/>
                <w:numId w:val="38"/>
              </w:numPr>
              <w:spacing w:after="60"/>
              <w:ind w:left="252" w:hanging="252"/>
              <w:jc w:val="left"/>
              <w:rPr>
                <w:color w:val="0070C0"/>
                <w:sz w:val="20"/>
                <w:szCs w:val="20"/>
              </w:rPr>
            </w:pPr>
            <w:r>
              <w:rPr>
                <w:color w:val="0070C0"/>
                <w:sz w:val="20"/>
                <w:szCs w:val="20"/>
              </w:rPr>
              <w:t>Replacements for key personnel must possess qualifications equal to or exceeding the qualifications of the personnel being replaced, unless an exception is approved.</w:t>
            </w:r>
          </w:p>
          <w:p>
            <w:pPr>
              <w:pStyle w:val="ListParagraph"/>
              <w:numPr>
                <w:ilvl w:val="0"/>
                <w:numId w:val="38"/>
              </w:numPr>
              <w:spacing w:after="60"/>
              <w:ind w:left="252" w:hanging="252"/>
              <w:jc w:val="left"/>
              <w:rPr>
                <w:color w:val="0070C0"/>
                <w:sz w:val="20"/>
                <w:szCs w:val="20"/>
              </w:rPr>
            </w:pPr>
            <w:commentRangeStart w:id="29"/>
            <w:r>
              <w:rPr>
                <w:color w:val="0070C0"/>
                <w:sz w:val="20"/>
                <w:szCs w:val="20"/>
              </w:rPr>
              <w:t>Requests for changes in key personnel shall be submitted to the ICANN at least 15 working days prior to making any permanent substitutions. The request should contain a detailed explanation of the circumstances necessitating the proposed substitutions, complete resumes for the proposed substitutes, and any additional information requested by ICANN. ICANN will notify PTI within 10 working days after receipt of all required information of the decision on substitutions. The ICANN-PTI Contract will be modified to reflect any approved changes.</w:t>
            </w:r>
            <w:commentRangeEnd w:id="29"/>
            <w:r>
              <w:rPr>
                <w:rStyle w:val="CommentReference"/>
              </w:rPr>
              <w:commentReference w:id="29"/>
            </w:r>
          </w:p>
        </w:tc>
        <w:tc>
          <w:tcPr>
            <w:tcW w:w="1170" w:type="dxa"/>
          </w:tcPr>
          <w:p>
            <w:pPr>
              <w:spacing w:after="60"/>
              <w:jc w:val="center"/>
              <w:rPr>
                <w:color w:val="0070C0"/>
                <w:sz w:val="20"/>
                <w:szCs w:val="20"/>
              </w:rPr>
            </w:pPr>
            <w:r>
              <w:rPr>
                <w:color w:val="0070C0"/>
                <w:sz w:val="20"/>
                <w:szCs w:val="20"/>
              </w:rPr>
              <w:t>H.8</w:t>
            </w:r>
          </w:p>
        </w:tc>
        <w:tc>
          <w:tcPr>
            <w:tcW w:w="1170" w:type="dxa"/>
          </w:tcPr>
          <w:p>
            <w:pPr>
              <w:spacing w:after="60"/>
              <w:jc w:val="center"/>
              <w:rPr>
                <w:color w:val="0070C0"/>
                <w:sz w:val="20"/>
                <w:szCs w:val="20"/>
                <w:highlight w:val="yellow"/>
              </w:rPr>
            </w:pPr>
          </w:p>
        </w:tc>
      </w:tr>
      <w:tr>
        <w:tc>
          <w:tcPr>
            <w:tcW w:w="2178" w:type="dxa"/>
          </w:tcPr>
          <w:p>
            <w:pPr>
              <w:spacing w:after="60"/>
              <w:jc w:val="left"/>
              <w:rPr>
                <w:sz w:val="20"/>
                <w:szCs w:val="20"/>
              </w:rPr>
            </w:pPr>
            <w:r>
              <w:rPr>
                <w:sz w:val="20"/>
                <w:szCs w:val="20"/>
              </w:rPr>
              <w:t>Budget Meetings; Funding</w:t>
            </w:r>
          </w:p>
        </w:tc>
        <w:tc>
          <w:tcPr>
            <w:tcW w:w="5310" w:type="dxa"/>
          </w:tcPr>
          <w:p>
            <w:pPr>
              <w:rPr>
                <w:sz w:val="20"/>
                <w:szCs w:val="20"/>
              </w:rPr>
            </w:pPr>
            <w:commentRangeStart w:id="30"/>
            <w:r>
              <w:rPr>
                <w:sz w:val="20"/>
                <w:szCs w:val="20"/>
              </w:rPr>
              <w:t>ICANN will meet [annually] with the President of PTI to review and approve the budget for the IANA Naming Services for the next [three] years.</w:t>
            </w:r>
            <w:commentRangeEnd w:id="30"/>
            <w:r>
              <w:rPr>
                <w:rStyle w:val="CommentReference"/>
              </w:rPr>
              <w:commentReference w:id="30"/>
            </w:r>
            <w:r>
              <w:rPr>
                <w:sz w:val="20"/>
                <w:szCs w:val="20"/>
              </w:rPr>
              <w:t xml:space="preserve"> ICANN shall fund PTI at agreed budget levels. </w:t>
            </w:r>
          </w:p>
        </w:tc>
        <w:tc>
          <w:tcPr>
            <w:tcW w:w="1170" w:type="dxa"/>
          </w:tcPr>
          <w:p>
            <w:pPr>
              <w:spacing w:after="60"/>
              <w:jc w:val="center"/>
              <w:rPr>
                <w:color w:val="000000" w:themeColor="text1"/>
                <w:sz w:val="20"/>
                <w:szCs w:val="20"/>
              </w:rPr>
            </w:pPr>
          </w:p>
        </w:tc>
        <w:tc>
          <w:tcPr>
            <w:tcW w:w="1170" w:type="dxa"/>
          </w:tcPr>
          <w:p>
            <w:pPr>
              <w:spacing w:after="60"/>
              <w:jc w:val="center"/>
              <w:rPr>
                <w:color w:val="000000" w:themeColor="text1"/>
                <w:sz w:val="20"/>
                <w:szCs w:val="20"/>
              </w:rPr>
            </w:pPr>
          </w:p>
        </w:tc>
      </w:tr>
      <w:tr>
        <w:tc>
          <w:tcPr>
            <w:tcW w:w="2178" w:type="dxa"/>
          </w:tcPr>
          <w:p>
            <w:pPr>
              <w:spacing w:after="60"/>
              <w:jc w:val="left"/>
              <w:rPr>
                <w:b/>
                <w:color w:val="000000" w:themeColor="text1"/>
                <w:sz w:val="20"/>
                <w:szCs w:val="20"/>
              </w:rPr>
            </w:pPr>
            <w:r>
              <w:rPr>
                <w:b/>
                <w:sz w:val="20"/>
                <w:szCs w:val="20"/>
              </w:rPr>
              <w:t>TRANSPARENCY OF DECISION-MAKING</w:t>
            </w:r>
          </w:p>
        </w:tc>
        <w:tc>
          <w:tcPr>
            <w:tcW w:w="5310" w:type="dxa"/>
          </w:tcPr>
          <w:p>
            <w:pPr>
              <w:rPr>
                <w:sz w:val="20"/>
                <w:szCs w:val="20"/>
              </w:rPr>
            </w:pPr>
            <w:r>
              <w:rPr>
                <w:sz w:val="20"/>
                <w:szCs w:val="20"/>
              </w:rPr>
              <w:t>To enhance consistency, predictability and integrity in decision-making of IANA related decisions, PTI shall:</w:t>
            </w:r>
          </w:p>
          <w:p>
            <w:pPr>
              <w:pStyle w:val="ListParagraph"/>
              <w:numPr>
                <w:ilvl w:val="0"/>
                <w:numId w:val="43"/>
              </w:numPr>
              <w:ind w:left="342" w:hanging="342"/>
              <w:jc w:val="left"/>
              <w:rPr>
                <w:sz w:val="20"/>
                <w:szCs w:val="20"/>
              </w:rPr>
            </w:pPr>
            <w:r>
              <w:rPr>
                <w:sz w:val="20"/>
                <w:szCs w:val="20"/>
              </w:rPr>
              <w:t>Continue the current practice of public reporting on naming related decisions.</w:t>
            </w:r>
          </w:p>
          <w:p>
            <w:pPr>
              <w:pStyle w:val="ListParagraph"/>
              <w:numPr>
                <w:ilvl w:val="0"/>
                <w:numId w:val="43"/>
              </w:numPr>
              <w:ind w:left="342" w:hanging="342"/>
              <w:jc w:val="left"/>
              <w:rPr>
                <w:sz w:val="20"/>
                <w:szCs w:val="20"/>
              </w:rPr>
            </w:pPr>
            <w:r>
              <w:rPr>
                <w:sz w:val="20"/>
                <w:szCs w:val="20"/>
              </w:rPr>
              <w:t>Make public all recommendations by PTI on naming related decisions.</w:t>
            </w:r>
          </w:p>
          <w:p>
            <w:pPr>
              <w:pStyle w:val="ListParagraph"/>
              <w:numPr>
                <w:ilvl w:val="0"/>
                <w:numId w:val="43"/>
              </w:numPr>
              <w:ind w:left="342" w:hanging="342"/>
              <w:jc w:val="left"/>
              <w:rPr>
                <w:sz w:val="20"/>
                <w:szCs w:val="20"/>
              </w:rPr>
            </w:pPr>
            <w:r>
              <w:rPr>
                <w:sz w:val="20"/>
                <w:szCs w:val="20"/>
              </w:rPr>
              <w:t>Agree not to redact any PTI Board minutes related to naming decisions.</w:t>
            </w:r>
          </w:p>
          <w:p>
            <w:pPr>
              <w:pStyle w:val="ListParagraph"/>
              <w:numPr>
                <w:ilvl w:val="0"/>
                <w:numId w:val="43"/>
              </w:numPr>
              <w:ind w:left="342" w:hanging="342"/>
              <w:jc w:val="left"/>
              <w:rPr>
                <w:sz w:val="20"/>
                <w:szCs w:val="20"/>
              </w:rPr>
            </w:pPr>
            <w:r>
              <w:rPr>
                <w:sz w:val="20"/>
                <w:szCs w:val="20"/>
              </w:rPr>
              <w:t>Have the President and PTI Board Chair sign an annual attestation that it has complied with the above provisions.</w:t>
            </w:r>
          </w:p>
          <w:p>
            <w:pPr>
              <w:pStyle w:val="ListParagraph"/>
              <w:numPr>
                <w:ilvl w:val="0"/>
                <w:numId w:val="43"/>
              </w:numPr>
              <w:ind w:left="342" w:hanging="342"/>
              <w:jc w:val="left"/>
              <w:rPr>
                <w:sz w:val="20"/>
                <w:szCs w:val="20"/>
              </w:rPr>
            </w:pPr>
            <w:r>
              <w:rPr>
                <w:sz w:val="20"/>
                <w:szCs w:val="20"/>
              </w:rPr>
              <w:t xml:space="preserve">ICANN shall provide PTI a budget sufficient to allow it to hire independent legal counsel to provide advice </w:t>
            </w:r>
            <w:r>
              <w:rPr>
                <w:sz w:val="20"/>
                <w:szCs w:val="20"/>
              </w:rPr>
              <w:lastRenderedPageBreak/>
              <w:t>on the interpretation of existing naming related policy.</w:t>
            </w:r>
          </w:p>
          <w:p>
            <w:pPr>
              <w:pStyle w:val="ListParagraph"/>
              <w:numPr>
                <w:ilvl w:val="0"/>
                <w:numId w:val="43"/>
              </w:numPr>
              <w:ind w:left="342" w:hanging="342"/>
              <w:jc w:val="left"/>
              <w:rPr>
                <w:color w:val="000000" w:themeColor="text1"/>
                <w:sz w:val="20"/>
                <w:szCs w:val="20"/>
              </w:rPr>
            </w:pPr>
            <w:r>
              <w:rPr>
                <w:sz w:val="20"/>
                <w:szCs w:val="20"/>
              </w:rPr>
              <w:t>These provisions regarding reporting and transparency, along with the availability of independent legal advice, are intended to discourage decisions that may not be fully supported by existing policy.</w:t>
            </w:r>
          </w:p>
        </w:tc>
        <w:tc>
          <w:tcPr>
            <w:tcW w:w="1170" w:type="dxa"/>
          </w:tcPr>
          <w:p>
            <w:pPr>
              <w:spacing w:after="60"/>
              <w:jc w:val="center"/>
              <w:rPr>
                <w:color w:val="000000" w:themeColor="text1"/>
                <w:sz w:val="20"/>
                <w:szCs w:val="20"/>
              </w:rPr>
            </w:pPr>
          </w:p>
        </w:tc>
        <w:tc>
          <w:tcPr>
            <w:tcW w:w="1170" w:type="dxa"/>
          </w:tcPr>
          <w:p>
            <w:pPr>
              <w:spacing w:after="60"/>
              <w:jc w:val="center"/>
              <w:rPr>
                <w:color w:val="000000" w:themeColor="text1"/>
                <w:sz w:val="20"/>
                <w:szCs w:val="20"/>
              </w:rPr>
            </w:pPr>
          </w:p>
        </w:tc>
      </w:tr>
      <w:tr>
        <w:tc>
          <w:tcPr>
            <w:tcW w:w="2178" w:type="dxa"/>
          </w:tcPr>
          <w:p>
            <w:pPr>
              <w:spacing w:after="60"/>
              <w:jc w:val="left"/>
              <w:rPr>
                <w:b/>
                <w:color w:val="4F81BD" w:themeColor="accent1"/>
                <w:sz w:val="20"/>
                <w:szCs w:val="20"/>
              </w:rPr>
            </w:pPr>
            <w:r>
              <w:rPr>
                <w:b/>
                <w:color w:val="4F81BD" w:themeColor="accent1"/>
                <w:sz w:val="20"/>
                <w:szCs w:val="20"/>
              </w:rPr>
              <w:lastRenderedPageBreak/>
              <w:t>SECURITY REQUIREMENTS</w:t>
            </w:r>
          </w:p>
        </w:tc>
        <w:tc>
          <w:tcPr>
            <w:tcW w:w="5310" w:type="dxa"/>
          </w:tcPr>
          <w:p>
            <w:pPr>
              <w:spacing w:after="60"/>
              <w:rPr>
                <w:color w:val="0070C0"/>
                <w:sz w:val="20"/>
                <w:szCs w:val="20"/>
              </w:rPr>
            </w:pPr>
            <w:r>
              <w:rPr>
                <w:color w:val="0070C0"/>
                <w:sz w:val="20"/>
                <w:szCs w:val="20"/>
              </w:rPr>
              <w:t>Retain from current ICANN-NTIA Contract.</w:t>
            </w:r>
          </w:p>
        </w:tc>
        <w:tc>
          <w:tcPr>
            <w:tcW w:w="1170" w:type="dxa"/>
          </w:tcPr>
          <w:p>
            <w:pPr>
              <w:spacing w:after="60"/>
              <w:jc w:val="center"/>
              <w:rPr>
                <w:color w:val="0070C0"/>
                <w:sz w:val="20"/>
                <w:szCs w:val="20"/>
              </w:rPr>
            </w:pPr>
            <w:r>
              <w:rPr>
                <w:color w:val="0070C0"/>
                <w:sz w:val="20"/>
                <w:szCs w:val="20"/>
              </w:rPr>
              <w:t>C.3</w:t>
            </w:r>
          </w:p>
        </w:tc>
        <w:tc>
          <w:tcPr>
            <w:tcW w:w="1170" w:type="dxa"/>
          </w:tcPr>
          <w:p>
            <w:pPr>
              <w:spacing w:after="60"/>
              <w:jc w:val="center"/>
              <w:rPr>
                <w:color w:val="FF0000"/>
                <w:sz w:val="20"/>
                <w:szCs w:val="20"/>
                <w:highlight w:val="yellow"/>
              </w:rPr>
            </w:pPr>
          </w:p>
        </w:tc>
      </w:tr>
      <w:tr>
        <w:tc>
          <w:tcPr>
            <w:tcW w:w="2178" w:type="dxa"/>
          </w:tcPr>
          <w:p>
            <w:pPr>
              <w:spacing w:after="60"/>
              <w:jc w:val="left"/>
              <w:rPr>
                <w:b/>
                <w:color w:val="000000"/>
                <w:sz w:val="20"/>
                <w:szCs w:val="20"/>
              </w:rPr>
            </w:pPr>
            <w:r>
              <w:rPr>
                <w:b/>
                <w:color w:val="000000"/>
                <w:sz w:val="20"/>
                <w:szCs w:val="20"/>
              </w:rPr>
              <w:t>PERFORMANCE METRIC REQUIREMENTS</w:t>
            </w:r>
          </w:p>
        </w:tc>
        <w:tc>
          <w:tcPr>
            <w:tcW w:w="5310" w:type="dxa"/>
          </w:tcPr>
          <w:p>
            <w:pPr>
              <w:spacing w:after="60"/>
              <w:rPr>
                <w:color w:val="000000"/>
                <w:sz w:val="20"/>
                <w:szCs w:val="20"/>
              </w:rPr>
            </w:pP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p>
        </w:tc>
      </w:tr>
      <w:tr>
        <w:tc>
          <w:tcPr>
            <w:tcW w:w="2178" w:type="dxa"/>
          </w:tcPr>
          <w:p>
            <w:pPr>
              <w:spacing w:after="60"/>
              <w:jc w:val="left"/>
              <w:rPr>
                <w:color w:val="0070C0"/>
                <w:sz w:val="20"/>
                <w:szCs w:val="20"/>
              </w:rPr>
            </w:pPr>
            <w:r>
              <w:rPr>
                <w:color w:val="0070C0"/>
                <w:sz w:val="20"/>
                <w:szCs w:val="20"/>
              </w:rPr>
              <w:t>Program Reviews and Site Visits</w:t>
            </w:r>
          </w:p>
        </w:tc>
        <w:tc>
          <w:tcPr>
            <w:tcW w:w="5310" w:type="dxa"/>
          </w:tcPr>
          <w:p>
            <w:pPr>
              <w:pStyle w:val="ListParagraph"/>
              <w:numPr>
                <w:ilvl w:val="0"/>
                <w:numId w:val="38"/>
              </w:numPr>
              <w:spacing w:after="60"/>
              <w:ind w:left="342" w:hanging="342"/>
              <w:jc w:val="left"/>
              <w:rPr>
                <w:color w:val="0070C0"/>
                <w:sz w:val="20"/>
                <w:szCs w:val="20"/>
              </w:rPr>
            </w:pPr>
            <w:r>
              <w:rPr>
                <w:color w:val="0070C0"/>
                <w:sz w:val="20"/>
                <w:szCs w:val="20"/>
              </w:rPr>
              <w:t xml:space="preserve">Program Reviews shall be conducted monthly by </w:t>
            </w:r>
            <w:commentRangeStart w:id="31"/>
            <w:r>
              <w:rPr>
                <w:color w:val="0070C0"/>
                <w:sz w:val="20"/>
                <w:szCs w:val="20"/>
              </w:rPr>
              <w:t>[CSC/ICANN].</w:t>
            </w:r>
            <w:commentRangeEnd w:id="31"/>
            <w:r>
              <w:rPr>
                <w:rStyle w:val="CommentReference"/>
              </w:rPr>
              <w:commentReference w:id="31"/>
            </w:r>
          </w:p>
          <w:p>
            <w:pPr>
              <w:pStyle w:val="ListParagraph"/>
              <w:numPr>
                <w:ilvl w:val="0"/>
                <w:numId w:val="38"/>
              </w:numPr>
              <w:spacing w:after="60"/>
              <w:ind w:left="342" w:hanging="342"/>
              <w:jc w:val="left"/>
              <w:rPr>
                <w:color w:val="0070C0"/>
                <w:sz w:val="20"/>
                <w:szCs w:val="20"/>
              </w:rPr>
            </w:pPr>
            <w:r>
              <w:rPr>
                <w:color w:val="0070C0"/>
                <w:sz w:val="20"/>
                <w:szCs w:val="20"/>
              </w:rPr>
              <w:t>Site Visits shall be conducted on-demand by the IFRT.</w:t>
            </w:r>
          </w:p>
        </w:tc>
        <w:tc>
          <w:tcPr>
            <w:tcW w:w="1170" w:type="dxa"/>
          </w:tcPr>
          <w:p>
            <w:pPr>
              <w:spacing w:after="60"/>
              <w:jc w:val="center"/>
              <w:rPr>
                <w:color w:val="0070C0"/>
                <w:sz w:val="20"/>
                <w:szCs w:val="20"/>
              </w:rPr>
            </w:pPr>
            <w:r>
              <w:rPr>
                <w:color w:val="0070C0"/>
                <w:sz w:val="20"/>
                <w:szCs w:val="20"/>
              </w:rPr>
              <w:t>C.4.1</w:t>
            </w:r>
          </w:p>
        </w:tc>
        <w:tc>
          <w:tcPr>
            <w:tcW w:w="1170" w:type="dxa"/>
          </w:tcPr>
          <w:p>
            <w:pPr>
              <w:spacing w:after="60"/>
              <w:jc w:val="center"/>
              <w:rPr>
                <w:color w:val="0070C0"/>
                <w:sz w:val="20"/>
                <w:szCs w:val="20"/>
              </w:rPr>
            </w:pPr>
            <w:r>
              <w:rPr>
                <w:color w:val="0070C0"/>
                <w:sz w:val="20"/>
                <w:szCs w:val="20"/>
              </w:rPr>
              <w:t xml:space="preserve">Annex F </w:t>
            </w:r>
          </w:p>
        </w:tc>
      </w:tr>
      <w:tr>
        <w:tc>
          <w:tcPr>
            <w:tcW w:w="2178" w:type="dxa"/>
          </w:tcPr>
          <w:p>
            <w:pPr>
              <w:spacing w:after="60"/>
              <w:jc w:val="left"/>
              <w:rPr>
                <w:color w:val="0070C0"/>
                <w:sz w:val="20"/>
                <w:szCs w:val="20"/>
              </w:rPr>
            </w:pPr>
            <w:r>
              <w:rPr>
                <w:color w:val="0070C0"/>
                <w:sz w:val="20"/>
                <w:szCs w:val="20"/>
              </w:rPr>
              <w:t>Monthly Performance Progress Report</w:t>
            </w:r>
          </w:p>
        </w:tc>
        <w:tc>
          <w:tcPr>
            <w:tcW w:w="5310" w:type="dxa"/>
          </w:tcPr>
          <w:p>
            <w:pPr>
              <w:pStyle w:val="ListParagraph"/>
              <w:numPr>
                <w:ilvl w:val="0"/>
                <w:numId w:val="39"/>
              </w:numPr>
              <w:spacing w:after="60"/>
              <w:ind w:left="252" w:hanging="252"/>
              <w:jc w:val="left"/>
              <w:rPr>
                <w:color w:val="0070C0"/>
                <w:sz w:val="20"/>
                <w:szCs w:val="20"/>
              </w:rPr>
            </w:pPr>
            <w:r>
              <w:rPr>
                <w:color w:val="0070C0"/>
                <w:sz w:val="20"/>
                <w:szCs w:val="20"/>
              </w:rPr>
              <w:t>PTI shall prepare and submit to</w:t>
            </w:r>
            <w:r>
              <w:rPr>
                <w:b/>
                <w:bCs/>
                <w:color w:val="0070C0"/>
                <w:sz w:val="20"/>
                <w:szCs w:val="20"/>
              </w:rPr>
              <w:t xml:space="preserve"> </w:t>
            </w:r>
            <w:r>
              <w:rPr>
                <w:color w:val="0070C0"/>
                <w:sz w:val="20"/>
                <w:szCs w:val="20"/>
              </w:rPr>
              <w:t xml:space="preserve">the </w:t>
            </w:r>
            <w:commentRangeStart w:id="32"/>
            <w:r>
              <w:rPr>
                <w:color w:val="0070C0"/>
                <w:sz w:val="20"/>
                <w:szCs w:val="20"/>
              </w:rPr>
              <w:t xml:space="preserve">[CSC/ICANN] </w:t>
            </w:r>
            <w:commentRangeEnd w:id="32"/>
            <w:r>
              <w:rPr>
                <w:rStyle w:val="CommentReference"/>
              </w:rPr>
              <w:commentReference w:id="32"/>
            </w:r>
            <w:r>
              <w:rPr>
                <w:color w:val="0070C0"/>
                <w:sz w:val="20"/>
                <w:szCs w:val="20"/>
              </w:rPr>
              <w:t>a performance progress report every month (no later than 15 calendar days following the end of each month) that contains statistical and narrative information on the performance of the IANA functions (</w:t>
            </w:r>
            <w:r>
              <w:rPr>
                <w:iCs/>
                <w:color w:val="0070C0"/>
                <w:sz w:val="20"/>
                <w:szCs w:val="20"/>
              </w:rPr>
              <w:t>i.e.</w:t>
            </w:r>
            <w:r>
              <w:rPr>
                <w:color w:val="0070C0"/>
                <w:sz w:val="20"/>
                <w:szCs w:val="20"/>
              </w:rPr>
              <w:t xml:space="preserve">, assignment of technical protocol parameters; administrative functions associated with root zone management; and allocation of Internet numbering resources) during the previous calendar month. </w:t>
            </w:r>
          </w:p>
          <w:p>
            <w:pPr>
              <w:pStyle w:val="ListParagraph"/>
              <w:numPr>
                <w:ilvl w:val="0"/>
                <w:numId w:val="39"/>
              </w:numPr>
              <w:spacing w:after="60"/>
              <w:ind w:left="252" w:hanging="252"/>
              <w:jc w:val="left"/>
              <w:rPr>
                <w:color w:val="0070C0"/>
                <w:sz w:val="20"/>
                <w:szCs w:val="20"/>
              </w:rPr>
            </w:pPr>
            <w:r>
              <w:rPr>
                <w:color w:val="0070C0"/>
                <w:sz w:val="20"/>
                <w:szCs w:val="20"/>
              </w:rPr>
              <w:t>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 of the ICANN-NTIA Contract.</w:t>
            </w:r>
          </w:p>
        </w:tc>
        <w:tc>
          <w:tcPr>
            <w:tcW w:w="1170" w:type="dxa"/>
          </w:tcPr>
          <w:p>
            <w:pPr>
              <w:spacing w:after="60"/>
              <w:jc w:val="center"/>
              <w:rPr>
                <w:color w:val="0070C0"/>
                <w:sz w:val="20"/>
                <w:szCs w:val="20"/>
              </w:rPr>
            </w:pPr>
            <w:r>
              <w:rPr>
                <w:color w:val="0070C0"/>
                <w:sz w:val="20"/>
                <w:szCs w:val="20"/>
              </w:rPr>
              <w:t>C.4.2</w:t>
            </w:r>
          </w:p>
        </w:tc>
        <w:tc>
          <w:tcPr>
            <w:tcW w:w="1170" w:type="dxa"/>
          </w:tcPr>
          <w:p>
            <w:pPr>
              <w:spacing w:after="60"/>
              <w:jc w:val="center"/>
              <w:rPr>
                <w:color w:val="0070C0"/>
                <w:sz w:val="20"/>
                <w:szCs w:val="20"/>
              </w:rPr>
            </w:pPr>
            <w:r>
              <w:rPr>
                <w:color w:val="0070C0"/>
                <w:sz w:val="20"/>
                <w:szCs w:val="20"/>
              </w:rPr>
              <w:t>Annex F</w:t>
            </w:r>
          </w:p>
        </w:tc>
      </w:tr>
      <w:tr>
        <w:tc>
          <w:tcPr>
            <w:tcW w:w="2178" w:type="dxa"/>
          </w:tcPr>
          <w:p>
            <w:pPr>
              <w:spacing w:after="60"/>
              <w:jc w:val="left"/>
              <w:rPr>
                <w:color w:val="0070C0"/>
                <w:sz w:val="20"/>
                <w:szCs w:val="20"/>
              </w:rPr>
            </w:pPr>
            <w:r>
              <w:rPr>
                <w:color w:val="0070C0"/>
                <w:sz w:val="20"/>
                <w:szCs w:val="20"/>
              </w:rPr>
              <w:t>Root Zone Management dashboard</w:t>
            </w:r>
          </w:p>
        </w:tc>
        <w:tc>
          <w:tcPr>
            <w:tcW w:w="5310" w:type="dxa"/>
          </w:tcPr>
          <w:p>
            <w:pPr>
              <w:pStyle w:val="ListParagraph"/>
              <w:numPr>
                <w:ilvl w:val="0"/>
                <w:numId w:val="40"/>
              </w:numPr>
              <w:spacing w:after="60"/>
              <w:ind w:left="252" w:hanging="252"/>
              <w:jc w:val="left"/>
              <w:rPr>
                <w:color w:val="0070C0"/>
                <w:sz w:val="20"/>
                <w:szCs w:val="20"/>
              </w:rPr>
            </w:pPr>
            <w:r>
              <w:rPr>
                <w:color w:val="0070C0"/>
                <w:sz w:val="20"/>
                <w:szCs w:val="20"/>
              </w:rPr>
              <w:t>PTI shall work collaboratively with</w:t>
            </w:r>
            <w:r>
              <w:rPr>
                <w:bCs/>
                <w:color w:val="0070C0"/>
                <w:sz w:val="20"/>
                <w:szCs w:val="20"/>
              </w:rPr>
              <w:t xml:space="preserve"> [ICANN</w:t>
            </w:r>
            <w:r>
              <w:rPr>
                <w:color w:val="0070C0"/>
                <w:sz w:val="20"/>
                <w:szCs w:val="20"/>
              </w:rPr>
              <w:t>] the RZM, and all Interested and Affected Parties, to maintain and enhance the dashboard to track the process flow for root zone management.</w:t>
            </w:r>
          </w:p>
        </w:tc>
        <w:tc>
          <w:tcPr>
            <w:tcW w:w="1170" w:type="dxa"/>
          </w:tcPr>
          <w:p>
            <w:pPr>
              <w:spacing w:after="60"/>
              <w:jc w:val="center"/>
              <w:rPr>
                <w:color w:val="0070C0"/>
                <w:sz w:val="20"/>
                <w:szCs w:val="20"/>
              </w:rPr>
            </w:pPr>
            <w:r>
              <w:rPr>
                <w:color w:val="0070C0"/>
                <w:sz w:val="20"/>
                <w:szCs w:val="20"/>
              </w:rPr>
              <w:t>C.4.3</w:t>
            </w:r>
          </w:p>
        </w:tc>
        <w:tc>
          <w:tcPr>
            <w:tcW w:w="1170" w:type="dxa"/>
          </w:tcPr>
          <w:p>
            <w:pPr>
              <w:spacing w:after="60"/>
              <w:jc w:val="center"/>
              <w:rPr>
                <w:color w:val="0070C0"/>
                <w:sz w:val="20"/>
                <w:szCs w:val="20"/>
                <w:highlight w:val="yellow"/>
              </w:rPr>
            </w:pPr>
          </w:p>
        </w:tc>
      </w:tr>
      <w:tr>
        <w:tc>
          <w:tcPr>
            <w:tcW w:w="2178" w:type="dxa"/>
          </w:tcPr>
          <w:p>
            <w:pPr>
              <w:spacing w:after="60"/>
              <w:jc w:val="left"/>
              <w:rPr>
                <w:color w:val="0070C0"/>
                <w:sz w:val="20"/>
                <w:szCs w:val="20"/>
              </w:rPr>
            </w:pPr>
            <w:r>
              <w:rPr>
                <w:color w:val="0070C0"/>
                <w:sz w:val="20"/>
                <w:szCs w:val="20"/>
              </w:rPr>
              <w:t>Performance Standards Reports</w:t>
            </w:r>
          </w:p>
          <w:p>
            <w:pPr>
              <w:spacing w:after="60"/>
              <w:jc w:val="left"/>
              <w:rPr>
                <w:color w:val="0070C0"/>
                <w:sz w:val="20"/>
                <w:szCs w:val="20"/>
              </w:rPr>
            </w:pPr>
          </w:p>
          <w:p>
            <w:pPr>
              <w:spacing w:after="60"/>
              <w:jc w:val="left"/>
              <w:rPr>
                <w:color w:val="0070C0"/>
                <w:sz w:val="20"/>
                <w:szCs w:val="20"/>
              </w:rPr>
            </w:pPr>
          </w:p>
          <w:p>
            <w:pPr>
              <w:spacing w:after="60"/>
              <w:jc w:val="left"/>
              <w:rPr>
                <w:color w:val="0070C0"/>
                <w:sz w:val="20"/>
                <w:szCs w:val="20"/>
              </w:rPr>
            </w:pPr>
          </w:p>
          <w:p>
            <w:pPr>
              <w:spacing w:after="60"/>
              <w:jc w:val="left"/>
              <w:rPr>
                <w:color w:val="0070C0"/>
                <w:sz w:val="20"/>
                <w:szCs w:val="20"/>
              </w:rPr>
            </w:pPr>
          </w:p>
        </w:tc>
        <w:tc>
          <w:tcPr>
            <w:tcW w:w="5310" w:type="dxa"/>
          </w:tcPr>
          <w:p>
            <w:pPr>
              <w:pStyle w:val="ListParagraph"/>
              <w:numPr>
                <w:ilvl w:val="0"/>
                <w:numId w:val="40"/>
              </w:numPr>
              <w:spacing w:after="60"/>
              <w:ind w:left="252" w:hanging="252"/>
              <w:jc w:val="left"/>
              <w:rPr>
                <w:color w:val="0070C0"/>
                <w:sz w:val="20"/>
                <w:szCs w:val="20"/>
              </w:rPr>
            </w:pPr>
            <w:r>
              <w:rPr>
                <w:color w:val="0070C0"/>
                <w:sz w:val="20"/>
                <w:szCs w:val="20"/>
              </w:rPr>
              <w:t xml:space="preserve">PTI shall publish reports for each discrete IANA function consistent with Section C.2.8 of the ICANN-NTIA Contract. The Performance Standards Metric Reports will be published via a website every month (no later than 15 calendar days following the end of each month).   </w:t>
            </w:r>
          </w:p>
        </w:tc>
        <w:tc>
          <w:tcPr>
            <w:tcW w:w="1170" w:type="dxa"/>
          </w:tcPr>
          <w:p>
            <w:pPr>
              <w:spacing w:after="60"/>
              <w:jc w:val="center"/>
              <w:rPr>
                <w:color w:val="FF0000"/>
                <w:sz w:val="20"/>
                <w:szCs w:val="20"/>
                <w:highlight w:val="yellow"/>
              </w:rPr>
            </w:pPr>
            <w:r>
              <w:rPr>
                <w:color w:val="0070C0"/>
                <w:sz w:val="20"/>
                <w:szCs w:val="20"/>
              </w:rPr>
              <w:t>C.4.4</w:t>
            </w:r>
          </w:p>
        </w:tc>
        <w:tc>
          <w:tcPr>
            <w:tcW w:w="1170" w:type="dxa"/>
          </w:tcPr>
          <w:p>
            <w:pPr>
              <w:spacing w:after="60"/>
              <w:jc w:val="center"/>
              <w:rPr>
                <w:color w:val="FF0000"/>
                <w:sz w:val="20"/>
                <w:szCs w:val="20"/>
                <w:highlight w:val="yellow"/>
              </w:rPr>
            </w:pPr>
          </w:p>
        </w:tc>
      </w:tr>
      <w:tr>
        <w:tc>
          <w:tcPr>
            <w:tcW w:w="2178" w:type="dxa"/>
          </w:tcPr>
          <w:p>
            <w:pPr>
              <w:spacing w:after="60"/>
              <w:jc w:val="left"/>
              <w:rPr>
                <w:color w:val="0070C0"/>
                <w:sz w:val="20"/>
                <w:szCs w:val="20"/>
              </w:rPr>
            </w:pPr>
            <w:r>
              <w:rPr>
                <w:color w:val="0070C0"/>
                <w:sz w:val="20"/>
                <w:szCs w:val="20"/>
              </w:rPr>
              <w:t>Customer Service Survey</w:t>
            </w:r>
          </w:p>
        </w:tc>
        <w:tc>
          <w:tcPr>
            <w:tcW w:w="5310" w:type="dxa"/>
          </w:tcPr>
          <w:p>
            <w:pPr>
              <w:pStyle w:val="ListParagraph"/>
              <w:numPr>
                <w:ilvl w:val="0"/>
                <w:numId w:val="40"/>
              </w:numPr>
              <w:spacing w:after="60"/>
              <w:ind w:left="252" w:hanging="252"/>
              <w:jc w:val="left"/>
              <w:rPr>
                <w:color w:val="0070C0"/>
                <w:sz w:val="20"/>
                <w:szCs w:val="20"/>
              </w:rPr>
            </w:pPr>
            <w:r>
              <w:rPr>
                <w:color w:val="0070C0"/>
                <w:sz w:val="20"/>
                <w:szCs w:val="20"/>
              </w:rPr>
              <w:t xml:space="preserve">PTI shall collaborate with [CSC/ICANN] to maintain and enhance the annual customer service survey consistent with the performance standards for each of the discrete IANA functions. The survey shall include a </w:t>
            </w:r>
            <w:r>
              <w:rPr>
                <w:color w:val="0070C0"/>
                <w:sz w:val="20"/>
                <w:szCs w:val="20"/>
              </w:rPr>
              <w:lastRenderedPageBreak/>
              <w:t>feedback section for each discrete IANA function. No later than 30 days after conducting the survey, PTI shall submit the CSS Report to ICANN and publicly post the CSS Report.</w:t>
            </w:r>
          </w:p>
        </w:tc>
        <w:tc>
          <w:tcPr>
            <w:tcW w:w="1170" w:type="dxa"/>
          </w:tcPr>
          <w:p>
            <w:pPr>
              <w:spacing w:after="60"/>
              <w:jc w:val="center"/>
              <w:rPr>
                <w:color w:val="0070C0"/>
                <w:sz w:val="20"/>
                <w:szCs w:val="20"/>
              </w:rPr>
            </w:pPr>
            <w:r>
              <w:rPr>
                <w:color w:val="0070C0"/>
                <w:sz w:val="20"/>
                <w:szCs w:val="20"/>
              </w:rPr>
              <w:lastRenderedPageBreak/>
              <w:t>C.4.5</w:t>
            </w:r>
          </w:p>
        </w:tc>
        <w:tc>
          <w:tcPr>
            <w:tcW w:w="1170" w:type="dxa"/>
          </w:tcPr>
          <w:p>
            <w:pPr>
              <w:spacing w:after="60"/>
              <w:jc w:val="center"/>
              <w:rPr>
                <w:color w:val="0070C0"/>
                <w:sz w:val="20"/>
                <w:szCs w:val="20"/>
              </w:rPr>
            </w:pPr>
            <w:r>
              <w:rPr>
                <w:color w:val="0070C0"/>
                <w:sz w:val="20"/>
                <w:szCs w:val="20"/>
              </w:rPr>
              <w:t>Annex F</w:t>
            </w:r>
          </w:p>
        </w:tc>
      </w:tr>
      <w:tr>
        <w:tc>
          <w:tcPr>
            <w:tcW w:w="2178" w:type="dxa"/>
          </w:tcPr>
          <w:p>
            <w:pPr>
              <w:spacing w:after="60"/>
              <w:jc w:val="left"/>
              <w:rPr>
                <w:color w:val="0070C0"/>
                <w:sz w:val="20"/>
                <w:szCs w:val="20"/>
              </w:rPr>
            </w:pPr>
            <w:r>
              <w:rPr>
                <w:color w:val="0070C0"/>
                <w:sz w:val="20"/>
                <w:szCs w:val="20"/>
              </w:rPr>
              <w:lastRenderedPageBreak/>
              <w:t>Final Report</w:t>
            </w:r>
          </w:p>
        </w:tc>
        <w:tc>
          <w:tcPr>
            <w:tcW w:w="5310" w:type="dxa"/>
          </w:tcPr>
          <w:p>
            <w:pPr>
              <w:pStyle w:val="ListParagraph"/>
              <w:numPr>
                <w:ilvl w:val="0"/>
                <w:numId w:val="40"/>
              </w:numPr>
              <w:spacing w:after="60"/>
              <w:ind w:left="252" w:hanging="252"/>
              <w:jc w:val="left"/>
              <w:rPr>
                <w:color w:val="0070C0"/>
                <w:sz w:val="20"/>
                <w:szCs w:val="20"/>
              </w:rPr>
            </w:pPr>
            <w:r>
              <w:rPr>
                <w:color w:val="0070C0"/>
                <w:sz w:val="20"/>
                <w:szCs w:val="20"/>
              </w:rPr>
              <w:t>PTI shall prepare and submit a final report on the</w:t>
            </w:r>
            <w:r>
              <w:rPr>
                <w:b/>
                <w:bCs/>
                <w:color w:val="0070C0"/>
                <w:sz w:val="20"/>
                <w:szCs w:val="20"/>
              </w:rPr>
              <w:t xml:space="preserve"> </w:t>
            </w:r>
            <w:r>
              <w:rPr>
                <w:color w:val="0070C0"/>
                <w:sz w:val="20"/>
                <w:szCs w:val="20"/>
              </w:rPr>
              <w:t>performance of the IANA functions that documents standard operating procedures, including a description of the techniques, methods, software, and tools employed in the performance of the IANA functions. PTI shall submit the report to [CSC/ICANN] no later than 30 days after expiration of the ICANN-PTI Contract.</w:t>
            </w:r>
          </w:p>
        </w:tc>
        <w:tc>
          <w:tcPr>
            <w:tcW w:w="1170" w:type="dxa"/>
          </w:tcPr>
          <w:p>
            <w:pPr>
              <w:spacing w:after="60"/>
              <w:jc w:val="center"/>
              <w:rPr>
                <w:color w:val="0070C0"/>
                <w:sz w:val="20"/>
                <w:szCs w:val="20"/>
              </w:rPr>
            </w:pPr>
            <w:r>
              <w:rPr>
                <w:color w:val="0070C0"/>
                <w:sz w:val="20"/>
                <w:szCs w:val="20"/>
              </w:rPr>
              <w:t>C.4.6</w:t>
            </w:r>
          </w:p>
        </w:tc>
        <w:tc>
          <w:tcPr>
            <w:tcW w:w="1170" w:type="dxa"/>
          </w:tcPr>
          <w:p>
            <w:pPr>
              <w:spacing w:after="60"/>
              <w:jc w:val="center"/>
              <w:rPr>
                <w:color w:val="0070C0"/>
                <w:sz w:val="20"/>
                <w:szCs w:val="20"/>
                <w:highlight w:val="yellow"/>
              </w:rPr>
            </w:pPr>
          </w:p>
        </w:tc>
      </w:tr>
      <w:tr>
        <w:tc>
          <w:tcPr>
            <w:tcW w:w="2178" w:type="dxa"/>
          </w:tcPr>
          <w:p>
            <w:pPr>
              <w:spacing w:after="60"/>
              <w:jc w:val="left"/>
              <w:rPr>
                <w:color w:val="0070C0"/>
                <w:sz w:val="20"/>
                <w:szCs w:val="20"/>
              </w:rPr>
            </w:pPr>
            <w:r>
              <w:rPr>
                <w:color w:val="0070C0"/>
                <w:sz w:val="20"/>
                <w:szCs w:val="20"/>
              </w:rPr>
              <w:t>Inspection and acceptance</w:t>
            </w:r>
          </w:p>
          <w:p>
            <w:pPr>
              <w:spacing w:after="60"/>
              <w:jc w:val="left"/>
              <w:rPr>
                <w:color w:val="0070C0"/>
                <w:sz w:val="20"/>
                <w:szCs w:val="20"/>
              </w:rPr>
            </w:pPr>
          </w:p>
        </w:tc>
        <w:tc>
          <w:tcPr>
            <w:tcW w:w="5310" w:type="dxa"/>
          </w:tcPr>
          <w:p>
            <w:pPr>
              <w:pStyle w:val="ListParagraph"/>
              <w:numPr>
                <w:ilvl w:val="0"/>
                <w:numId w:val="40"/>
              </w:numPr>
              <w:spacing w:after="60"/>
              <w:ind w:left="252" w:hanging="252"/>
              <w:jc w:val="left"/>
              <w:rPr>
                <w:color w:val="0070C0"/>
                <w:sz w:val="20"/>
                <w:szCs w:val="20"/>
              </w:rPr>
            </w:pPr>
            <w:r>
              <w:rPr>
                <w:color w:val="0070C0"/>
                <w:sz w:val="20"/>
                <w:szCs w:val="20"/>
              </w:rPr>
              <w:t>[CSC/ICANN] will perform final inspection and acceptance of</w:t>
            </w:r>
            <w:r>
              <w:rPr>
                <w:b/>
                <w:bCs/>
                <w:color w:val="0070C0"/>
                <w:sz w:val="20"/>
                <w:szCs w:val="20"/>
              </w:rPr>
              <w:t xml:space="preserve"> </w:t>
            </w:r>
            <w:r>
              <w:rPr>
                <w:color w:val="0070C0"/>
                <w:sz w:val="20"/>
                <w:szCs w:val="20"/>
              </w:rPr>
              <w:t xml:space="preserve">all deliverables and reports articulated in Section C.4 of the ICANN-NTIA Contract. </w:t>
            </w:r>
          </w:p>
          <w:p>
            <w:pPr>
              <w:pStyle w:val="ListParagraph"/>
              <w:numPr>
                <w:ilvl w:val="0"/>
                <w:numId w:val="40"/>
              </w:numPr>
              <w:spacing w:after="60"/>
              <w:ind w:left="252" w:hanging="252"/>
              <w:jc w:val="left"/>
              <w:rPr>
                <w:color w:val="0070C0"/>
                <w:sz w:val="20"/>
                <w:szCs w:val="20"/>
              </w:rPr>
            </w:pPr>
            <w:r>
              <w:rPr>
                <w:iCs/>
                <w:color w:val="0070C0"/>
                <w:sz w:val="20"/>
                <w:szCs w:val="20"/>
              </w:rPr>
              <w:t>Prior to publication/posting of reports, PTI shall obtain approval from ICANN, not to be unreasonably withheld or delayed</w:t>
            </w:r>
            <w:r>
              <w:rPr>
                <w:color w:val="0070C0"/>
                <w:sz w:val="20"/>
                <w:szCs w:val="20"/>
              </w:rPr>
              <w:t>.</w:t>
            </w:r>
          </w:p>
        </w:tc>
        <w:tc>
          <w:tcPr>
            <w:tcW w:w="1170" w:type="dxa"/>
          </w:tcPr>
          <w:p>
            <w:pPr>
              <w:spacing w:after="60"/>
              <w:jc w:val="center"/>
              <w:rPr>
                <w:color w:val="0070C0"/>
                <w:sz w:val="20"/>
                <w:szCs w:val="20"/>
              </w:rPr>
            </w:pPr>
            <w:r>
              <w:rPr>
                <w:color w:val="0070C0"/>
                <w:sz w:val="20"/>
                <w:szCs w:val="20"/>
              </w:rPr>
              <w:t>C.4</w:t>
            </w:r>
          </w:p>
        </w:tc>
        <w:tc>
          <w:tcPr>
            <w:tcW w:w="1170" w:type="dxa"/>
          </w:tcPr>
          <w:p>
            <w:pPr>
              <w:spacing w:after="60"/>
              <w:jc w:val="center"/>
              <w:rPr>
                <w:color w:val="0070C0"/>
                <w:sz w:val="20"/>
                <w:szCs w:val="20"/>
                <w:highlight w:val="yellow"/>
              </w:rPr>
            </w:pPr>
          </w:p>
        </w:tc>
      </w:tr>
      <w:tr>
        <w:tc>
          <w:tcPr>
            <w:tcW w:w="2178" w:type="dxa"/>
          </w:tcPr>
          <w:p>
            <w:pPr>
              <w:spacing w:after="60"/>
              <w:jc w:val="left"/>
              <w:rPr>
                <w:b/>
                <w:color w:val="0070C0"/>
                <w:sz w:val="20"/>
                <w:szCs w:val="20"/>
              </w:rPr>
            </w:pPr>
            <w:r>
              <w:rPr>
                <w:b/>
                <w:color w:val="0070C0"/>
                <w:sz w:val="20"/>
                <w:szCs w:val="20"/>
              </w:rPr>
              <w:t>AUDIT REQUIREMENTS / IANA FUNCTION REVIEW &amp; IFRT</w:t>
            </w:r>
          </w:p>
          <w:p>
            <w:pPr>
              <w:spacing w:after="60"/>
              <w:jc w:val="left"/>
              <w:rPr>
                <w:b/>
                <w:color w:val="0070C0"/>
                <w:sz w:val="20"/>
                <w:szCs w:val="20"/>
              </w:rPr>
            </w:pPr>
          </w:p>
          <w:p>
            <w:pPr>
              <w:spacing w:after="60"/>
              <w:jc w:val="left"/>
              <w:rPr>
                <w:b/>
                <w:color w:val="0070C0"/>
                <w:sz w:val="20"/>
                <w:szCs w:val="20"/>
              </w:rPr>
            </w:pPr>
          </w:p>
        </w:tc>
        <w:tc>
          <w:tcPr>
            <w:tcW w:w="5310" w:type="dxa"/>
          </w:tcPr>
          <w:p>
            <w:pPr>
              <w:pStyle w:val="ListParagraph"/>
              <w:numPr>
                <w:ilvl w:val="0"/>
                <w:numId w:val="47"/>
              </w:numPr>
              <w:spacing w:after="60" w:line="259" w:lineRule="auto"/>
              <w:jc w:val="left"/>
              <w:rPr>
                <w:color w:val="0070C0"/>
                <w:sz w:val="20"/>
                <w:szCs w:val="20"/>
              </w:rPr>
            </w:pPr>
            <w:r>
              <w:rPr>
                <w:color w:val="0070C0"/>
                <w:sz w:val="20"/>
                <w:szCs w:val="20"/>
              </w:rPr>
              <w:t>Retain provisions from current ICANN-NTIA Contract, except that ICANN is the CO and COR.</w:t>
            </w:r>
          </w:p>
          <w:p>
            <w:pPr>
              <w:pStyle w:val="ListParagraph"/>
              <w:numPr>
                <w:ilvl w:val="0"/>
                <w:numId w:val="47"/>
              </w:numPr>
              <w:spacing w:after="60" w:line="259" w:lineRule="auto"/>
              <w:jc w:val="left"/>
              <w:rPr>
                <w:color w:val="0070C0"/>
                <w:sz w:val="20"/>
                <w:szCs w:val="20"/>
              </w:rPr>
            </w:pPr>
            <w:r>
              <w:rPr>
                <w:color w:val="0070C0"/>
                <w:sz w:val="20"/>
                <w:szCs w:val="20"/>
              </w:rPr>
              <w:t xml:space="preserve">PTI shall submit to the procedures and scope of the IFR and CSC as set forth in ICANN governance documents. </w:t>
            </w:r>
          </w:p>
          <w:p>
            <w:pPr>
              <w:pStyle w:val="ListParagraph"/>
              <w:numPr>
                <w:ilvl w:val="0"/>
                <w:numId w:val="47"/>
              </w:numPr>
              <w:spacing w:after="60" w:line="259" w:lineRule="auto"/>
              <w:jc w:val="left"/>
              <w:rPr>
                <w:color w:val="0070C0"/>
                <w:sz w:val="20"/>
                <w:szCs w:val="20"/>
              </w:rPr>
            </w:pPr>
            <w:r>
              <w:rPr>
                <w:color w:val="0070C0"/>
                <w:sz w:val="20"/>
                <w:szCs w:val="20"/>
              </w:rPr>
              <w:t xml:space="preserve">PTI agrees to make any necessary changes, including amendment to the ICANN-PTI Contract, as adopted and implemented by ICANN following an IFR. </w:t>
            </w:r>
          </w:p>
        </w:tc>
        <w:tc>
          <w:tcPr>
            <w:tcW w:w="1170" w:type="dxa"/>
          </w:tcPr>
          <w:p>
            <w:pPr>
              <w:spacing w:after="60"/>
              <w:jc w:val="center"/>
              <w:rPr>
                <w:color w:val="0070C0"/>
                <w:sz w:val="20"/>
                <w:szCs w:val="20"/>
              </w:rPr>
            </w:pPr>
            <w:r>
              <w:rPr>
                <w:color w:val="0070C0"/>
                <w:sz w:val="20"/>
                <w:szCs w:val="20"/>
              </w:rPr>
              <w:t>C.5</w:t>
            </w:r>
          </w:p>
        </w:tc>
        <w:tc>
          <w:tcPr>
            <w:tcW w:w="1170" w:type="dxa"/>
          </w:tcPr>
          <w:p>
            <w:pPr>
              <w:spacing w:after="60"/>
              <w:jc w:val="center"/>
              <w:rPr>
                <w:color w:val="0070C0"/>
                <w:sz w:val="20"/>
                <w:szCs w:val="20"/>
                <w:highlight w:val="green"/>
              </w:rPr>
            </w:pPr>
            <w:r>
              <w:rPr>
                <w:color w:val="0070C0"/>
                <w:sz w:val="20"/>
                <w:szCs w:val="20"/>
              </w:rPr>
              <w:t>Annex F</w:t>
            </w:r>
          </w:p>
        </w:tc>
      </w:tr>
      <w:tr>
        <w:tc>
          <w:tcPr>
            <w:tcW w:w="2178" w:type="dxa"/>
          </w:tcPr>
          <w:p>
            <w:pPr>
              <w:spacing w:after="60"/>
              <w:jc w:val="left"/>
              <w:rPr>
                <w:b/>
                <w:color w:val="0070C0"/>
                <w:sz w:val="20"/>
                <w:szCs w:val="20"/>
              </w:rPr>
            </w:pPr>
            <w:r>
              <w:rPr>
                <w:b/>
                <w:color w:val="0070C0"/>
                <w:sz w:val="20"/>
                <w:szCs w:val="20"/>
              </w:rPr>
              <w:t>CONFLICT OF INTEREST REQUIREMENTS</w:t>
            </w:r>
          </w:p>
        </w:tc>
        <w:tc>
          <w:tcPr>
            <w:tcW w:w="5310" w:type="dxa"/>
          </w:tcPr>
          <w:p>
            <w:pPr>
              <w:spacing w:after="60"/>
              <w:rPr>
                <w:color w:val="0070C0"/>
                <w:sz w:val="20"/>
                <w:szCs w:val="20"/>
              </w:rPr>
            </w:pPr>
            <w:r>
              <w:rPr>
                <w:color w:val="0070C0"/>
                <w:sz w:val="20"/>
                <w:szCs w:val="20"/>
              </w:rPr>
              <w:t>Retain provisions from current ICANN-NTIA.</w:t>
            </w:r>
          </w:p>
        </w:tc>
        <w:tc>
          <w:tcPr>
            <w:tcW w:w="1170" w:type="dxa"/>
          </w:tcPr>
          <w:p>
            <w:pPr>
              <w:spacing w:after="60"/>
              <w:jc w:val="center"/>
              <w:rPr>
                <w:color w:val="0070C0"/>
                <w:sz w:val="20"/>
                <w:szCs w:val="20"/>
              </w:rPr>
            </w:pPr>
            <w:r>
              <w:rPr>
                <w:color w:val="0070C0"/>
                <w:sz w:val="20"/>
                <w:szCs w:val="20"/>
              </w:rPr>
              <w:t>C.6, H.9</w:t>
            </w:r>
          </w:p>
        </w:tc>
        <w:tc>
          <w:tcPr>
            <w:tcW w:w="1170" w:type="dxa"/>
          </w:tcPr>
          <w:p>
            <w:pPr>
              <w:spacing w:after="60"/>
              <w:jc w:val="center"/>
              <w:rPr>
                <w:color w:val="0070C0"/>
                <w:sz w:val="20"/>
                <w:szCs w:val="20"/>
                <w:highlight w:val="yellow"/>
              </w:rPr>
            </w:pPr>
          </w:p>
        </w:tc>
      </w:tr>
      <w:tr>
        <w:tc>
          <w:tcPr>
            <w:tcW w:w="2178" w:type="dxa"/>
          </w:tcPr>
          <w:p>
            <w:pPr>
              <w:spacing w:after="60"/>
              <w:jc w:val="left"/>
              <w:rPr>
                <w:b/>
                <w:color w:val="000000"/>
                <w:sz w:val="20"/>
                <w:szCs w:val="20"/>
              </w:rPr>
            </w:pPr>
            <w:r>
              <w:rPr>
                <w:b/>
                <w:color w:val="000000"/>
                <w:sz w:val="20"/>
                <w:szCs w:val="20"/>
              </w:rPr>
              <w:t>PERFORMANCE EXCLUSIONS</w:t>
            </w:r>
          </w:p>
        </w:tc>
        <w:tc>
          <w:tcPr>
            <w:tcW w:w="5310" w:type="dxa"/>
          </w:tcPr>
          <w:p>
            <w:pPr>
              <w:spacing w:after="60"/>
              <w:rPr>
                <w:color w:val="000000"/>
                <w:sz w:val="20"/>
                <w:szCs w:val="20"/>
              </w:rPr>
            </w:pP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p>
        </w:tc>
      </w:tr>
      <w:tr>
        <w:tc>
          <w:tcPr>
            <w:tcW w:w="2178" w:type="dxa"/>
          </w:tcPr>
          <w:p>
            <w:pPr>
              <w:spacing w:after="60"/>
              <w:jc w:val="left"/>
              <w:rPr>
                <w:color w:val="0070C0"/>
                <w:sz w:val="20"/>
                <w:szCs w:val="20"/>
              </w:rPr>
            </w:pPr>
            <w:r>
              <w:rPr>
                <w:color w:val="0070C0"/>
                <w:sz w:val="20"/>
                <w:szCs w:val="20"/>
              </w:rPr>
              <w:t>PTI not authorized to make changes to Root Zone; link to VeriSign Cooperative Agreement</w:t>
            </w:r>
          </w:p>
        </w:tc>
        <w:tc>
          <w:tcPr>
            <w:tcW w:w="5310" w:type="dxa"/>
          </w:tcPr>
          <w:p>
            <w:pPr>
              <w:spacing w:after="60"/>
              <w:rPr>
                <w:color w:val="0070C0"/>
                <w:sz w:val="20"/>
                <w:szCs w:val="20"/>
              </w:rPr>
            </w:pPr>
            <w:r>
              <w:rPr>
                <w:color w:val="0070C0"/>
                <w:sz w:val="20"/>
                <w:szCs w:val="20"/>
              </w:rPr>
              <w:t xml:space="preserve">PTI not authorized to make modifications, additions, or deletions to the root zone file or associated information. (The ICANN-PTI Contract will not alter the root zone file responsibilities as set forth in Amendment 11 of the [Cooperative Agreement NCR-9218742 between the U.S. Department of Commerce and VeriSign, Inc. or any successor entity]). See Amendment 11 at </w:t>
            </w:r>
            <w:hyperlink r:id="rId9" w:history="1">
              <w:r>
                <w:rPr>
                  <w:color w:val="0070C0"/>
                  <w:sz w:val="20"/>
                  <w:szCs w:val="20"/>
                </w:rPr>
                <w:t xml:space="preserve"> http://ntia.doc.gov/files/ntia/publications/amend11_052206.pd</w:t>
              </w:r>
            </w:hyperlink>
            <w:r>
              <w:rPr>
                <w:color w:val="0070C0"/>
                <w:sz w:val="20"/>
                <w:szCs w:val="20"/>
              </w:rPr>
              <w:t>f.</w:t>
            </w:r>
          </w:p>
        </w:tc>
        <w:tc>
          <w:tcPr>
            <w:tcW w:w="1170" w:type="dxa"/>
          </w:tcPr>
          <w:p>
            <w:pPr>
              <w:spacing w:after="60"/>
              <w:jc w:val="center"/>
              <w:rPr>
                <w:color w:val="0070C0"/>
                <w:sz w:val="20"/>
                <w:szCs w:val="20"/>
              </w:rPr>
            </w:pPr>
            <w:r>
              <w:rPr>
                <w:color w:val="0070C0"/>
                <w:sz w:val="20"/>
                <w:szCs w:val="20"/>
              </w:rPr>
              <w:t>C.8.1</w:t>
            </w:r>
          </w:p>
        </w:tc>
        <w:tc>
          <w:tcPr>
            <w:tcW w:w="1170" w:type="dxa"/>
          </w:tcPr>
          <w:p>
            <w:pPr>
              <w:spacing w:after="60"/>
              <w:jc w:val="center"/>
              <w:rPr>
                <w:color w:val="FF0000"/>
                <w:sz w:val="20"/>
                <w:szCs w:val="20"/>
                <w:highlight w:val="yellow"/>
              </w:rPr>
            </w:pPr>
          </w:p>
        </w:tc>
      </w:tr>
      <w:tr>
        <w:tc>
          <w:tcPr>
            <w:tcW w:w="2178" w:type="dxa"/>
          </w:tcPr>
          <w:p>
            <w:pPr>
              <w:spacing w:after="60"/>
              <w:jc w:val="left"/>
              <w:rPr>
                <w:color w:val="0070C0"/>
                <w:sz w:val="20"/>
                <w:szCs w:val="20"/>
              </w:rPr>
            </w:pPr>
            <w:r>
              <w:rPr>
                <w:color w:val="0070C0"/>
                <w:sz w:val="20"/>
                <w:szCs w:val="20"/>
              </w:rPr>
              <w:t xml:space="preserve">PTI not to change policies and procedures or </w:t>
            </w:r>
            <w:r>
              <w:rPr>
                <w:color w:val="0070C0"/>
                <w:sz w:val="20"/>
                <w:szCs w:val="20"/>
              </w:rPr>
              <w:lastRenderedPageBreak/>
              <w:t xml:space="preserve">methods </w:t>
            </w:r>
          </w:p>
        </w:tc>
        <w:tc>
          <w:tcPr>
            <w:tcW w:w="5310" w:type="dxa"/>
          </w:tcPr>
          <w:p>
            <w:pPr>
              <w:spacing w:after="60"/>
              <w:rPr>
                <w:color w:val="0070C0"/>
                <w:sz w:val="20"/>
                <w:szCs w:val="20"/>
              </w:rPr>
            </w:pPr>
            <w:r>
              <w:rPr>
                <w:color w:val="0070C0"/>
                <w:sz w:val="20"/>
                <w:szCs w:val="20"/>
              </w:rPr>
              <w:lastRenderedPageBreak/>
              <w:t>PTI not authorized to make material changes in the policies</w:t>
            </w:r>
            <w:r>
              <w:rPr>
                <w:b/>
                <w:bCs/>
                <w:color w:val="0070C0"/>
                <w:sz w:val="20"/>
                <w:szCs w:val="20"/>
              </w:rPr>
              <w:t xml:space="preserve"> </w:t>
            </w:r>
            <w:r>
              <w:rPr>
                <w:color w:val="0070C0"/>
                <w:sz w:val="20"/>
                <w:szCs w:val="20"/>
              </w:rPr>
              <w:t xml:space="preserve">and procedures developed by the relevant entities associated with the performance of the IANA functions. PTI shall not change or implement the </w:t>
            </w:r>
            <w:r>
              <w:rPr>
                <w:color w:val="0070C0"/>
                <w:sz w:val="20"/>
                <w:szCs w:val="20"/>
              </w:rPr>
              <w:lastRenderedPageBreak/>
              <w:t>established methods associated with the performance of the IANA functions without prior approval of ICANN.</w:t>
            </w:r>
          </w:p>
        </w:tc>
        <w:tc>
          <w:tcPr>
            <w:tcW w:w="1170" w:type="dxa"/>
          </w:tcPr>
          <w:p>
            <w:pPr>
              <w:spacing w:after="60"/>
              <w:jc w:val="center"/>
              <w:rPr>
                <w:color w:val="0070C0"/>
                <w:sz w:val="20"/>
                <w:szCs w:val="20"/>
              </w:rPr>
            </w:pPr>
            <w:r>
              <w:rPr>
                <w:color w:val="0070C0"/>
                <w:sz w:val="20"/>
                <w:szCs w:val="20"/>
              </w:rPr>
              <w:lastRenderedPageBreak/>
              <w:t>C.8.2</w:t>
            </w:r>
          </w:p>
        </w:tc>
        <w:tc>
          <w:tcPr>
            <w:tcW w:w="1170" w:type="dxa"/>
          </w:tcPr>
          <w:p>
            <w:pPr>
              <w:spacing w:after="60"/>
              <w:jc w:val="center"/>
              <w:rPr>
                <w:color w:val="0070C0"/>
                <w:sz w:val="20"/>
                <w:szCs w:val="20"/>
                <w:highlight w:val="yellow"/>
              </w:rPr>
            </w:pPr>
          </w:p>
        </w:tc>
      </w:tr>
      <w:tr>
        <w:tc>
          <w:tcPr>
            <w:tcW w:w="2178" w:type="dxa"/>
          </w:tcPr>
          <w:p>
            <w:pPr>
              <w:spacing w:after="60"/>
              <w:jc w:val="left"/>
              <w:rPr>
                <w:color w:val="0070C0"/>
                <w:sz w:val="20"/>
                <w:szCs w:val="20"/>
              </w:rPr>
            </w:pPr>
            <w:r>
              <w:rPr>
                <w:color w:val="0070C0"/>
                <w:sz w:val="20"/>
                <w:szCs w:val="20"/>
              </w:rPr>
              <w:lastRenderedPageBreak/>
              <w:t>Relationship to other contracts</w:t>
            </w:r>
          </w:p>
        </w:tc>
        <w:tc>
          <w:tcPr>
            <w:tcW w:w="5310" w:type="dxa"/>
          </w:tcPr>
          <w:p>
            <w:pPr>
              <w:spacing w:after="60"/>
              <w:rPr>
                <w:color w:val="0070C0"/>
                <w:sz w:val="20"/>
                <w:szCs w:val="20"/>
              </w:rPr>
            </w:pPr>
            <w:r>
              <w:rPr>
                <w:color w:val="0070C0"/>
                <w:sz w:val="20"/>
                <w:szCs w:val="20"/>
              </w:rPr>
              <w:t>The performance of the functions under the ICANN-PTI Contract, including the development of recommendations in connection with Section C.2.9.2 of the ICANN-NTIA Contract, shall not be, in any manner, predicated or conditioned on the existence or entry into any contract, agreement or negotiation between PTI and any party requesting such changes or any other third-party. Compliance with this Section must be consistent with C.2.9.2d of the ICANN-NTIA Contract.</w:t>
            </w:r>
          </w:p>
        </w:tc>
        <w:tc>
          <w:tcPr>
            <w:tcW w:w="1170" w:type="dxa"/>
          </w:tcPr>
          <w:p>
            <w:pPr>
              <w:spacing w:after="60"/>
              <w:jc w:val="center"/>
              <w:rPr>
                <w:color w:val="0070C0"/>
                <w:sz w:val="20"/>
                <w:szCs w:val="20"/>
              </w:rPr>
            </w:pPr>
            <w:r>
              <w:rPr>
                <w:color w:val="0070C0"/>
                <w:sz w:val="20"/>
                <w:szCs w:val="20"/>
              </w:rPr>
              <w:t>C.8.3 (which cross-references C.2.9.2)</w:t>
            </w:r>
          </w:p>
        </w:tc>
        <w:tc>
          <w:tcPr>
            <w:tcW w:w="1170" w:type="dxa"/>
          </w:tcPr>
          <w:p>
            <w:pPr>
              <w:spacing w:after="60"/>
              <w:jc w:val="center"/>
              <w:rPr>
                <w:color w:val="FF0000"/>
                <w:sz w:val="20"/>
                <w:szCs w:val="20"/>
                <w:highlight w:val="yellow"/>
              </w:rPr>
            </w:pPr>
          </w:p>
        </w:tc>
      </w:tr>
      <w:tr>
        <w:tc>
          <w:tcPr>
            <w:tcW w:w="2178" w:type="dxa"/>
          </w:tcPr>
          <w:p>
            <w:pPr>
              <w:spacing w:after="60"/>
              <w:jc w:val="left"/>
              <w:rPr>
                <w:color w:val="0070C0"/>
                <w:sz w:val="20"/>
                <w:szCs w:val="20"/>
              </w:rPr>
            </w:pPr>
            <w:r>
              <w:rPr>
                <w:color w:val="0070C0"/>
                <w:sz w:val="20"/>
                <w:szCs w:val="20"/>
              </w:rPr>
              <w:t>Baseline Requirements for DNSSEC in the Authoritative Root Zone</w:t>
            </w:r>
          </w:p>
        </w:tc>
        <w:tc>
          <w:tcPr>
            <w:tcW w:w="5310" w:type="dxa"/>
          </w:tcPr>
          <w:p>
            <w:pPr>
              <w:spacing w:after="60"/>
              <w:rPr>
                <w:color w:val="0070C0"/>
                <w:sz w:val="20"/>
                <w:szCs w:val="20"/>
              </w:rPr>
            </w:pPr>
            <w:r>
              <w:rPr>
                <w:color w:val="0070C0"/>
                <w:sz w:val="20"/>
                <w:szCs w:val="20"/>
              </w:rPr>
              <w:t>DNSSEC at the authoritative Root Zone requires cooperation and collaboration between the root zone management partners and ICANN. The baseline requirements encompass the responsibilities and requirements for both PTI and the RZM, to be retained as set forth in Appendix 2 to the ICANN-NTIA Contract.</w:t>
            </w:r>
          </w:p>
        </w:tc>
        <w:tc>
          <w:tcPr>
            <w:tcW w:w="1170" w:type="dxa"/>
          </w:tcPr>
          <w:p>
            <w:pPr>
              <w:spacing w:after="60"/>
              <w:jc w:val="center"/>
              <w:rPr>
                <w:color w:val="0070C0"/>
                <w:sz w:val="20"/>
                <w:szCs w:val="20"/>
              </w:rPr>
            </w:pPr>
            <w:r>
              <w:rPr>
                <w:color w:val="0070C0"/>
                <w:sz w:val="20"/>
                <w:szCs w:val="20"/>
              </w:rPr>
              <w:t>Appendix 2</w:t>
            </w:r>
          </w:p>
        </w:tc>
        <w:tc>
          <w:tcPr>
            <w:tcW w:w="1170" w:type="dxa"/>
          </w:tcPr>
          <w:p>
            <w:pPr>
              <w:spacing w:after="60"/>
              <w:jc w:val="center"/>
              <w:rPr>
                <w:color w:val="FF0000"/>
                <w:sz w:val="20"/>
                <w:szCs w:val="20"/>
                <w:highlight w:val="yellow"/>
              </w:rPr>
            </w:pPr>
          </w:p>
        </w:tc>
      </w:tr>
      <w:tr>
        <w:tc>
          <w:tcPr>
            <w:tcW w:w="2178" w:type="dxa"/>
          </w:tcPr>
          <w:p>
            <w:pPr>
              <w:spacing w:after="60"/>
              <w:jc w:val="left"/>
              <w:rPr>
                <w:b/>
                <w:color w:val="0070C0"/>
                <w:sz w:val="20"/>
                <w:szCs w:val="20"/>
              </w:rPr>
            </w:pPr>
            <w:commentRangeStart w:id="33"/>
            <w:r>
              <w:rPr>
                <w:b/>
                <w:color w:val="0070C0"/>
                <w:sz w:val="20"/>
                <w:szCs w:val="20"/>
              </w:rPr>
              <w:t>INSPECTION AND ACCEPTANCE</w:t>
            </w:r>
            <w:commentRangeEnd w:id="33"/>
            <w:r>
              <w:rPr>
                <w:rStyle w:val="CommentReference"/>
              </w:rPr>
              <w:commentReference w:id="33"/>
            </w:r>
          </w:p>
        </w:tc>
        <w:tc>
          <w:tcPr>
            <w:tcW w:w="5310" w:type="dxa"/>
          </w:tcPr>
          <w:p>
            <w:pPr>
              <w:spacing w:after="60"/>
              <w:rPr>
                <w:rFonts w:eastAsiaTheme="majorEastAsia" w:cs="Times New Roman"/>
                <w:bCs/>
                <w:color w:val="0070C0"/>
                <w:sz w:val="20"/>
                <w:szCs w:val="20"/>
              </w:rPr>
            </w:pPr>
            <w:r>
              <w:rPr>
                <w:color w:val="0070C0"/>
                <w:sz w:val="20"/>
                <w:szCs w:val="20"/>
              </w:rPr>
              <w:t>ICANN will perform representative final inspection and acceptance of all work performed, written communications regardless of form, reports, and other services and deliverables related to Section C prior to any publication/posting called for by the ICANN-PTI Contract. Any deficiencies shall be corrected by PTI and resubmitted to ICANN within 10 workdays after notification.</w:t>
            </w:r>
          </w:p>
        </w:tc>
        <w:tc>
          <w:tcPr>
            <w:tcW w:w="1170" w:type="dxa"/>
          </w:tcPr>
          <w:p>
            <w:pPr>
              <w:spacing w:after="60"/>
              <w:jc w:val="center"/>
              <w:rPr>
                <w:color w:val="0070C0"/>
                <w:sz w:val="20"/>
                <w:szCs w:val="20"/>
              </w:rPr>
            </w:pPr>
            <w:r>
              <w:rPr>
                <w:color w:val="0070C0"/>
                <w:sz w:val="20"/>
                <w:szCs w:val="20"/>
              </w:rPr>
              <w:t>E</w:t>
            </w:r>
          </w:p>
        </w:tc>
        <w:tc>
          <w:tcPr>
            <w:tcW w:w="1170" w:type="dxa"/>
          </w:tcPr>
          <w:p>
            <w:pPr>
              <w:spacing w:after="60"/>
              <w:jc w:val="center"/>
              <w:rPr>
                <w:color w:val="0070C0"/>
                <w:sz w:val="20"/>
                <w:szCs w:val="20"/>
                <w:highlight w:val="yellow"/>
              </w:rPr>
            </w:pPr>
          </w:p>
        </w:tc>
      </w:tr>
      <w:tr>
        <w:tc>
          <w:tcPr>
            <w:tcW w:w="2178" w:type="dxa"/>
          </w:tcPr>
          <w:p>
            <w:pPr>
              <w:spacing w:after="60"/>
              <w:jc w:val="left"/>
              <w:rPr>
                <w:b/>
                <w:color w:val="000000"/>
                <w:sz w:val="20"/>
                <w:szCs w:val="20"/>
              </w:rPr>
            </w:pPr>
            <w:r>
              <w:rPr>
                <w:b/>
                <w:color w:val="000000"/>
                <w:sz w:val="20"/>
                <w:szCs w:val="20"/>
              </w:rPr>
              <w:t>INTELLECTUAL PROPERTY</w:t>
            </w:r>
          </w:p>
        </w:tc>
        <w:tc>
          <w:tcPr>
            <w:tcW w:w="5310" w:type="dxa"/>
          </w:tcPr>
          <w:p>
            <w:pPr>
              <w:spacing w:after="60"/>
              <w:rPr>
                <w:color w:val="000000"/>
                <w:sz w:val="20"/>
                <w:szCs w:val="20"/>
              </w:rPr>
            </w:pPr>
          </w:p>
        </w:tc>
        <w:tc>
          <w:tcPr>
            <w:tcW w:w="1170" w:type="dxa"/>
          </w:tcPr>
          <w:p>
            <w:pPr>
              <w:spacing w:after="60"/>
              <w:jc w:val="center"/>
              <w:rPr>
                <w:color w:val="000000"/>
                <w:sz w:val="20"/>
                <w:szCs w:val="20"/>
              </w:rPr>
            </w:pPr>
          </w:p>
        </w:tc>
        <w:tc>
          <w:tcPr>
            <w:tcW w:w="1170" w:type="dxa"/>
          </w:tcPr>
          <w:p>
            <w:pPr>
              <w:spacing w:after="60"/>
              <w:jc w:val="center"/>
              <w:rPr>
                <w:color w:val="000000"/>
                <w:sz w:val="20"/>
                <w:szCs w:val="20"/>
              </w:rPr>
            </w:pPr>
          </w:p>
        </w:tc>
      </w:tr>
      <w:tr>
        <w:tc>
          <w:tcPr>
            <w:tcW w:w="2178" w:type="dxa"/>
          </w:tcPr>
          <w:p>
            <w:pPr>
              <w:spacing w:after="60"/>
              <w:jc w:val="left"/>
              <w:rPr>
                <w:sz w:val="20"/>
                <w:szCs w:val="20"/>
              </w:rPr>
            </w:pPr>
            <w:r>
              <w:rPr>
                <w:sz w:val="20"/>
                <w:szCs w:val="20"/>
              </w:rPr>
              <w:t>Patents and Copyrights</w:t>
            </w:r>
          </w:p>
          <w:p>
            <w:pPr>
              <w:spacing w:after="60"/>
              <w:jc w:val="left"/>
              <w:rPr>
                <w:sz w:val="20"/>
                <w:szCs w:val="20"/>
              </w:rPr>
            </w:pPr>
          </w:p>
          <w:p>
            <w:pPr>
              <w:spacing w:after="60"/>
              <w:jc w:val="left"/>
              <w:rPr>
                <w:sz w:val="20"/>
                <w:szCs w:val="20"/>
              </w:rPr>
            </w:pPr>
          </w:p>
          <w:p>
            <w:pPr>
              <w:spacing w:after="60"/>
              <w:jc w:val="left"/>
              <w:rPr>
                <w:sz w:val="20"/>
                <w:szCs w:val="20"/>
              </w:rPr>
            </w:pPr>
          </w:p>
        </w:tc>
        <w:tc>
          <w:tcPr>
            <w:tcW w:w="5310" w:type="dxa"/>
          </w:tcPr>
          <w:p>
            <w:pPr>
              <w:spacing w:after="60"/>
              <w:rPr>
                <w:sz w:val="20"/>
                <w:szCs w:val="20"/>
              </w:rPr>
            </w:pPr>
            <w:r>
              <w:rPr>
                <w:sz w:val="20"/>
                <w:szCs w:val="20"/>
              </w:rPr>
              <w:t>ICANN shall own all intellectual property conceived, reduced to practice, created or otherwise developed by PTI under the Contract.</w:t>
            </w:r>
          </w:p>
          <w:p>
            <w:pPr>
              <w:spacing w:after="60"/>
              <w:rPr>
                <w:sz w:val="20"/>
                <w:szCs w:val="20"/>
              </w:rPr>
            </w:pPr>
            <w:commentRangeStart w:id="34"/>
            <w:r>
              <w:rPr>
                <w:sz w:val="20"/>
                <w:szCs w:val="20"/>
              </w:rPr>
              <w:t xml:space="preserve">PTI shall assign, and shall cause any employees or contractors to assign, all rights in any patentable subject matter, patent applications, copyrights, trade secrets and all other intellectual property created by the PTI during the course of PTI’s duties under the ICANN-PTI Contract to ICANN. </w:t>
            </w:r>
            <w:commentRangeEnd w:id="34"/>
            <w:r>
              <w:rPr>
                <w:rStyle w:val="CommentReference"/>
              </w:rPr>
              <w:commentReference w:id="34"/>
            </w:r>
          </w:p>
          <w:p>
            <w:pPr>
              <w:spacing w:after="60"/>
              <w:rPr>
                <w:sz w:val="20"/>
                <w:szCs w:val="20"/>
              </w:rPr>
            </w:pPr>
            <w:r>
              <w:rPr>
                <w:sz w:val="20"/>
                <w:szCs w:val="20"/>
              </w:rPr>
              <w:t>With respect to copyright, the ICANN-PTI Contract is a “work for hire” agreement and ICANN shall be deemed the author and shall own all copyrightable works created by PTI hereunder, and all copyright rights thereto.  In the event this is not deemed a work for hire agreement, PTI shall assign ownership of the copyrightable works and copyrights to ICANN.</w:t>
            </w:r>
          </w:p>
          <w:p>
            <w:pPr>
              <w:spacing w:after="60"/>
              <w:rPr>
                <w:sz w:val="20"/>
                <w:szCs w:val="20"/>
              </w:rPr>
            </w:pPr>
            <w:r>
              <w:rPr>
                <w:sz w:val="20"/>
                <w:szCs w:val="20"/>
              </w:rPr>
              <w:t xml:space="preserve">ICANN shall license back any patents, patent applications, copyrights and trademarks to PTI for the duration of the ICANN-PTI Contract solely to the extent </w:t>
            </w:r>
            <w:r>
              <w:rPr>
                <w:sz w:val="20"/>
                <w:szCs w:val="20"/>
              </w:rPr>
              <w:lastRenderedPageBreak/>
              <w:t>necessary for PTI to perform its obligations under the ICANN-PTI Contract.  This license shall be non-exclusive and royalty-free.</w:t>
            </w:r>
          </w:p>
        </w:tc>
        <w:tc>
          <w:tcPr>
            <w:tcW w:w="1170" w:type="dxa"/>
          </w:tcPr>
          <w:p>
            <w:pPr>
              <w:spacing w:after="60"/>
              <w:jc w:val="center"/>
              <w:rPr>
                <w:sz w:val="20"/>
                <w:szCs w:val="20"/>
              </w:rPr>
            </w:pPr>
            <w:r>
              <w:rPr>
                <w:sz w:val="20"/>
                <w:szCs w:val="20"/>
              </w:rPr>
              <w:lastRenderedPageBreak/>
              <w:t>H.2</w:t>
            </w:r>
          </w:p>
        </w:tc>
        <w:tc>
          <w:tcPr>
            <w:tcW w:w="1170" w:type="dxa"/>
          </w:tcPr>
          <w:p>
            <w:pPr>
              <w:spacing w:after="60"/>
              <w:jc w:val="center"/>
              <w:rPr>
                <w:color w:val="7030A0"/>
                <w:sz w:val="20"/>
                <w:szCs w:val="20"/>
              </w:rPr>
            </w:pPr>
          </w:p>
        </w:tc>
      </w:tr>
      <w:tr>
        <w:tc>
          <w:tcPr>
            <w:tcW w:w="2178" w:type="dxa"/>
          </w:tcPr>
          <w:p>
            <w:pPr>
              <w:spacing w:after="60"/>
              <w:jc w:val="left"/>
              <w:rPr>
                <w:b/>
                <w:color w:val="000000"/>
                <w:sz w:val="20"/>
                <w:szCs w:val="20"/>
              </w:rPr>
            </w:pPr>
            <w:r>
              <w:rPr>
                <w:b/>
                <w:color w:val="000000"/>
                <w:sz w:val="20"/>
                <w:szCs w:val="20"/>
              </w:rPr>
              <w:lastRenderedPageBreak/>
              <w:t>CONFIDENTIALITY AND DATA PROTECTION</w:t>
            </w:r>
          </w:p>
        </w:tc>
        <w:tc>
          <w:tcPr>
            <w:tcW w:w="5310" w:type="dxa"/>
          </w:tcPr>
          <w:p>
            <w:pPr>
              <w:spacing w:after="60"/>
              <w:rPr>
                <w:color w:val="000000"/>
                <w:sz w:val="20"/>
                <w:szCs w:val="20"/>
              </w:rPr>
            </w:pPr>
            <w:r>
              <w:rPr>
                <w:color w:val="000000"/>
                <w:sz w:val="20"/>
                <w:szCs w:val="20"/>
              </w:rPr>
              <w:t xml:space="preserve">The ICANN-PTI Contract will contain reasonable and customary provisions relating to confidentiality and data protection. </w:t>
            </w:r>
          </w:p>
        </w:tc>
        <w:tc>
          <w:tcPr>
            <w:tcW w:w="1170" w:type="dxa"/>
          </w:tcPr>
          <w:p>
            <w:pPr>
              <w:spacing w:after="60"/>
              <w:jc w:val="center"/>
              <w:rPr>
                <w:color w:val="000000"/>
                <w:sz w:val="20"/>
                <w:szCs w:val="20"/>
              </w:rPr>
            </w:pPr>
            <w:r>
              <w:rPr>
                <w:color w:val="000000"/>
                <w:sz w:val="20"/>
                <w:szCs w:val="20"/>
              </w:rPr>
              <w:t>H.10</w:t>
            </w:r>
          </w:p>
        </w:tc>
        <w:tc>
          <w:tcPr>
            <w:tcW w:w="1170" w:type="dxa"/>
          </w:tcPr>
          <w:p>
            <w:pPr>
              <w:spacing w:after="60"/>
              <w:jc w:val="center"/>
              <w:rPr>
                <w:color w:val="000000"/>
                <w:sz w:val="20"/>
                <w:szCs w:val="20"/>
              </w:rPr>
            </w:pPr>
          </w:p>
        </w:tc>
      </w:tr>
      <w:tr>
        <w:tc>
          <w:tcPr>
            <w:tcW w:w="2178" w:type="dxa"/>
          </w:tcPr>
          <w:p>
            <w:pPr>
              <w:spacing w:after="60"/>
              <w:jc w:val="left"/>
              <w:rPr>
                <w:b/>
                <w:color w:val="000000"/>
                <w:sz w:val="20"/>
                <w:szCs w:val="20"/>
              </w:rPr>
            </w:pPr>
            <w:r>
              <w:rPr>
                <w:b/>
                <w:color w:val="000000"/>
                <w:sz w:val="20"/>
                <w:szCs w:val="20"/>
              </w:rPr>
              <w:t>INDEMNIFICATION</w:t>
            </w:r>
          </w:p>
          <w:p>
            <w:pPr>
              <w:spacing w:after="60"/>
              <w:jc w:val="left"/>
              <w:rPr>
                <w:b/>
                <w:color w:val="000000"/>
                <w:sz w:val="20"/>
                <w:szCs w:val="20"/>
              </w:rPr>
            </w:pPr>
          </w:p>
          <w:p>
            <w:pPr>
              <w:spacing w:after="60"/>
              <w:jc w:val="left"/>
              <w:rPr>
                <w:b/>
                <w:color w:val="000000"/>
                <w:sz w:val="20"/>
                <w:szCs w:val="20"/>
              </w:rPr>
            </w:pPr>
          </w:p>
        </w:tc>
        <w:tc>
          <w:tcPr>
            <w:tcW w:w="5310" w:type="dxa"/>
          </w:tcPr>
          <w:p>
            <w:pPr>
              <w:spacing w:after="60"/>
              <w:rPr>
                <w:color w:val="000000"/>
                <w:sz w:val="20"/>
                <w:szCs w:val="20"/>
              </w:rPr>
            </w:pPr>
            <w:r>
              <w:rPr>
                <w:color w:val="000000"/>
                <w:sz w:val="20"/>
                <w:szCs w:val="20"/>
              </w:rPr>
              <w:t>[</w:t>
            </w:r>
            <w:commentRangeStart w:id="35"/>
            <w:r>
              <w:rPr>
                <w:color w:val="000000"/>
                <w:sz w:val="20"/>
                <w:szCs w:val="20"/>
              </w:rPr>
              <w:t>ICANN shall indemnify, defend and hold harmless PTI from all claims arising from PTI’s performance or failure to perform under the ICANN-PTI Contract.</w:t>
            </w:r>
            <w:commentRangeEnd w:id="35"/>
            <w:r>
              <w:rPr>
                <w:color w:val="000000"/>
                <w:sz w:val="20"/>
                <w:szCs w:val="20"/>
              </w:rPr>
              <w:t>]</w:t>
            </w:r>
            <w:r>
              <w:rPr>
                <w:rStyle w:val="CommentReference"/>
              </w:rPr>
              <w:commentReference w:id="35"/>
            </w:r>
          </w:p>
        </w:tc>
        <w:tc>
          <w:tcPr>
            <w:tcW w:w="1170" w:type="dxa"/>
          </w:tcPr>
          <w:p>
            <w:pPr>
              <w:spacing w:after="60"/>
              <w:jc w:val="center"/>
              <w:rPr>
                <w:color w:val="000000"/>
                <w:sz w:val="20"/>
                <w:szCs w:val="20"/>
              </w:rPr>
            </w:pPr>
            <w:r>
              <w:rPr>
                <w:color w:val="000000"/>
                <w:sz w:val="20"/>
                <w:szCs w:val="20"/>
              </w:rPr>
              <w:t>H.13</w:t>
            </w:r>
          </w:p>
        </w:tc>
        <w:tc>
          <w:tcPr>
            <w:tcW w:w="1170" w:type="dxa"/>
          </w:tcPr>
          <w:p>
            <w:pPr>
              <w:spacing w:after="60"/>
              <w:jc w:val="center"/>
              <w:rPr>
                <w:color w:val="000000"/>
                <w:sz w:val="20"/>
                <w:szCs w:val="20"/>
              </w:rPr>
            </w:pPr>
          </w:p>
        </w:tc>
      </w:tr>
    </w:tbl>
    <w:p>
      <w:pPr>
        <w:jc w:val="center"/>
        <w:rPr>
          <w:b/>
        </w:rPr>
      </w:pPr>
    </w:p>
    <w:p>
      <w:pPr>
        <w:spacing w:after="240"/>
        <w:rPr>
          <w:b/>
        </w:rPr>
      </w:pPr>
      <w:r>
        <w:rPr>
          <w:b/>
        </w:rPr>
        <w:br w:type="page"/>
      </w:r>
    </w:p>
    <w:p>
      <w:pPr>
        <w:jc w:val="center"/>
        <w:rPr>
          <w:b/>
        </w:rPr>
      </w:pPr>
      <w:r>
        <w:rPr>
          <w:b/>
        </w:rPr>
        <w:lastRenderedPageBreak/>
        <w:t>ANNEX I</w:t>
      </w:r>
    </w:p>
    <w:p>
      <w:pPr>
        <w:jc w:val="center"/>
        <w:rPr>
          <w:b/>
        </w:rPr>
      </w:pPr>
      <w:r>
        <w:rPr>
          <w:b/>
        </w:rPr>
        <w:t>[SERVICE LEVEL EXPECTATIONS TO BE ATTACHED]</w:t>
      </w:r>
    </w:p>
    <w:p>
      <w:pPr>
        <w:rPr>
          <w:sz w:val="24"/>
        </w:rPr>
      </w:pPr>
    </w:p>
    <w:p>
      <w:pPr>
        <w:pStyle w:val="ListSubparagraph"/>
        <w:numPr>
          <w:ilvl w:val="1"/>
          <w:numId w:val="0"/>
        </w:numPr>
        <w:jc w:val="center"/>
        <w:rPr>
          <w:rFonts w:cs="Arial"/>
          <w:b/>
        </w:rPr>
      </w:pPr>
    </w:p>
    <w:p>
      <w:pPr>
        <w:pStyle w:val="Heading8"/>
        <w:numPr>
          <w:ilvl w:val="0"/>
          <w:numId w:val="0"/>
        </w:numPr>
        <w:spacing w:line="240" w:lineRule="auto"/>
        <w:ind w:left="720"/>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Pulaski, Katie" w:date="2015-05-17T17:47:00Z" w:initials="KP">
    <w:p>
      <w:pPr>
        <w:pStyle w:val="CommentText"/>
      </w:pPr>
      <w:r>
        <w:rPr>
          <w:rStyle w:val="CommentReference"/>
        </w:rPr>
        <w:annotationRef/>
      </w:r>
      <w:r>
        <w:rPr>
          <w:b/>
          <w:i/>
        </w:rPr>
        <w:t xml:space="preserve">Note to CWG: </w:t>
      </w:r>
      <w:r>
        <w:t>Since the contract dates and parties will be universally changed in the ICANN-PTI Contract, we think it is appropriate to merge "red" terms into the “blue” category.</w:t>
      </w:r>
    </w:p>
  </w:comment>
  <w:comment w:id="9" w:author="Pulaski, Katie" w:date="2015-05-17T17:47:00Z" w:initials="KP">
    <w:p>
      <w:pPr>
        <w:pStyle w:val="CommentText"/>
      </w:pPr>
      <w:r>
        <w:rPr>
          <w:rStyle w:val="CommentReference"/>
        </w:rPr>
        <w:annotationRef/>
      </w:r>
      <w:r>
        <w:rPr>
          <w:b/>
          <w:i/>
        </w:rPr>
        <w:t xml:space="preserve">Note to CWG:  </w:t>
      </w:r>
      <w:r>
        <w:t>We have also merged terms previously labeled "purple" into the "black" category to further simplify the color scheme for substantive changes.</w:t>
      </w:r>
    </w:p>
  </w:comment>
  <w:comment w:id="10" w:author="Pulaski, Katie" w:date="2015-05-18T08:04:00Z" w:initials="KP">
    <w:p>
      <w:pPr>
        <w:pStyle w:val="CommentText"/>
      </w:pPr>
      <w:r>
        <w:rPr>
          <w:rStyle w:val="CommentReference"/>
        </w:rPr>
        <w:annotationRef/>
      </w:r>
      <w:r>
        <w:rPr>
          <w:b/>
          <w:i/>
        </w:rPr>
        <w:t xml:space="preserve">Note to CWG: </w:t>
      </w:r>
      <w:r>
        <w:t>Consider having renewal term be consistent with period for IFR (i.e., every 5 years).</w:t>
      </w:r>
    </w:p>
  </w:comment>
  <w:comment w:id="11" w:author="Pulaski, Katie" w:date="2015-05-18T10:51:00Z" w:initials="KP">
    <w:p>
      <w:pPr>
        <w:pStyle w:val="CommentText"/>
      </w:pPr>
      <w:r>
        <w:rPr>
          <w:rStyle w:val="CommentReference"/>
        </w:rPr>
        <w:annotationRef/>
      </w:r>
      <w:r>
        <w:rPr>
          <w:b/>
          <w:i/>
        </w:rPr>
        <w:t>Note to CWG</w:t>
      </w:r>
      <w:r>
        <w:rPr>
          <w:b/>
        </w:rPr>
        <w:t>:</w:t>
      </w:r>
      <w:r>
        <w:t xml:space="preserve">  This clause was in the prior term sheet, but we do not see a need for its inclusion here.  Please advise.</w:t>
      </w:r>
    </w:p>
    <w:p>
      <w:pPr>
        <w:pStyle w:val="CommentText"/>
      </w:pPr>
    </w:p>
  </w:comment>
  <w:comment w:id="12" w:author="Pulaski, Katie" w:date="2015-05-18T15:44:00Z" w:initials="KP">
    <w:p>
      <w:pPr>
        <w:pStyle w:val="CommentText"/>
      </w:pPr>
      <w:r>
        <w:rPr>
          <w:rStyle w:val="CommentReference"/>
        </w:rPr>
        <w:annotationRef/>
      </w:r>
      <w:r>
        <w:rPr>
          <w:b/>
          <w:i/>
        </w:rPr>
        <w:t xml:space="preserve">Note to CWG: </w:t>
      </w:r>
      <w:r>
        <w:t xml:space="preserve">Consider requesting that amendments to the ICANN-PTI Contract (other than renewal and extension in accordance with its terms) require Member approval. </w:t>
      </w:r>
    </w:p>
  </w:comment>
  <w:comment w:id="13" w:author="Pulaski, Katie" w:date="2015-05-18T14:51:00Z" w:initials="KP">
    <w:p>
      <w:pPr>
        <w:pStyle w:val="CommentText"/>
      </w:pPr>
      <w:r>
        <w:rPr>
          <w:rStyle w:val="CommentReference"/>
        </w:rPr>
        <w:annotationRef/>
      </w:r>
      <w:r>
        <w:rPr>
          <w:b/>
          <w:i/>
        </w:rPr>
        <w:t xml:space="preserve">Note to CWG:  </w:t>
      </w:r>
      <w:r>
        <w:t xml:space="preserve">To be discussed.  The punch list notes that the special review should only be triggered after the CSC first takes remedial action procedures and then refers the matter to ccNSO/GNSO for approval. </w:t>
      </w:r>
    </w:p>
  </w:comment>
  <w:comment w:id="14" w:author="Pulaski, Katie" w:date="2015-05-18T15:45:00Z" w:initials="KP">
    <w:p>
      <w:pPr>
        <w:pStyle w:val="CommentText"/>
      </w:pPr>
      <w:r>
        <w:rPr>
          <w:rStyle w:val="CommentReference"/>
        </w:rPr>
        <w:annotationRef/>
      </w:r>
      <w:r>
        <w:rPr>
          <w:b/>
          <w:i/>
        </w:rPr>
        <w:t xml:space="preserve">Note to CWG:  </w:t>
      </w:r>
      <w:r>
        <w:t xml:space="preserve">We revised in accordance with III.A.ii.c. and relevant annexes.  The annexes are quite detailed, so we attempted to provide only a high-level summary here. </w:t>
      </w:r>
    </w:p>
  </w:comment>
  <w:comment w:id="15" w:author="Pulaski, Katie" w:date="2015-05-18T10:52:00Z" w:initials="KP">
    <w:p>
      <w:pPr>
        <w:pStyle w:val="CommentText"/>
      </w:pPr>
      <w:r>
        <w:rPr>
          <w:rStyle w:val="CommentReference"/>
        </w:rPr>
        <w:annotationRef/>
      </w:r>
      <w:r>
        <w:rPr>
          <w:b/>
          <w:i/>
        </w:rPr>
        <w:t>Note to CWG</w:t>
      </w:r>
      <w:r>
        <w:rPr>
          <w:b/>
        </w:rPr>
        <w:t>:</w:t>
      </w:r>
      <w:r>
        <w:t xml:space="preserve">  Placeholder for cross-reference to the Final Report, or other appropriate documentation.</w:t>
      </w:r>
    </w:p>
    <w:p>
      <w:pPr>
        <w:pStyle w:val="CommentText"/>
      </w:pPr>
    </w:p>
  </w:comment>
  <w:comment w:id="16" w:author="Pulaski, Katie" w:date="2015-05-18T14:54:00Z" w:initials="KP">
    <w:p>
      <w:pPr>
        <w:pStyle w:val="CommentText"/>
      </w:pPr>
      <w:r>
        <w:rPr>
          <w:rStyle w:val="CommentReference"/>
        </w:rPr>
        <w:annotationRef/>
      </w:r>
      <w:r>
        <w:rPr>
          <w:b/>
          <w:i/>
        </w:rPr>
        <w:t>Note to CWG</w:t>
      </w:r>
      <w:r>
        <w:rPr>
          <w:b/>
        </w:rPr>
        <w:t>:</w:t>
      </w:r>
      <w:r>
        <w:t xml:space="preserve">  Should ICANN be able to initiate a Remedial Action Plan outside of CSC review as well?  It is the contracting party.  </w:t>
      </w:r>
    </w:p>
    <w:p>
      <w:pPr>
        <w:pStyle w:val="CommentText"/>
      </w:pPr>
    </w:p>
  </w:comment>
  <w:comment w:id="17" w:author="Pulaski, Katie" w:date="2015-05-18T10:52:00Z" w:initials="KP">
    <w:p>
      <w:pPr>
        <w:pStyle w:val="CommentText"/>
      </w:pPr>
      <w:r>
        <w:rPr>
          <w:rStyle w:val="CommentReference"/>
        </w:rPr>
        <w:annotationRef/>
      </w:r>
      <w:r>
        <w:rPr>
          <w:b/>
          <w:i/>
        </w:rPr>
        <w:t>Note to CWG</w:t>
      </w:r>
      <w:r>
        <w:rPr>
          <w:b/>
        </w:rPr>
        <w:t>:</w:t>
      </w:r>
      <w:r>
        <w:t xml:space="preserve">  Please confirm.</w:t>
      </w:r>
    </w:p>
    <w:p>
      <w:pPr>
        <w:pStyle w:val="CommentText"/>
      </w:pPr>
    </w:p>
  </w:comment>
  <w:comment w:id="18" w:author="Pulaski, Katie" w:date="2015-05-18T10:53:00Z" w:initials="KP">
    <w:p>
      <w:pPr>
        <w:pStyle w:val="CommentText"/>
      </w:pPr>
      <w:r>
        <w:rPr>
          <w:rStyle w:val="CommentReference"/>
        </w:rPr>
        <w:annotationRef/>
      </w:r>
      <w:r>
        <w:rPr>
          <w:b/>
          <w:i/>
        </w:rPr>
        <w:t>Note to CWG</w:t>
      </w:r>
      <w:r>
        <w:rPr>
          <w:b/>
        </w:rPr>
        <w:t>:</w:t>
      </w:r>
      <w:r>
        <w:t xml:space="preserve">  Here, and in a few other places, the original term sheet specified that the CSC would become the Contract Officer or Contract Officer Representative.  We assume this was intended in part because ContractCo was not going to have any real staff or employees.  ICANN however, can exercise oversight, so unless the powers/ role of the CSC are specifically enumerated in the 2</w:t>
      </w:r>
      <w:r>
        <w:rPr>
          <w:vertAlign w:val="superscript"/>
        </w:rPr>
        <w:t>nd</w:t>
      </w:r>
      <w:r>
        <w:t xml:space="preserve"> Draft Proposal, we have assumed that the contract administration responsibilities are managed by ICANN.  Please review and confirm.</w:t>
      </w:r>
    </w:p>
    <w:p>
      <w:pPr>
        <w:pStyle w:val="CommentText"/>
      </w:pPr>
    </w:p>
  </w:comment>
  <w:comment w:id="19" w:author="Pulaski, Katie" w:date="2015-05-18T15:45:00Z" w:initials="KP">
    <w:p>
      <w:pPr>
        <w:pStyle w:val="CommentText"/>
      </w:pPr>
      <w:r>
        <w:rPr>
          <w:rStyle w:val="CommentReference"/>
        </w:rPr>
        <w:annotationRef/>
      </w:r>
      <w:r>
        <w:rPr>
          <w:b/>
          <w:i/>
        </w:rPr>
        <w:t>Note to CWG</w:t>
      </w:r>
      <w:r>
        <w:rPr>
          <w:b/>
        </w:rPr>
        <w:t>:</w:t>
      </w:r>
      <w:r>
        <w:t xml:space="preserve">  Has this been done in the past?  Should we describe those that have been performed previously and that would continue?</w:t>
      </w:r>
    </w:p>
    <w:p>
      <w:pPr>
        <w:pStyle w:val="CommentText"/>
      </w:pPr>
    </w:p>
  </w:comment>
  <w:comment w:id="20" w:author="Pulaski, Katie" w:date="2015-05-17T17:47:00Z" w:initials="KP">
    <w:p>
      <w:pPr>
        <w:pStyle w:val="CommentText"/>
      </w:pPr>
      <w:r>
        <w:rPr>
          <w:rStyle w:val="CommentReference"/>
        </w:rPr>
        <w:annotationRef/>
      </w:r>
      <w:r>
        <w:rPr>
          <w:b/>
          <w:i/>
        </w:rPr>
        <w:t xml:space="preserve">Note to CWG:  </w:t>
      </w:r>
      <w:r>
        <w:t xml:space="preserve">Will these functions be captured in the SLE? If so, we will reference the SLE to be attached as Annex I. </w:t>
      </w:r>
    </w:p>
    <w:p>
      <w:pPr>
        <w:pStyle w:val="CommentText"/>
      </w:pPr>
    </w:p>
  </w:comment>
  <w:comment w:id="21" w:author="Pulaski, Katie" w:date="2015-05-17T17:47:00Z" w:initials="KP">
    <w:p>
      <w:pPr>
        <w:pStyle w:val="CommentText"/>
      </w:pPr>
      <w:r>
        <w:rPr>
          <w:rStyle w:val="CommentReference"/>
        </w:rPr>
        <w:annotationRef/>
      </w:r>
      <w:r>
        <w:rPr>
          <w:b/>
          <w:i/>
        </w:rPr>
        <w:t xml:space="preserve">Note to CWG:  </w:t>
      </w:r>
      <w:r>
        <w:t>Included in prior term sheet, but please update as required.  Does this assume the numbers and IP protocols will be handled by PTI?  Is that a correct assumption?</w:t>
      </w:r>
    </w:p>
  </w:comment>
  <w:comment w:id="22" w:author="Pulaski, Katie" w:date="2015-05-17T17:47:00Z" w:initials="KP">
    <w:p>
      <w:pPr>
        <w:pStyle w:val="CommentText"/>
      </w:pPr>
      <w:r>
        <w:rPr>
          <w:rStyle w:val="CommentReference"/>
        </w:rPr>
        <w:annotationRef/>
      </w:r>
      <w:r>
        <w:rPr>
          <w:b/>
          <w:i/>
        </w:rPr>
        <w:t xml:space="preserve">Note to CWG:  </w:t>
      </w:r>
      <w:r>
        <w:t>Has this obligation been assumed by CSC or some other person?   Please advise or amend as necessary.</w:t>
      </w:r>
    </w:p>
  </w:comment>
  <w:comment w:id="23" w:author="Pulaski, Katie" w:date="2015-05-18T10:53:00Z" w:initials="KP">
    <w:p>
      <w:pPr>
        <w:pStyle w:val="CommentText"/>
      </w:pPr>
      <w:r>
        <w:rPr>
          <w:rStyle w:val="CommentReference"/>
        </w:rPr>
        <w:annotationRef/>
      </w:r>
      <w:r>
        <w:rPr>
          <w:b/>
          <w:i/>
        </w:rPr>
        <w:t>Note to CWG</w:t>
      </w:r>
      <w:r>
        <w:rPr>
          <w:b/>
        </w:rPr>
        <w:t>:</w:t>
      </w:r>
      <w:r>
        <w:t xml:space="preserve">  Please advise.  The 2</w:t>
      </w:r>
      <w:r>
        <w:rPr>
          <w:vertAlign w:val="superscript"/>
        </w:rPr>
        <w:t>nd</w:t>
      </w:r>
      <w:r>
        <w:t xml:space="preserve"> Draft Proposal refers only to required consultation with the community.</w:t>
      </w:r>
    </w:p>
    <w:p>
      <w:pPr>
        <w:pStyle w:val="CommentText"/>
      </w:pPr>
    </w:p>
  </w:comment>
  <w:comment w:id="24" w:author="Pulaski, Katie" w:date="2015-05-18T10:53:00Z" w:initials="KP">
    <w:p>
      <w:pPr>
        <w:pStyle w:val="CommentText"/>
      </w:pPr>
      <w:r>
        <w:rPr>
          <w:rStyle w:val="CommentReference"/>
        </w:rPr>
        <w:annotationRef/>
      </w:r>
      <w:r>
        <w:rPr>
          <w:b/>
          <w:i/>
        </w:rPr>
        <w:t>Note to CWG</w:t>
      </w:r>
      <w:r>
        <w:rPr>
          <w:b/>
        </w:rPr>
        <w:t>:</w:t>
      </w:r>
      <w:r>
        <w:t xml:space="preserve">  Please confirm.</w:t>
      </w:r>
    </w:p>
    <w:p>
      <w:pPr>
        <w:pStyle w:val="CommentText"/>
      </w:pPr>
    </w:p>
  </w:comment>
  <w:comment w:id="25" w:author="Pulaski, Katie" w:date="2015-05-18T10:54:00Z" w:initials="KP">
    <w:p>
      <w:pPr>
        <w:pStyle w:val="CommentText"/>
        <w:rPr>
          <w:b/>
        </w:rPr>
      </w:pPr>
      <w:r>
        <w:rPr>
          <w:rStyle w:val="CommentReference"/>
        </w:rPr>
        <w:annotationRef/>
      </w:r>
      <w:r>
        <w:rPr>
          <w:b/>
          <w:i/>
        </w:rPr>
        <w:t>Note to CWG</w:t>
      </w:r>
      <w:r>
        <w:rPr>
          <w:b/>
        </w:rPr>
        <w:t>:</w:t>
      </w:r>
      <w:r>
        <w:t xml:space="preserve">  Should PTI have this policy-review responsibility?  Is this consistent with its mission?</w:t>
      </w:r>
    </w:p>
    <w:p>
      <w:pPr>
        <w:pStyle w:val="CommentText"/>
      </w:pPr>
    </w:p>
  </w:comment>
  <w:comment w:id="26" w:author="Pulaski, Katie" w:date="2015-05-18T10:54:00Z" w:initials="KP">
    <w:p>
      <w:pPr>
        <w:pStyle w:val="CommentText"/>
      </w:pPr>
      <w:r>
        <w:rPr>
          <w:rStyle w:val="CommentReference"/>
        </w:rPr>
        <w:annotationRef/>
      </w:r>
      <w:r>
        <w:rPr>
          <w:b/>
          <w:i/>
        </w:rPr>
        <w:t>Note to CWG</w:t>
      </w:r>
      <w:r>
        <w:rPr>
          <w:b/>
        </w:rPr>
        <w:t>:</w:t>
      </w:r>
      <w:r>
        <w:t xml:space="preserve">  Include ICANN as a report recipient too?</w:t>
      </w:r>
    </w:p>
    <w:p>
      <w:pPr>
        <w:pStyle w:val="CommentText"/>
      </w:pPr>
    </w:p>
  </w:comment>
  <w:comment w:id="27" w:author="Pulaski, Katie" w:date="2015-05-18T10:56:00Z" w:initials="KP">
    <w:p>
      <w:pPr>
        <w:pStyle w:val="CommentText"/>
      </w:pPr>
      <w:r>
        <w:rPr>
          <w:rStyle w:val="CommentReference"/>
        </w:rPr>
        <w:annotationRef/>
      </w:r>
      <w:r>
        <w:rPr>
          <w:b/>
          <w:i/>
        </w:rPr>
        <w:t xml:space="preserve">Note to CWG: </w:t>
      </w:r>
      <w:r>
        <w:t>Is the expectation that ICANN or CSC will have approval rights in the case of deliverables and reports?</w:t>
      </w:r>
    </w:p>
  </w:comment>
  <w:comment w:id="28" w:author="Pulaski, Katie" w:date="2015-05-18T08:15:00Z" w:initials="KP">
    <w:p>
      <w:pPr>
        <w:pStyle w:val="CommentText"/>
      </w:pPr>
      <w:r>
        <w:rPr>
          <w:rStyle w:val="CommentReference"/>
        </w:rPr>
        <w:annotationRef/>
      </w:r>
      <w:r>
        <w:rPr>
          <w:b/>
          <w:i/>
        </w:rPr>
        <w:t xml:space="preserve">Note to CWG:  </w:t>
      </w:r>
      <w:r>
        <w:t>If PTI has an ICANN-designated insider board, the board could oversee this and the contractual requirement could be eliminated.</w:t>
      </w:r>
    </w:p>
  </w:comment>
  <w:comment w:id="29" w:author="Pulaski, Katie" w:date="2015-05-18T08:15:00Z" w:initials="KP">
    <w:p>
      <w:pPr>
        <w:pStyle w:val="CommentText"/>
      </w:pPr>
      <w:r>
        <w:rPr>
          <w:rStyle w:val="CommentReference"/>
        </w:rPr>
        <w:annotationRef/>
      </w:r>
      <w:r>
        <w:rPr>
          <w:b/>
          <w:i/>
        </w:rPr>
        <w:t xml:space="preserve">Note to CWG:  </w:t>
      </w:r>
      <w:r>
        <w:t>If PTI has an ICANN-designated insider board, the board could oversee this and the contractual requirement could be eliminated.</w:t>
      </w:r>
    </w:p>
    <w:p>
      <w:pPr>
        <w:pStyle w:val="CommentText"/>
      </w:pPr>
    </w:p>
  </w:comment>
  <w:comment w:id="30" w:author="Pulaski, Katie" w:date="2015-05-18T08:09:00Z" w:initials="KP">
    <w:p>
      <w:pPr>
        <w:pStyle w:val="CommentText"/>
      </w:pPr>
      <w:r>
        <w:rPr>
          <w:rStyle w:val="CommentReference"/>
        </w:rPr>
        <w:annotationRef/>
      </w:r>
      <w:r>
        <w:rPr>
          <w:b/>
          <w:i/>
        </w:rPr>
        <w:t xml:space="preserve">Note to CWG:  </w:t>
      </w:r>
      <w:r>
        <w:t>Interplay with CCWG budget approval and role of PTI Board to be discussed.</w:t>
      </w:r>
    </w:p>
  </w:comment>
  <w:comment w:id="31" w:author="Pulaski, Katie" w:date="2015-05-18T10:54:00Z" w:initials="KP">
    <w:p>
      <w:pPr>
        <w:pStyle w:val="CommentText"/>
      </w:pPr>
      <w:r>
        <w:rPr>
          <w:rStyle w:val="CommentReference"/>
        </w:rPr>
        <w:annotationRef/>
      </w:r>
      <w:r>
        <w:rPr>
          <w:b/>
          <w:i/>
        </w:rPr>
        <w:t>Note to CWG</w:t>
      </w:r>
      <w:r>
        <w:rPr>
          <w:b/>
        </w:rPr>
        <w:t>:</w:t>
      </w:r>
      <w:r>
        <w:t xml:space="preserve">  Please confirm.</w:t>
      </w:r>
    </w:p>
    <w:p>
      <w:pPr>
        <w:pStyle w:val="CommentText"/>
      </w:pPr>
    </w:p>
  </w:comment>
  <w:comment w:id="32" w:author="Pulaski, Katie" w:date="2015-05-18T10:54:00Z" w:initials="KP">
    <w:p>
      <w:pPr>
        <w:pStyle w:val="CommentText"/>
      </w:pPr>
      <w:r>
        <w:rPr>
          <w:rStyle w:val="CommentReference"/>
        </w:rPr>
        <w:annotationRef/>
      </w:r>
      <w:r>
        <w:rPr>
          <w:b/>
          <w:i/>
        </w:rPr>
        <w:t>Note to CWG</w:t>
      </w:r>
      <w:r>
        <w:rPr>
          <w:b/>
        </w:rPr>
        <w:t>:</w:t>
      </w:r>
      <w:r>
        <w:t xml:space="preserve">  Copy ICANN on the reports?  Would seem to make sense.</w:t>
      </w:r>
    </w:p>
    <w:p>
      <w:pPr>
        <w:pStyle w:val="CommentText"/>
      </w:pPr>
    </w:p>
  </w:comment>
  <w:comment w:id="33" w:author="Pulaski, Katie" w:date="2015-05-17T17:47:00Z" w:initials="KP">
    <w:p>
      <w:pPr>
        <w:pStyle w:val="CommentText"/>
      </w:pPr>
      <w:r>
        <w:rPr>
          <w:rStyle w:val="CommentReference"/>
        </w:rPr>
        <w:annotationRef/>
      </w:r>
      <w:r>
        <w:rPr>
          <w:b/>
          <w:i/>
        </w:rPr>
        <w:t xml:space="preserve">Note to CWG:  </w:t>
      </w:r>
      <w:r>
        <w:t xml:space="preserve">Consider whether this is duplicative or could be combined with "Inspection and Acceptance" term above. </w:t>
      </w:r>
    </w:p>
  </w:comment>
  <w:comment w:id="34" w:author="Pulaski, Katie" w:date="2015-05-18T15:47:00Z" w:initials="KP">
    <w:p>
      <w:pPr>
        <w:pStyle w:val="CommentText"/>
      </w:pPr>
      <w:r>
        <w:rPr>
          <w:rStyle w:val="CommentReference"/>
        </w:rPr>
        <w:annotationRef/>
      </w:r>
      <w:r>
        <w:rPr>
          <w:b/>
          <w:i/>
        </w:rPr>
        <w:t xml:space="preserve">Note to CWG: </w:t>
      </w:r>
      <w:r>
        <w:t>IP ownership to be discussed.</w:t>
      </w:r>
      <w:r>
        <w:rPr>
          <w:b/>
          <w:i/>
        </w:rPr>
        <w:t xml:space="preserve">  </w:t>
      </w:r>
      <w:r>
        <w:t>Consider what kind of IP will be developed and which entity is in the best position to be owner.</w:t>
      </w:r>
    </w:p>
  </w:comment>
  <w:comment w:id="35" w:author="Pulaski, Katie" w:date="2015-05-18T15:00:00Z" w:initials="KP">
    <w:p>
      <w:pPr>
        <w:pStyle w:val="CommentText"/>
      </w:pPr>
      <w:r>
        <w:rPr>
          <w:rStyle w:val="CommentReference"/>
        </w:rPr>
        <w:annotationRef/>
      </w:r>
      <w:r>
        <w:rPr>
          <w:b/>
          <w:i/>
        </w:rPr>
        <w:t xml:space="preserve">Note to CWG: </w:t>
      </w:r>
      <w:r>
        <w:rPr>
          <w:color w:val="000000"/>
        </w:rPr>
        <w:t xml:space="preserve">Please consider whether desired to include at the outset.  Third parties may want some guarantees from ICANN.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r>
      <w:t>-</w:t>
    </w:r>
    <w:fldSimple w:instr=" PAGE   \* MERGEFORMAT ">
      <w:r>
        <w:rPr>
          <w:noProof/>
        </w:rPr>
        <w:t>12</w:t>
      </w:r>
    </w:fldSimple>
    <w:r>
      <w:t>-</w:t>
    </w:r>
  </w:p>
  <w:p>
    <w:pPr>
      <w:pStyle w:val="Footer"/>
    </w:pPr>
    <w:fldSimple w:instr=" DOCPROPERTY &quot;DocID&quot; \* MERGEFORMAT ">
      <w:r>
        <w:rPr>
          <w:rStyle w:val="DocID"/>
        </w:rPr>
        <w:t>ACTIVE 207556626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r>
      <w:t>-</w:t>
    </w:r>
    <w:fldSimple w:instr=" PAGE   \* MERGEFORMAT ">
      <w:r>
        <w:rPr>
          <w:noProof/>
        </w:rPr>
        <w:t>1</w:t>
      </w:r>
    </w:fldSimple>
    <w:r>
      <w:t>-</w:t>
    </w:r>
  </w:p>
  <w:p>
    <w:pPr>
      <w:pStyle w:val="Footer"/>
    </w:pPr>
    <w:fldSimple w:instr=" DOCPROPERTY &quot;DocID&quot; \* MERGEFORMAT ">
      <w:r>
        <w:rPr>
          <w:rStyle w:val="DocID"/>
        </w:rPr>
        <w:t>ACTIVE 207556626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pcgTable"/>
      <w:tblW w:w="0" w:type="auto"/>
      <w:tblLook w:val="04A0"/>
    </w:tblPr>
    <w:tblGrid>
      <w:gridCol w:w="9576"/>
    </w:tblGrid>
    <w:tr>
      <w:tc>
        <w:tcPr>
          <w:tcW w:w="9576" w:type="dxa"/>
        </w:tcPr>
        <w:p>
          <w:pPr>
            <w:pStyle w:val="Logo"/>
            <w:tabs>
              <w:tab w:val="clear" w:pos="4680"/>
            </w:tabs>
          </w:pPr>
          <w:r>
            <w:rPr>
              <w:noProof/>
            </w:rPr>
            <w:drawing>
              <wp:inline distT="0" distB="0" distL="0" distR="0">
                <wp:extent cx="1085850" cy="301625"/>
                <wp:effectExtent l="19050" t="0" r="0" b="0"/>
                <wp:docPr id="3" name="Picture 1" descr="Sidley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ley_logo_blk"/>
                        <pic:cNvPicPr>
                          <a:picLocks noChangeAspect="1" noChangeArrowheads="1"/>
                        </pic:cNvPicPr>
                      </pic:nvPicPr>
                      <pic:blipFill>
                        <a:blip r:embed="rId1"/>
                        <a:srcRect/>
                        <a:stretch>
                          <a:fillRect/>
                        </a:stretch>
                      </pic:blipFill>
                      <pic:spPr bwMode="auto">
                        <a:xfrm>
                          <a:off x="0" y="0"/>
                          <a:ext cx="1085850" cy="301625"/>
                        </a:xfrm>
                        <a:prstGeom prst="rect">
                          <a:avLst/>
                        </a:prstGeom>
                        <a:noFill/>
                        <a:ln w="9525">
                          <a:noFill/>
                          <a:miter lim="800000"/>
                          <a:headEnd/>
                          <a:tailEnd/>
                        </a:ln>
                      </pic:spPr>
                    </pic:pic>
                  </a:graphicData>
                </a:graphic>
              </wp:inline>
            </w:drawing>
          </w:r>
        </w:p>
      </w:tc>
    </w:tr>
  </w:tbl>
  <w:p>
    <w:pPr>
      <w:pStyle w:val="AddresseeName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pcgTable"/>
      <w:tblW w:w="0" w:type="auto"/>
      <w:tblLook w:val="04A0"/>
    </w:tblPr>
    <w:tblGrid>
      <w:gridCol w:w="9576"/>
    </w:tblGrid>
    <w:tr>
      <w:tc>
        <w:tcPr>
          <w:tcW w:w="9576" w:type="dxa"/>
        </w:tcPr>
        <w:p>
          <w:pPr>
            <w:pStyle w:val="Logo"/>
            <w:rPr>
              <w:i/>
            </w:rPr>
          </w:pPr>
          <w:r>
            <w:rPr>
              <w:i/>
              <w:noProof/>
            </w:rPr>
            <w:drawing>
              <wp:inline distT="0" distB="0" distL="0" distR="0">
                <wp:extent cx="1085850" cy="301625"/>
                <wp:effectExtent l="19050" t="0" r="0" b="0"/>
                <wp:docPr id="4" name="Picture 1" descr="Sidley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ley_logo_blk"/>
                        <pic:cNvPicPr>
                          <a:picLocks noChangeAspect="1" noChangeArrowheads="1"/>
                        </pic:cNvPicPr>
                      </pic:nvPicPr>
                      <pic:blipFill>
                        <a:blip r:embed="rId1"/>
                        <a:srcRect/>
                        <a:stretch>
                          <a:fillRect/>
                        </a:stretch>
                      </pic:blipFill>
                      <pic:spPr bwMode="auto">
                        <a:xfrm>
                          <a:off x="0" y="0"/>
                          <a:ext cx="1085850" cy="301625"/>
                        </a:xfrm>
                        <a:prstGeom prst="rect">
                          <a:avLst/>
                        </a:prstGeom>
                        <a:noFill/>
                        <a:ln w="9525">
                          <a:noFill/>
                          <a:miter lim="800000"/>
                          <a:headEnd/>
                          <a:tailEnd/>
                        </a:ln>
                      </pic:spPr>
                    </pic:pic>
                  </a:graphicData>
                </a:graphic>
              </wp:inline>
            </w:drawing>
          </w:r>
          <w:r>
            <w:rPr>
              <w:i/>
            </w:rPr>
            <w:t xml:space="preserve"> </w:t>
          </w:r>
        </w:p>
      </w:tc>
    </w:tr>
  </w:tbl>
  <w:p>
    <w:pPr>
      <w:pStyle w:val="Header"/>
      <w:jc w:val="right"/>
      <w:rPr>
        <w:rFonts w:ascii="Arial" w:hAnsi="Arial" w:cs="Arial"/>
        <w:b/>
        <w:i/>
        <w:sz w:val="21"/>
        <w:szCs w:val="21"/>
      </w:rPr>
    </w:pPr>
  </w:p>
  <w:p>
    <w:pPr>
      <w:pStyle w:val="AddresseeNames"/>
      <w:jc w:val="right"/>
    </w:pPr>
    <w:r>
      <w:t>Sidley Draft – May 18,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608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6B815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4E8B1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EF890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7DC0A3A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F1A9DD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1A832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908A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2F36A444"/>
    <w:lvl w:ilvl="0">
      <w:start w:val="1"/>
      <w:numFmt w:val="bullet"/>
      <w:pStyle w:val="ListBullet"/>
      <w:lvlText w:val=""/>
      <w:lvlJc w:val="left"/>
      <w:pPr>
        <w:ind w:left="1080" w:hanging="360"/>
      </w:pPr>
      <w:rPr>
        <w:rFonts w:ascii="Symbol" w:hAnsi="Symbol" w:hint="default"/>
        <w:color w:val="auto"/>
      </w:rPr>
    </w:lvl>
  </w:abstractNum>
  <w:abstractNum w:abstractNumId="10">
    <w:nsid w:val="00000029"/>
    <w:multiLevelType w:val="hybridMultilevel"/>
    <w:tmpl w:val="151C2846"/>
    <w:lvl w:ilvl="0" w:tplc="04090003">
      <w:start w:val="1"/>
      <w:numFmt w:val="bullet"/>
      <w:lvlText w:val="o"/>
      <w:lvlJc w:val="left"/>
      <w:pPr>
        <w:tabs>
          <w:tab w:val="num" w:pos="720"/>
        </w:tabs>
        <w:ind w:left="720" w:hanging="360"/>
      </w:pPr>
      <w:rPr>
        <w:rFonts w:ascii="Courier New" w:hAnsi="Courier New" w:cs="Courier New" w:hint="default"/>
        <w:vertAlign w:val="baseline"/>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3254AB4"/>
    <w:multiLevelType w:val="hybridMultilevel"/>
    <w:tmpl w:val="42BCA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0176C8"/>
    <w:multiLevelType w:val="hybridMultilevel"/>
    <w:tmpl w:val="4232D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9542AF"/>
    <w:multiLevelType w:val="hybridMultilevel"/>
    <w:tmpl w:val="E53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CD7507"/>
    <w:multiLevelType w:val="hybridMultilevel"/>
    <w:tmpl w:val="A94C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5417C"/>
    <w:multiLevelType w:val="hybridMultilevel"/>
    <w:tmpl w:val="FB7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AA2F72"/>
    <w:multiLevelType w:val="hybridMultilevel"/>
    <w:tmpl w:val="C1C2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AF200E"/>
    <w:multiLevelType w:val="hybridMultilevel"/>
    <w:tmpl w:val="FFE82006"/>
    <w:lvl w:ilvl="0" w:tplc="0409000F">
      <w:start w:val="1"/>
      <w:numFmt w:val="decimal"/>
      <w:lvlText w:val="%1."/>
      <w:lvlJc w:val="left"/>
      <w:pPr>
        <w:ind w:left="720" w:hanging="360"/>
      </w:pPr>
    </w:lvl>
    <w:lvl w:ilvl="1" w:tplc="FDF0A9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90B63F3"/>
    <w:multiLevelType w:val="multilevel"/>
    <w:tmpl w:val="CD1E9DA0"/>
    <w:name w:val="Geneva Arbitration"/>
    <w:lvl w:ilvl="0">
      <w:start w:val="1"/>
      <w:numFmt w:val="upperRoman"/>
      <w:pStyle w:val="Heading1"/>
      <w:lvlText w:val="%1."/>
      <w:lvlJc w:val="left"/>
      <w:pPr>
        <w:tabs>
          <w:tab w:val="num" w:pos="720"/>
        </w:tabs>
        <w:ind w:left="720" w:hanging="720"/>
      </w:pPr>
      <w:rPr>
        <w:rFonts w:hint="default"/>
        <w:b/>
        <w:i w:val="0"/>
        <w:caps/>
        <w:smallCaps w:val="0"/>
        <w:color w:val="auto"/>
        <w:u w:val="none"/>
      </w:rPr>
    </w:lvl>
    <w:lvl w:ilvl="1">
      <w:start w:val="1"/>
      <w:numFmt w:val="upperLetter"/>
      <w:pStyle w:val="Heading2"/>
      <w:lvlText w:val="%2."/>
      <w:lvlJc w:val="left"/>
      <w:pPr>
        <w:tabs>
          <w:tab w:val="num" w:pos="1440"/>
        </w:tabs>
        <w:ind w:left="1440" w:hanging="720"/>
      </w:pPr>
      <w:rPr>
        <w:rFonts w:hint="default"/>
        <w:b/>
        <w:i w:val="0"/>
        <w:caps w:val="0"/>
        <w:color w:val="auto"/>
        <w:u w:val="none"/>
      </w:rPr>
    </w:lvl>
    <w:lvl w:ilvl="2">
      <w:start w:val="1"/>
      <w:numFmt w:val="decimal"/>
      <w:pStyle w:val="Heading3"/>
      <w:lvlText w:val="%3."/>
      <w:lvlJc w:val="left"/>
      <w:pPr>
        <w:tabs>
          <w:tab w:val="num" w:pos="2160"/>
        </w:tabs>
        <w:ind w:left="2160" w:hanging="720"/>
      </w:pPr>
      <w:rPr>
        <w:rFonts w:hint="default"/>
        <w:b/>
        <w:i w:val="0"/>
        <w:caps w:val="0"/>
        <w:color w:val="auto"/>
        <w:u w:val="none"/>
      </w:rPr>
    </w:lvl>
    <w:lvl w:ilvl="3">
      <w:start w:val="1"/>
      <w:numFmt w:val="lowerLetter"/>
      <w:pStyle w:val="Heading4"/>
      <w:lvlText w:val="(%4)"/>
      <w:lvlJc w:val="left"/>
      <w:pPr>
        <w:tabs>
          <w:tab w:val="num" w:pos="2880"/>
        </w:tabs>
        <w:ind w:left="2880" w:hanging="720"/>
      </w:pPr>
      <w:rPr>
        <w:rFonts w:hint="default"/>
        <w:b/>
        <w:i/>
        <w:caps w:val="0"/>
        <w:color w:val="auto"/>
        <w:u w:val="none"/>
      </w:rPr>
    </w:lvl>
    <w:lvl w:ilvl="4">
      <w:start w:val="1"/>
      <w:numFmt w:val="lowerRoman"/>
      <w:pStyle w:val="Heading5"/>
      <w:lvlText w:val="(%5)"/>
      <w:lvlJc w:val="left"/>
      <w:pPr>
        <w:tabs>
          <w:tab w:val="num" w:pos="3600"/>
        </w:tabs>
        <w:ind w:left="3600" w:hanging="720"/>
      </w:pPr>
      <w:rPr>
        <w:rFonts w:hint="default"/>
        <w:b/>
        <w:i/>
        <w:caps w:val="0"/>
        <w:color w:val="auto"/>
        <w:u w:val="none"/>
      </w:rPr>
    </w:lvl>
    <w:lvl w:ilvl="5">
      <w:start w:val="1"/>
      <w:numFmt w:val="decimal"/>
      <w:lvlRestart w:val="0"/>
      <w:pStyle w:val="Heading6"/>
      <w:lvlText w:val="%6."/>
      <w:lvlJc w:val="left"/>
      <w:pPr>
        <w:tabs>
          <w:tab w:val="num" w:pos="720"/>
        </w:tabs>
        <w:ind w:left="720" w:hanging="720"/>
      </w:pPr>
      <w:rPr>
        <w:rFonts w:hint="default"/>
        <w:b w:val="0"/>
        <w:i w:val="0"/>
        <w:caps w:val="0"/>
        <w:color w:val="010000"/>
        <w:u w:val="none"/>
      </w:rPr>
    </w:lvl>
    <w:lvl w:ilvl="6">
      <w:start w:val="1"/>
      <w:numFmt w:val="lowerLetter"/>
      <w:pStyle w:val="Heading7"/>
      <w:lvlText w:val="(%7)"/>
      <w:lvlJc w:val="left"/>
      <w:pPr>
        <w:tabs>
          <w:tab w:val="num" w:pos="1440"/>
        </w:tabs>
        <w:ind w:left="1440" w:hanging="720"/>
      </w:pPr>
      <w:rPr>
        <w:rFonts w:hint="default"/>
        <w:b w:val="0"/>
        <w:i w:val="0"/>
        <w:caps w:val="0"/>
        <w:color w:val="010000"/>
        <w:u w:val="none"/>
      </w:rPr>
    </w:lvl>
    <w:lvl w:ilvl="7">
      <w:start w:val="1"/>
      <w:numFmt w:val="lowerRoman"/>
      <w:pStyle w:val="Heading8"/>
      <w:lvlText w:val="(%8)"/>
      <w:lvlJc w:val="left"/>
      <w:pPr>
        <w:tabs>
          <w:tab w:val="num" w:pos="2160"/>
        </w:tabs>
        <w:ind w:left="2160" w:hanging="720"/>
      </w:pPr>
      <w:rPr>
        <w:rFonts w:hint="default"/>
        <w:b w:val="0"/>
        <w:i w:val="0"/>
        <w:caps w:val="0"/>
        <w:color w:val="010000"/>
        <w:u w:val="none"/>
      </w:rPr>
    </w:lvl>
    <w:lvl w:ilvl="8">
      <w:start w:val="1"/>
      <w:numFmt w:val="lowerLetter"/>
      <w:pStyle w:val="Heading9"/>
      <w:lvlText w:val="%9)"/>
      <w:lvlJc w:val="left"/>
      <w:pPr>
        <w:tabs>
          <w:tab w:val="num" w:pos="2880"/>
        </w:tabs>
        <w:ind w:left="2880" w:hanging="720"/>
      </w:pPr>
      <w:rPr>
        <w:rFonts w:hint="default"/>
        <w:b w:val="0"/>
        <w:i w:val="0"/>
        <w:caps w:val="0"/>
        <w:color w:val="010000"/>
        <w:u w:val="none"/>
      </w:rPr>
    </w:lvl>
  </w:abstractNum>
  <w:abstractNum w:abstractNumId="19">
    <w:nsid w:val="21A02431"/>
    <w:multiLevelType w:val="hybridMultilevel"/>
    <w:tmpl w:val="33F6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71196"/>
    <w:multiLevelType w:val="hybridMultilevel"/>
    <w:tmpl w:val="D45A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4F5D42"/>
    <w:multiLevelType w:val="hybridMultilevel"/>
    <w:tmpl w:val="DEE4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D2158F"/>
    <w:multiLevelType w:val="hybridMultilevel"/>
    <w:tmpl w:val="93C2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E4181C"/>
    <w:multiLevelType w:val="hybridMultilevel"/>
    <w:tmpl w:val="A71C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B679E1"/>
    <w:multiLevelType w:val="hybridMultilevel"/>
    <w:tmpl w:val="13F2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DB1B21"/>
    <w:multiLevelType w:val="hybridMultilevel"/>
    <w:tmpl w:val="C3F4F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BC7D73"/>
    <w:multiLevelType w:val="hybridMultilevel"/>
    <w:tmpl w:val="34F62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42626F"/>
    <w:multiLevelType w:val="hybridMultilevel"/>
    <w:tmpl w:val="3490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54C06BA"/>
    <w:multiLevelType w:val="hybridMultilevel"/>
    <w:tmpl w:val="7EE20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8E717C"/>
    <w:multiLevelType w:val="hybridMultilevel"/>
    <w:tmpl w:val="D12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2E67DF"/>
    <w:multiLevelType w:val="hybridMultilevel"/>
    <w:tmpl w:val="47B6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6114E"/>
    <w:multiLevelType w:val="hybridMultilevel"/>
    <w:tmpl w:val="06A2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EA3F51"/>
    <w:multiLevelType w:val="hybridMultilevel"/>
    <w:tmpl w:val="C34E3DCC"/>
    <w:lvl w:ilvl="0" w:tplc="3CD292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264A30"/>
    <w:multiLevelType w:val="hybridMultilevel"/>
    <w:tmpl w:val="E5FC75E6"/>
    <w:lvl w:ilvl="0" w:tplc="59A80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BB2D70"/>
    <w:multiLevelType w:val="hybridMultilevel"/>
    <w:tmpl w:val="139E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4E0073"/>
    <w:multiLevelType w:val="hybridMultilevel"/>
    <w:tmpl w:val="BB1CB75A"/>
    <w:lvl w:ilvl="0" w:tplc="34D6751E">
      <w:start w:val="1"/>
      <w:numFmt w:val="bullet"/>
      <w:lvlText w:val=""/>
      <w:lvlJc w:val="left"/>
      <w:pPr>
        <w:ind w:left="720" w:hanging="360"/>
      </w:pPr>
      <w:rPr>
        <w:rFonts w:ascii="Symbol" w:hAnsi="Symbol" w:hint="default"/>
      </w:rPr>
    </w:lvl>
    <w:lvl w:ilvl="1" w:tplc="6544564A" w:tentative="1">
      <w:start w:val="1"/>
      <w:numFmt w:val="bullet"/>
      <w:lvlText w:val="o"/>
      <w:lvlJc w:val="left"/>
      <w:pPr>
        <w:ind w:left="1440" w:hanging="360"/>
      </w:pPr>
      <w:rPr>
        <w:rFonts w:ascii="Courier New" w:hAnsi="Courier New" w:cs="Courier New" w:hint="default"/>
      </w:rPr>
    </w:lvl>
    <w:lvl w:ilvl="2" w:tplc="AC641FA4" w:tentative="1">
      <w:start w:val="1"/>
      <w:numFmt w:val="bullet"/>
      <w:lvlText w:val=""/>
      <w:lvlJc w:val="left"/>
      <w:pPr>
        <w:ind w:left="2160" w:hanging="360"/>
      </w:pPr>
      <w:rPr>
        <w:rFonts w:ascii="Wingdings" w:hAnsi="Wingdings" w:hint="default"/>
      </w:rPr>
    </w:lvl>
    <w:lvl w:ilvl="3" w:tplc="5656788A" w:tentative="1">
      <w:start w:val="1"/>
      <w:numFmt w:val="bullet"/>
      <w:lvlText w:val=""/>
      <w:lvlJc w:val="left"/>
      <w:pPr>
        <w:ind w:left="2880" w:hanging="360"/>
      </w:pPr>
      <w:rPr>
        <w:rFonts w:ascii="Symbol" w:hAnsi="Symbol" w:hint="default"/>
      </w:rPr>
    </w:lvl>
    <w:lvl w:ilvl="4" w:tplc="D6ECC094" w:tentative="1">
      <w:start w:val="1"/>
      <w:numFmt w:val="bullet"/>
      <w:lvlText w:val="o"/>
      <w:lvlJc w:val="left"/>
      <w:pPr>
        <w:ind w:left="3600" w:hanging="360"/>
      </w:pPr>
      <w:rPr>
        <w:rFonts w:ascii="Courier New" w:hAnsi="Courier New" w:cs="Courier New" w:hint="default"/>
      </w:rPr>
    </w:lvl>
    <w:lvl w:ilvl="5" w:tplc="9850D562" w:tentative="1">
      <w:start w:val="1"/>
      <w:numFmt w:val="bullet"/>
      <w:lvlText w:val=""/>
      <w:lvlJc w:val="left"/>
      <w:pPr>
        <w:ind w:left="4320" w:hanging="360"/>
      </w:pPr>
      <w:rPr>
        <w:rFonts w:ascii="Wingdings" w:hAnsi="Wingdings" w:hint="default"/>
      </w:rPr>
    </w:lvl>
    <w:lvl w:ilvl="6" w:tplc="CDF6DE00" w:tentative="1">
      <w:start w:val="1"/>
      <w:numFmt w:val="bullet"/>
      <w:lvlText w:val=""/>
      <w:lvlJc w:val="left"/>
      <w:pPr>
        <w:ind w:left="5040" w:hanging="360"/>
      </w:pPr>
      <w:rPr>
        <w:rFonts w:ascii="Symbol" w:hAnsi="Symbol" w:hint="default"/>
      </w:rPr>
    </w:lvl>
    <w:lvl w:ilvl="7" w:tplc="1EFC05B6" w:tentative="1">
      <w:start w:val="1"/>
      <w:numFmt w:val="bullet"/>
      <w:lvlText w:val="o"/>
      <w:lvlJc w:val="left"/>
      <w:pPr>
        <w:ind w:left="5760" w:hanging="360"/>
      </w:pPr>
      <w:rPr>
        <w:rFonts w:ascii="Courier New" w:hAnsi="Courier New" w:cs="Courier New" w:hint="default"/>
      </w:rPr>
    </w:lvl>
    <w:lvl w:ilvl="8" w:tplc="746A9746" w:tentative="1">
      <w:start w:val="1"/>
      <w:numFmt w:val="bullet"/>
      <w:lvlText w:val=""/>
      <w:lvlJc w:val="left"/>
      <w:pPr>
        <w:ind w:left="6480" w:hanging="360"/>
      </w:pPr>
      <w:rPr>
        <w:rFonts w:ascii="Wingdings" w:hAnsi="Wingdings" w:hint="default"/>
      </w:rPr>
    </w:lvl>
  </w:abstractNum>
  <w:abstractNum w:abstractNumId="36">
    <w:nsid w:val="7BCB7787"/>
    <w:multiLevelType w:val="hybridMultilevel"/>
    <w:tmpl w:val="AF78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753354"/>
    <w:multiLevelType w:val="hybridMultilevel"/>
    <w:tmpl w:val="A0D6AC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F6E67C7"/>
    <w:multiLevelType w:val="hybridMultilevel"/>
    <w:tmpl w:val="F8B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num>
  <w:num w:numId="19">
    <w:abstractNumId w:val="18"/>
  </w:num>
  <w:num w:numId="20">
    <w:abstractNumId w:val="37"/>
  </w:num>
  <w:num w:numId="21">
    <w:abstractNumId w:val="33"/>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20"/>
  </w:num>
  <w:num w:numId="27">
    <w:abstractNumId w:val="19"/>
  </w:num>
  <w:num w:numId="28">
    <w:abstractNumId w:val="10"/>
  </w:num>
  <w:num w:numId="29">
    <w:abstractNumId w:val="14"/>
  </w:num>
  <w:num w:numId="30">
    <w:abstractNumId w:val="22"/>
  </w:num>
  <w:num w:numId="31">
    <w:abstractNumId w:val="31"/>
  </w:num>
  <w:num w:numId="32">
    <w:abstractNumId w:val="28"/>
  </w:num>
  <w:num w:numId="33">
    <w:abstractNumId w:val="36"/>
  </w:num>
  <w:num w:numId="34">
    <w:abstractNumId w:val="34"/>
  </w:num>
  <w:num w:numId="35">
    <w:abstractNumId w:val="21"/>
  </w:num>
  <w:num w:numId="36">
    <w:abstractNumId w:val="30"/>
  </w:num>
  <w:num w:numId="37">
    <w:abstractNumId w:val="35"/>
  </w:num>
  <w:num w:numId="38">
    <w:abstractNumId w:val="25"/>
  </w:num>
  <w:num w:numId="39">
    <w:abstractNumId w:val="13"/>
  </w:num>
  <w:num w:numId="40">
    <w:abstractNumId w:val="24"/>
  </w:num>
  <w:num w:numId="41">
    <w:abstractNumId w:val="32"/>
  </w:num>
  <w:num w:numId="42">
    <w:abstractNumId w:val="15"/>
  </w:num>
  <w:num w:numId="43">
    <w:abstractNumId w:val="29"/>
  </w:num>
  <w:num w:numId="44">
    <w:abstractNumId w:val="38"/>
  </w:num>
  <w:num w:numId="45">
    <w:abstractNumId w:val="27"/>
  </w:num>
  <w:num w:numId="46">
    <w:abstractNumId w:val="16"/>
  </w:num>
  <w:num w:numId="47">
    <w:abstractNumId w:val="26"/>
  </w:num>
  <w:num w:numId="48">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SortMethod w:val="0000"/>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FormsAssistantDocData" w:val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
    <w:docVar w:name="FormsAssistantRecipients" w:val="0052006500630069007000690065006E0074005400790070006500490044003D0031003C007C003E0052006500630069007000690065006E00740054007900700065003D0054006F003C007C003E00460075006C006C004E0061006D0065003D00660066003C007C003E004C006100730074004E0061006D0065003D00660066003C007C003E00460075006C006C004E0061006D00650041006E00640043006F006D00700061006E0079004E0061006D0065003D00660066"/>
    <w:docVar w:name="FormsAssistantSenders" w:val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
    <w:docVar w:name="LastSchemeChoice" w:val="Geneva Arbitration"/>
    <w:docVar w:name="LastSchemeUniqueID" w:val="14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w:uiPriority="0" w:qFormat="1"/>
    <w:lsdException w:name="List Bullet 2" w:qFormat="1"/>
    <w:lsdException w:name="Title" w:semiHidden="0" w:uiPriority="0" w:unhideWhenUsed="0" w:qFormat="1"/>
    <w:lsdException w:name="Default Paragraph Font" w:uiPriority="1"/>
    <w:lsdException w:name="Body Text" w:uiPriority="0" w:qFormat="1"/>
    <w:lsdException w:name="List Continue" w:uiPriority="0" w:qFormat="1"/>
    <w:lsdException w:name="Subtitle" w:uiPriority="11" w:qFormat="1"/>
    <w:lsdException w:name="Date" w:uiPriority="0"/>
    <w:lsdException w:name="Body Text First Indent" w:uiPriority="0" w:qFormat="1"/>
    <w:lsdException w:name="Body Text 2" w:uiPriority="0" w:qFormat="1"/>
    <w:lsdException w:name="Block Text" w:uiPriority="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0" w:qFormat="1"/>
  </w:latentStyles>
  <w:style w:type="paragraph" w:default="1" w:styleId="Normal">
    <w:name w:val="Normal"/>
    <w:qFormat/>
    <w:pPr>
      <w:spacing w:after="0"/>
      <w:jc w:val="both"/>
    </w:pPr>
    <w:rPr>
      <w:rFonts w:ascii="Arial" w:hAnsi="Arial"/>
      <w:sz w:val="21"/>
    </w:rPr>
  </w:style>
  <w:style w:type="paragraph" w:styleId="Heading1">
    <w:name w:val="heading 1"/>
    <w:basedOn w:val="Normal"/>
    <w:link w:val="Heading1Char"/>
    <w:uiPriority w:val="9"/>
    <w:qFormat/>
    <w:pPr>
      <w:numPr>
        <w:numId w:val="11"/>
      </w:numPr>
      <w:tabs>
        <w:tab w:val="clear" w:pos="720"/>
      </w:tabs>
      <w:spacing w:after="240"/>
      <w:jc w:val="left"/>
      <w:outlineLvl w:val="0"/>
    </w:pPr>
    <w:rPr>
      <w:rFonts w:eastAsiaTheme="majorEastAsia" w:cs="Arial"/>
      <w:b/>
      <w:bCs/>
      <w:caps/>
      <w:color w:val="000000"/>
      <w:szCs w:val="28"/>
    </w:rPr>
  </w:style>
  <w:style w:type="paragraph" w:styleId="Heading2">
    <w:name w:val="heading 2"/>
    <w:basedOn w:val="Normal"/>
    <w:link w:val="Heading2Char"/>
    <w:uiPriority w:val="9"/>
    <w:unhideWhenUsed/>
    <w:qFormat/>
    <w:pPr>
      <w:numPr>
        <w:ilvl w:val="1"/>
        <w:numId w:val="11"/>
      </w:numPr>
      <w:spacing w:after="240"/>
      <w:jc w:val="left"/>
      <w:outlineLvl w:val="1"/>
    </w:pPr>
    <w:rPr>
      <w:rFonts w:eastAsiaTheme="majorEastAsia" w:cs="Arial"/>
      <w:b/>
      <w:bCs/>
      <w:color w:val="000000"/>
      <w:szCs w:val="26"/>
    </w:rPr>
  </w:style>
  <w:style w:type="paragraph" w:styleId="Heading3">
    <w:name w:val="heading 3"/>
    <w:basedOn w:val="Normal"/>
    <w:link w:val="Heading3Char"/>
    <w:uiPriority w:val="9"/>
    <w:unhideWhenUsed/>
    <w:qFormat/>
    <w:pPr>
      <w:numPr>
        <w:ilvl w:val="2"/>
        <w:numId w:val="11"/>
      </w:numPr>
      <w:spacing w:after="240"/>
      <w:jc w:val="left"/>
      <w:outlineLvl w:val="2"/>
    </w:pPr>
    <w:rPr>
      <w:rFonts w:eastAsiaTheme="majorEastAsia" w:cs="Arial"/>
      <w:b/>
      <w:bCs/>
      <w:color w:val="000000"/>
    </w:rPr>
  </w:style>
  <w:style w:type="paragraph" w:styleId="Heading4">
    <w:name w:val="heading 4"/>
    <w:basedOn w:val="Normal"/>
    <w:link w:val="Heading4Char"/>
    <w:uiPriority w:val="9"/>
    <w:unhideWhenUsed/>
    <w:qFormat/>
    <w:pPr>
      <w:numPr>
        <w:ilvl w:val="3"/>
        <w:numId w:val="11"/>
      </w:numPr>
      <w:spacing w:after="240"/>
      <w:jc w:val="left"/>
      <w:outlineLvl w:val="3"/>
    </w:pPr>
    <w:rPr>
      <w:rFonts w:eastAsiaTheme="majorEastAsia" w:cs="Arial"/>
      <w:b/>
      <w:bCs/>
      <w:i/>
      <w:iCs/>
      <w:color w:val="000000"/>
    </w:rPr>
  </w:style>
  <w:style w:type="paragraph" w:styleId="Heading5">
    <w:name w:val="heading 5"/>
    <w:basedOn w:val="Normal"/>
    <w:link w:val="Heading5Char"/>
    <w:uiPriority w:val="9"/>
    <w:unhideWhenUsed/>
    <w:qFormat/>
    <w:pPr>
      <w:numPr>
        <w:ilvl w:val="4"/>
        <w:numId w:val="11"/>
      </w:numPr>
      <w:spacing w:after="240"/>
      <w:jc w:val="left"/>
      <w:outlineLvl w:val="4"/>
    </w:pPr>
    <w:rPr>
      <w:rFonts w:eastAsiaTheme="majorEastAsia" w:cs="Arial"/>
      <w:b/>
      <w:i/>
      <w:color w:val="000000"/>
    </w:rPr>
  </w:style>
  <w:style w:type="paragraph" w:styleId="Heading6">
    <w:name w:val="heading 6"/>
    <w:basedOn w:val="Normal"/>
    <w:link w:val="Heading6Char"/>
    <w:uiPriority w:val="9"/>
    <w:unhideWhenUsed/>
    <w:qFormat/>
    <w:pPr>
      <w:numPr>
        <w:ilvl w:val="5"/>
        <w:numId w:val="11"/>
      </w:numPr>
      <w:spacing w:after="240" w:line="360" w:lineRule="auto"/>
      <w:outlineLvl w:val="5"/>
    </w:pPr>
    <w:rPr>
      <w:rFonts w:eastAsiaTheme="majorEastAsia" w:cs="Arial"/>
      <w:iCs/>
      <w:color w:val="000000"/>
    </w:rPr>
  </w:style>
  <w:style w:type="paragraph" w:styleId="Heading7">
    <w:name w:val="heading 7"/>
    <w:basedOn w:val="Normal"/>
    <w:link w:val="Heading7Char"/>
    <w:uiPriority w:val="9"/>
    <w:unhideWhenUsed/>
    <w:qFormat/>
    <w:pPr>
      <w:numPr>
        <w:ilvl w:val="6"/>
        <w:numId w:val="11"/>
      </w:numPr>
      <w:spacing w:after="240" w:line="360" w:lineRule="auto"/>
      <w:outlineLvl w:val="6"/>
    </w:pPr>
    <w:rPr>
      <w:rFonts w:eastAsiaTheme="majorEastAsia" w:cs="Arial"/>
      <w:iCs/>
      <w:color w:val="000000"/>
    </w:rPr>
  </w:style>
  <w:style w:type="paragraph" w:styleId="Heading8">
    <w:name w:val="heading 8"/>
    <w:basedOn w:val="Normal"/>
    <w:link w:val="Heading8Char"/>
    <w:uiPriority w:val="9"/>
    <w:unhideWhenUsed/>
    <w:qFormat/>
    <w:pPr>
      <w:numPr>
        <w:ilvl w:val="7"/>
        <w:numId w:val="11"/>
      </w:numPr>
      <w:spacing w:after="240" w:line="360" w:lineRule="auto"/>
      <w:outlineLvl w:val="7"/>
    </w:pPr>
    <w:rPr>
      <w:rFonts w:eastAsiaTheme="majorEastAsia" w:cs="Arial"/>
      <w:color w:val="000000"/>
      <w:szCs w:val="20"/>
    </w:rPr>
  </w:style>
  <w:style w:type="paragraph" w:styleId="Heading9">
    <w:name w:val="heading 9"/>
    <w:basedOn w:val="Normal"/>
    <w:link w:val="Heading9Char"/>
    <w:uiPriority w:val="9"/>
    <w:unhideWhenUsed/>
    <w:qFormat/>
    <w:pPr>
      <w:numPr>
        <w:ilvl w:val="8"/>
        <w:numId w:val="11"/>
      </w:numPr>
      <w:spacing w:after="240" w:line="360" w:lineRule="auto"/>
      <w:outlineLvl w:val="8"/>
    </w:pPr>
    <w:rPr>
      <w:rFonts w:eastAsiaTheme="majorEastAsia" w:cs="Arial"/>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eNames">
    <w:name w:val="AddresseeNames"/>
    <w:basedOn w:val="Normal"/>
    <w:semiHidden/>
    <w:pPr>
      <w:tabs>
        <w:tab w:val="center" w:pos="4680"/>
        <w:tab w:val="right" w:pos="9360"/>
      </w:tabs>
    </w:pPr>
    <w:rPr>
      <w:rFonts w:eastAsia="Times New Roman" w:cs="Times New Roman"/>
      <w:szCs w:val="20"/>
    </w:rPr>
  </w:style>
  <w:style w:type="paragraph" w:styleId="Header">
    <w:name w:val="header"/>
    <w:next w:val="AddresseeNames"/>
    <w:link w:val="HeaderChar"/>
    <w:uiPriority w:val="99"/>
    <w:unhideWhenUsed/>
    <w:pPr>
      <w:tabs>
        <w:tab w:val="center" w:pos="4680"/>
        <w:tab w:val="right" w:pos="9360"/>
      </w:tabs>
      <w:spacing w:after="0"/>
    </w:pPr>
    <w:rPr>
      <w:rFonts w:ascii="Times New Roman" w:hAnsi="Times New Roman"/>
    </w:rPr>
  </w:style>
  <w:style w:type="character" w:customStyle="1" w:styleId="HeaderChar">
    <w:name w:val="Header Char"/>
    <w:basedOn w:val="DefaultParagraphFont"/>
    <w:link w:val="Header"/>
    <w:uiPriority w:val="99"/>
    <w:rPr>
      <w:rFonts w:ascii="Times New Roman" w:hAnsi="Times New Roman"/>
    </w:rPr>
  </w:style>
  <w:style w:type="paragraph" w:customStyle="1" w:styleId="AuthorInfoLetterhead">
    <w:name w:val="AuthorInfoLetterhead"/>
    <w:basedOn w:val="Normal"/>
    <w:semiHidden/>
    <w:rPr>
      <w:rFonts w:eastAsia="Times New Roman" w:cs="Times New Roman"/>
      <w:sz w:val="14"/>
      <w:szCs w:val="20"/>
    </w:rPr>
  </w:style>
  <w:style w:type="paragraph" w:customStyle="1" w:styleId="AuthorNameLetterhead">
    <w:name w:val="AuthorNameLetterhead"/>
    <w:basedOn w:val="Normal"/>
    <w:semiHidden/>
    <w:rPr>
      <w:rFonts w:eastAsia="Times New Roman" w:cs="Times New Roman"/>
      <w:smallCaps/>
      <w:sz w:val="16"/>
      <w:szCs w:val="20"/>
    </w:rPr>
  </w:style>
  <w:style w:type="paragraph" w:customStyle="1" w:styleId="ConfidentialityPhrase">
    <w:name w:val="ConfidentialityPhrase"/>
    <w:basedOn w:val="Normal"/>
    <w:link w:val="ConfidentialityPhraseChar"/>
    <w:pPr>
      <w:contextualSpacing/>
      <w:jc w:val="center"/>
    </w:pPr>
    <w:rPr>
      <w:rFonts w:eastAsia="Times New Roman" w:cs="Times New Roman"/>
      <w:b/>
      <w:bCs/>
      <w:caps/>
    </w:rPr>
  </w:style>
  <w:style w:type="paragraph" w:styleId="Date">
    <w:name w:val="Date"/>
    <w:basedOn w:val="Normal"/>
    <w:next w:val="Normal"/>
    <w:link w:val="DateChar"/>
    <w:semiHidden/>
    <w:rPr>
      <w:rFonts w:eastAsia="Times New Roman" w:cs="Times New Roman"/>
      <w:szCs w:val="20"/>
    </w:rPr>
  </w:style>
  <w:style w:type="character" w:customStyle="1" w:styleId="DateChar">
    <w:name w:val="Date Char"/>
    <w:basedOn w:val="DefaultParagraphFont"/>
    <w:link w:val="Date"/>
    <w:semiHidden/>
    <w:rPr>
      <w:rFonts w:ascii="Times New Roman" w:eastAsia="Times New Roman" w:hAnsi="Times New Roman" w:cs="Times New Roman"/>
      <w:sz w:val="24"/>
      <w:szCs w:val="20"/>
    </w:rPr>
  </w:style>
  <w:style w:type="paragraph" w:customStyle="1" w:styleId="DateInHeader">
    <w:name w:val="DateInHeader"/>
    <w:basedOn w:val="Header"/>
    <w:semiHidden/>
    <w:qFormat/>
    <w:rPr>
      <w:rFonts w:eastAsia="Times New Roman" w:cs="Times New Roman"/>
      <w:szCs w:val="20"/>
    </w:rPr>
  </w:style>
  <w:style w:type="paragraph" w:customStyle="1" w:styleId="DeliveryMethod">
    <w:name w:val="DeliveryMethod"/>
    <w:basedOn w:val="Normal"/>
    <w:pPr>
      <w:contextualSpacing/>
    </w:pPr>
    <w:rPr>
      <w:rFonts w:eastAsia="Times New Roman" w:cs="Times New Roman"/>
      <w:b/>
      <w:bCs/>
    </w:rPr>
  </w:style>
  <w:style w:type="character" w:customStyle="1" w:styleId="DocID">
    <w:name w:val="DocID"/>
    <w:basedOn w:val="DefaultParagraphFont"/>
    <w:semiHidden/>
    <w:rPr>
      <w:sz w:val="14"/>
    </w:rPr>
  </w:style>
  <w:style w:type="paragraph" w:customStyle="1" w:styleId="enclosure">
    <w:name w:val="enclosure"/>
    <w:basedOn w:val="Normal"/>
    <w:next w:val="Normal"/>
    <w:semiHidden/>
    <w:pPr>
      <w:contextualSpacing/>
    </w:pPr>
    <w:rPr>
      <w:rFonts w:eastAsia="Times New Roman" w:cs="Times New Roman"/>
    </w:rPr>
  </w:style>
  <w:style w:type="paragraph" w:customStyle="1" w:styleId="MemoHeading">
    <w:name w:val="MemoHeading"/>
    <w:basedOn w:val="Normal"/>
    <w:semiHidden/>
    <w:pPr>
      <w:spacing w:before="240" w:after="480"/>
      <w:jc w:val="center"/>
    </w:pPr>
    <w:rPr>
      <w:rFonts w:ascii="Times New Roman Bold" w:eastAsia="Times New Roman" w:hAnsi="Times New Roman Bold" w:cs="Times New Roman"/>
      <w:b/>
      <w:caps/>
      <w:szCs w:val="36"/>
      <w:u w:val="single"/>
    </w:rPr>
  </w:style>
  <w:style w:type="paragraph" w:customStyle="1" w:styleId="PageNumberInHeader">
    <w:name w:val="PageNumberInHeader"/>
    <w:basedOn w:val="Header"/>
    <w:next w:val="Header"/>
    <w:semiHidden/>
    <w:rPr>
      <w:rFonts w:eastAsia="Times New Roman" w:cs="Times New Roman"/>
      <w:noProof/>
    </w:rPr>
  </w:style>
  <w:style w:type="character" w:styleId="PlaceholderText">
    <w:name w:val="Placeholder Text"/>
    <w:basedOn w:val="DefaultParagraphFont"/>
    <w:uiPriority w:val="99"/>
    <w:semiHidden/>
    <w:rPr>
      <w:color w:val="808080"/>
    </w:rPr>
  </w:style>
  <w:style w:type="paragraph" w:customStyle="1" w:styleId="MemoTableData">
    <w:name w:val="MemoTableData"/>
    <w:basedOn w:val="Normal"/>
    <w:semiHidden/>
    <w:rPr>
      <w:rFonts w:eastAsia="Times New Roman" w:cs="Times New Roman"/>
      <w:szCs w:val="20"/>
    </w:rPr>
  </w:style>
  <w:style w:type="paragraph" w:customStyle="1" w:styleId="ReLine">
    <w:name w:val="Re Line"/>
    <w:basedOn w:val="MemoTableData"/>
  </w:style>
  <w:style w:type="paragraph" w:customStyle="1" w:styleId="MemoTableLabel">
    <w:name w:val="MemoTableLabel"/>
    <w:basedOn w:val="Normal"/>
    <w:semiHidden/>
    <w:rPr>
      <w:rFonts w:eastAsia="Times New Roman" w:cs="Times New Roman"/>
      <w:caps/>
    </w:rPr>
  </w:style>
  <w:style w:type="paragraph" w:customStyle="1" w:styleId="bcc">
    <w:name w:val="bcc"/>
    <w:basedOn w:val="Normal"/>
    <w:semiHidden/>
    <w:pPr>
      <w:ind w:left="720" w:hanging="720"/>
    </w:pPr>
    <w:rPr>
      <w:rFonts w:eastAsia="Times New Roman" w:cs="Times New Roman"/>
      <w:szCs w:val="20"/>
    </w:rPr>
  </w:style>
  <w:style w:type="paragraph" w:customStyle="1" w:styleId="cc">
    <w:name w:val="cc"/>
    <w:basedOn w:val="Normal"/>
    <w:semiHidden/>
    <w:pPr>
      <w:ind w:left="720" w:hanging="720"/>
    </w:pPr>
    <w:rPr>
      <w:rFonts w:eastAsia="Times New Roman" w:cs="Times New Roman"/>
      <w:szCs w:val="20"/>
    </w:rPr>
  </w:style>
  <w:style w:type="paragraph" w:customStyle="1" w:styleId="Initials">
    <w:name w:val="Initials"/>
    <w:basedOn w:val="Normal"/>
    <w:semiHidden/>
    <w:rPr>
      <w:rFonts w:eastAsia="Times New Roman"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pPr>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ogo">
    <w:name w:val="Logo"/>
    <w:basedOn w:val="Header"/>
    <w:next w:val="Normal"/>
    <w:qFormat/>
    <w:pPr>
      <w:spacing w:before="360"/>
    </w:pPr>
    <w:rPr>
      <w:rFonts w:ascii="Arial" w:hAnsi="Arial"/>
      <w:sz w:val="21"/>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Arial" w:hAnsi="Arial"/>
      <w:sz w:val="21"/>
    </w:rPr>
  </w:style>
  <w:style w:type="paragraph" w:styleId="NoSpacing">
    <w:name w:val="No Spacing"/>
    <w:uiPriority w:val="1"/>
    <w:semiHidden/>
    <w:unhideWhenUsed/>
    <w:qFormat/>
    <w:pPr>
      <w:spacing w:after="0"/>
    </w:pPr>
    <w:rPr>
      <w:rFonts w:ascii="Times New Roman" w:hAnsi="Times New Roman"/>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Arial" w:hAnsi="Arial"/>
      <w:sz w:val="21"/>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1"/>
      </w:numPr>
      <w:spacing w:before="120" w:after="120" w:line="480" w:lineRule="auto"/>
      <w:ind w:left="3240"/>
      <w:contextualSpacing/>
    </w:pPr>
  </w:style>
  <w:style w:type="paragraph" w:styleId="ListContinue">
    <w:name w:val="List Continue"/>
    <w:basedOn w:val="Normal"/>
    <w:qFormat/>
    <w:pPr>
      <w:ind w:left="720"/>
    </w:pPr>
  </w:style>
  <w:style w:type="paragraph" w:styleId="ListNumber">
    <w:name w:val="List Number"/>
    <w:basedOn w:val="Normal"/>
    <w:qFormat/>
    <w:pPr>
      <w:numPr>
        <w:numId w:val="2"/>
      </w:numPr>
      <w:contextualSpacing/>
    </w:pPr>
  </w:style>
  <w:style w:type="paragraph" w:styleId="Title">
    <w:name w:val="Title"/>
    <w:basedOn w:val="Normal"/>
    <w:next w:val="BodyTextFirstIndent"/>
    <w:link w:val="TitleChar"/>
    <w:qFormat/>
    <w:pPr>
      <w:keepNext/>
      <w:jc w:val="center"/>
    </w:pPr>
    <w:rPr>
      <w:rFonts w:eastAsiaTheme="majorEastAsia" w:cstheme="majorBidi"/>
      <w:b/>
      <w:kern w:val="28"/>
      <w:szCs w:val="52"/>
    </w:rPr>
  </w:style>
  <w:style w:type="character" w:customStyle="1" w:styleId="TitleChar">
    <w:name w:val="Title Char"/>
    <w:basedOn w:val="DefaultParagraphFont"/>
    <w:link w:val="Title"/>
    <w:rPr>
      <w:rFonts w:ascii="Times New Roman" w:eastAsiaTheme="majorEastAsia" w:hAnsi="Times New Roman" w:cstheme="majorBidi"/>
      <w:b/>
      <w:kern w:val="28"/>
      <w:sz w:val="24"/>
      <w:szCs w:val="52"/>
    </w:rPr>
  </w:style>
  <w:style w:type="paragraph" w:customStyle="1" w:styleId="TitleLeft">
    <w:name w:val="Title Left"/>
    <w:basedOn w:val="Normal"/>
    <w:next w:val="BodyTextFirstIndent"/>
    <w:uiPriority w:val="10"/>
    <w:qFormat/>
    <w:pPr>
      <w:keepNext/>
    </w:pPr>
    <w:rPr>
      <w:b/>
    </w:rPr>
  </w:style>
  <w:style w:type="character" w:customStyle="1" w:styleId="Heading1Char">
    <w:name w:val="Heading 1 Char"/>
    <w:basedOn w:val="DefaultParagraphFont"/>
    <w:link w:val="Heading1"/>
    <w:uiPriority w:val="9"/>
    <w:rPr>
      <w:rFonts w:ascii="Arial" w:eastAsiaTheme="majorEastAsia" w:hAnsi="Arial" w:cs="Arial"/>
      <w:b/>
      <w:bCs/>
      <w:caps/>
      <w:color w:val="000000"/>
      <w:sz w:val="21"/>
      <w:szCs w:val="28"/>
    </w:rPr>
  </w:style>
  <w:style w:type="paragraph" w:customStyle="1" w:styleId="MemoP2">
    <w:name w:val="MemoP2"/>
    <w:basedOn w:val="Logo"/>
    <w:semiHidden/>
    <w:qFormat/>
    <w:rPr>
      <w:noProof/>
    </w:rPr>
  </w:style>
  <w:style w:type="character" w:styleId="PageNumber">
    <w:name w:val="page number"/>
    <w:basedOn w:val="DefaultParagraphFont"/>
    <w:semiHidden/>
    <w:rPr>
      <w:noProof w:val="0"/>
      <w:lang w:val="en-US"/>
    </w:rPr>
  </w:style>
  <w:style w:type="paragraph" w:customStyle="1" w:styleId="LetterheadFooterLLP">
    <w:name w:val="LetterheadFooter_LLP"/>
    <w:basedOn w:val="Footer"/>
    <w:semiHidden/>
    <w:qFormat/>
    <w:pPr>
      <w:jc w:val="center"/>
    </w:pPr>
    <w:rPr>
      <w:rFonts w:eastAsia="Times New Roman" w:cs="Times New Roman"/>
      <w:sz w:val="11"/>
      <w:szCs w:val="20"/>
    </w:rPr>
  </w:style>
  <w:style w:type="paragraph" w:styleId="BlockText">
    <w:name w:val="Block Text"/>
    <w:basedOn w:val="Normal"/>
    <w:pPr>
      <w:ind w:left="1440" w:right="1440"/>
    </w:pPr>
    <w:rPr>
      <w:rFonts w:eastAsiaTheme="minorEastAsia"/>
      <w:iCs/>
    </w:rPr>
  </w:style>
  <w:style w:type="character" w:customStyle="1" w:styleId="Heading2Char">
    <w:name w:val="Heading 2 Char"/>
    <w:basedOn w:val="DefaultParagraphFont"/>
    <w:link w:val="Heading2"/>
    <w:uiPriority w:val="9"/>
    <w:rPr>
      <w:rFonts w:ascii="Arial" w:eastAsiaTheme="majorEastAsia" w:hAnsi="Arial" w:cs="Arial"/>
      <w:b/>
      <w:bCs/>
      <w:color w:val="000000"/>
      <w:sz w:val="21"/>
      <w:szCs w:val="26"/>
    </w:rPr>
  </w:style>
  <w:style w:type="character" w:customStyle="1" w:styleId="Heading3Char">
    <w:name w:val="Heading 3 Char"/>
    <w:basedOn w:val="DefaultParagraphFont"/>
    <w:link w:val="Heading3"/>
    <w:uiPriority w:val="9"/>
    <w:rPr>
      <w:rFonts w:ascii="Arial" w:eastAsiaTheme="majorEastAsia" w:hAnsi="Arial" w:cs="Arial"/>
      <w:b/>
      <w:bCs/>
      <w:color w:val="000000"/>
      <w:sz w:val="21"/>
    </w:rPr>
  </w:style>
  <w:style w:type="character" w:customStyle="1" w:styleId="Heading4Char">
    <w:name w:val="Heading 4 Char"/>
    <w:basedOn w:val="DefaultParagraphFont"/>
    <w:link w:val="Heading4"/>
    <w:uiPriority w:val="9"/>
    <w:rPr>
      <w:rFonts w:ascii="Arial" w:eastAsiaTheme="majorEastAsia" w:hAnsi="Arial" w:cs="Arial"/>
      <w:b/>
      <w:bCs/>
      <w:i/>
      <w:iCs/>
      <w:color w:val="000000"/>
      <w:sz w:val="21"/>
    </w:rPr>
  </w:style>
  <w:style w:type="character" w:customStyle="1" w:styleId="Heading5Char">
    <w:name w:val="Heading 5 Char"/>
    <w:basedOn w:val="DefaultParagraphFont"/>
    <w:link w:val="Heading5"/>
    <w:uiPriority w:val="9"/>
    <w:rPr>
      <w:rFonts w:ascii="Arial" w:eastAsiaTheme="majorEastAsia" w:hAnsi="Arial" w:cs="Arial"/>
      <w:b/>
      <w:i/>
      <w:color w:val="000000"/>
      <w:sz w:val="21"/>
    </w:rPr>
  </w:style>
  <w:style w:type="character" w:customStyle="1" w:styleId="Heading6Char">
    <w:name w:val="Heading 6 Char"/>
    <w:basedOn w:val="DefaultParagraphFont"/>
    <w:link w:val="Heading6"/>
    <w:uiPriority w:val="9"/>
    <w:rPr>
      <w:rFonts w:ascii="Arial" w:eastAsiaTheme="majorEastAsia" w:hAnsi="Arial" w:cs="Arial"/>
      <w:iCs/>
      <w:color w:val="000000"/>
      <w:sz w:val="21"/>
    </w:rPr>
  </w:style>
  <w:style w:type="character" w:customStyle="1" w:styleId="Heading7Char">
    <w:name w:val="Heading 7 Char"/>
    <w:basedOn w:val="DefaultParagraphFont"/>
    <w:link w:val="Heading7"/>
    <w:uiPriority w:val="9"/>
    <w:rPr>
      <w:rFonts w:ascii="Arial" w:eastAsiaTheme="majorEastAsia" w:hAnsi="Arial" w:cs="Arial"/>
      <w:iCs/>
      <w:color w:val="000000"/>
      <w:sz w:val="21"/>
    </w:rPr>
  </w:style>
  <w:style w:type="character" w:customStyle="1" w:styleId="Heading8Char">
    <w:name w:val="Heading 8 Char"/>
    <w:basedOn w:val="DefaultParagraphFont"/>
    <w:link w:val="Heading8"/>
    <w:uiPriority w:val="9"/>
    <w:rPr>
      <w:rFonts w:ascii="Arial" w:eastAsiaTheme="majorEastAsia" w:hAnsi="Arial" w:cs="Arial"/>
      <w:color w:val="000000"/>
      <w:sz w:val="21"/>
      <w:szCs w:val="20"/>
    </w:rPr>
  </w:style>
  <w:style w:type="character" w:customStyle="1" w:styleId="Heading9Char">
    <w:name w:val="Heading 9 Char"/>
    <w:basedOn w:val="DefaultParagraphFont"/>
    <w:link w:val="Heading9"/>
    <w:uiPriority w:val="9"/>
    <w:rPr>
      <w:rFonts w:ascii="Arial" w:eastAsiaTheme="majorEastAsia" w:hAnsi="Arial" w:cs="Arial"/>
      <w:iCs/>
      <w:color w:val="000000"/>
      <w:sz w:val="21"/>
      <w:szCs w:val="20"/>
    </w:rPr>
  </w:style>
  <w:style w:type="table" w:customStyle="1" w:styleId="pcgTable">
    <w:name w:val="pcgTable"/>
    <w:basedOn w:val="TableNormal"/>
    <w:uiPriority w:val="99"/>
    <w:qFormat/>
    <w:pPr>
      <w:spacing w:after="0"/>
    </w:pPr>
    <w:tblPr>
      <w:jc w:val="center"/>
      <w:tblInd w:w="0" w:type="dxa"/>
      <w:tblCellMar>
        <w:top w:w="0" w:type="dxa"/>
        <w:left w:w="115" w:type="dxa"/>
        <w:bottom w:w="0" w:type="dxa"/>
        <w:right w:w="115" w:type="dxa"/>
      </w:tblCellMar>
    </w:tblPr>
    <w:trPr>
      <w:jc w:val="center"/>
    </w:t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sz w:val="16"/>
      <w:szCs w:val="1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BodyTextFirstIndent2">
    <w:name w:val="Body Text First Indent 2"/>
    <w:basedOn w:val="BodyTextIndent"/>
    <w:link w:val="BodyTextFirstIndent2Char"/>
    <w:uiPriority w:val="99"/>
    <w:semiHidden/>
    <w:unhideWhenUsed/>
    <w:pPr>
      <w:spacing w:after="24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rPr>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rFonts w:ascii="Times New Roman" w:hAnsi="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hAnsi="Times New Roman"/>
    </w:rPr>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hAnsi="Times New Roman"/>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hAnsi="Times New Roman"/>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rFonts w:ascii="Times New Roman" w:hAnsi="Times New Roman"/>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unhideWhenUsed/>
    <w:qFormat/>
    <w:pPr>
      <w:numPr>
        <w:numId w:val="3"/>
      </w:numPr>
      <w:tabs>
        <w:tab w:val="clear" w:pos="720"/>
        <w:tab w:val="num" w:pos="1094"/>
      </w:tabs>
      <w:spacing w:after="240"/>
      <w:ind w:left="1094" w:hanging="547"/>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hAnsi="Times New Roman"/>
    </w:rPr>
  </w:style>
  <w:style w:type="paragraph" w:styleId="PlainText">
    <w:name w:val="Plain Text"/>
    <w:basedOn w:val="Normal"/>
    <w:link w:val="PlainTextChar"/>
    <w:uiPriority w:val="99"/>
    <w:semiHidden/>
    <w:unhideWhenUsed/>
    <w:rPr>
      <w:rFonts w:ascii="Consolas" w:hAnsi="Consolas" w:cs="Consolas"/>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rFonts w:ascii="Times New Roman" w:hAnsi="Times New Roman"/>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customStyle="1" w:styleId="CenterBoldUnderline">
    <w:name w:val="Center Bold Underline"/>
    <w:basedOn w:val="Normal"/>
    <w:next w:val="Normal"/>
    <w:qFormat/>
    <w:pPr>
      <w:keepNext/>
      <w:keepLines/>
      <w:spacing w:after="240"/>
      <w:jc w:val="center"/>
    </w:pPr>
    <w:rPr>
      <w:rFonts w:eastAsia="Calibri" w:cs="Times New Roman"/>
      <w:b/>
      <w:szCs w:val="20"/>
      <w:u w:val="single"/>
    </w:rPr>
  </w:style>
  <w:style w:type="paragraph" w:customStyle="1" w:styleId="ConfidentialityPhraseCompressed">
    <w:name w:val="ConfidentialityPhrase Compressed"/>
    <w:basedOn w:val="ConfidentialityPhrase"/>
    <w:next w:val="Normal"/>
    <w:link w:val="ConfidentialityPhraseCompressedChar"/>
    <w:rPr>
      <w:b w:val="0"/>
      <w:sz w:val="6"/>
    </w:rPr>
  </w:style>
  <w:style w:type="character" w:customStyle="1" w:styleId="ConfidentialityPhraseChar">
    <w:name w:val="ConfidentialityPhrase Char"/>
    <w:basedOn w:val="DefaultParagraphFont"/>
    <w:link w:val="ConfidentialityPhrase"/>
    <w:rPr>
      <w:rFonts w:ascii="Times New Roman" w:eastAsia="Times New Roman" w:hAnsi="Times New Roman" w:cs="Times New Roman"/>
      <w:b/>
      <w:bCs/>
      <w:caps/>
    </w:rPr>
  </w:style>
  <w:style w:type="character" w:customStyle="1" w:styleId="ConfidentialityPhraseCompressedChar">
    <w:name w:val="ConfidentialityPhrase Compressed Char"/>
    <w:basedOn w:val="ConfidentialityPhraseChar"/>
    <w:link w:val="ConfidentialityPhraseCompressed"/>
    <w:rPr>
      <w:sz w:val="6"/>
    </w:rPr>
  </w:style>
  <w:style w:type="paragraph" w:customStyle="1" w:styleId="DeliveryMethodCompressed">
    <w:name w:val="DeliveryMethod Compressed"/>
    <w:basedOn w:val="DeliveryMethod"/>
    <w:next w:val="Normal"/>
    <w:link w:val="DeliveryMethodCompressedChar"/>
    <w:rPr>
      <w:b w:val="0"/>
      <w:sz w:val="6"/>
    </w:rPr>
  </w:style>
  <w:style w:type="character" w:customStyle="1" w:styleId="DeliveryMethodCompressedChar">
    <w:name w:val="DeliveryMethod Compressed Char"/>
    <w:basedOn w:val="ConfidentialityPhraseCompressedChar"/>
    <w:link w:val="DeliveryMethodCompressed"/>
  </w:style>
  <w:style w:type="paragraph" w:customStyle="1" w:styleId="ListSubparagraph">
    <w:name w:val="List Subparagraph"/>
    <w:basedOn w:val="ListParagraph"/>
    <w:pPr>
      <w:widowControl w:val="0"/>
      <w:spacing w:after="240"/>
      <w:ind w:left="1440" w:hanging="360"/>
      <w:contextualSpacing w:val="0"/>
    </w:pPr>
    <w:rPr>
      <w:szCs w:val="22"/>
    </w:rPr>
  </w:style>
  <w:style w:type="paragraph" w:customStyle="1" w:styleId="ListSubparagraph2">
    <w:name w:val="List Subparagraph 2"/>
    <w:basedOn w:val="ListSubparagraph"/>
    <w:pPr>
      <w:ind w:left="2160"/>
    </w:pPr>
  </w:style>
  <w:style w:type="paragraph" w:customStyle="1" w:styleId="ListSubparagraph3">
    <w:name w:val="List Subparagraph 3"/>
    <w:basedOn w:val="ListSubparagraph2"/>
    <w:pPr>
      <w:ind w:left="2880"/>
    </w:pPr>
  </w:style>
  <w:style w:type="paragraph" w:customStyle="1" w:styleId="ListSubparagraph4">
    <w:name w:val="List Subparagraph 4"/>
    <w:basedOn w:val="ListSubparagraph3"/>
    <w:pPr>
      <w:ind w:left="3600"/>
    </w:pPr>
  </w:style>
  <w:style w:type="paragraph" w:styleId="Revision">
    <w:name w:val="Revision"/>
    <w:hidden/>
    <w:uiPriority w:val="99"/>
    <w:semiHidden/>
    <w:pPr>
      <w:spacing w:after="0"/>
    </w:pPr>
    <w:rPr>
      <w:rFonts w:ascii="Arial" w:hAnsi="Arial"/>
      <w:sz w:val="21"/>
    </w:rPr>
  </w:style>
  <w:style w:type="paragraph" w:customStyle="1" w:styleId="CWGbody">
    <w:name w:val="CWG body"/>
    <w:basedOn w:val="Normal"/>
    <w:qFormat/>
    <w:pPr>
      <w:shd w:val="clear" w:color="auto" w:fill="FFFFFF"/>
      <w:spacing w:before="100" w:beforeAutospacing="1" w:after="100" w:afterAutospacing="1"/>
      <w:jc w:val="left"/>
    </w:pPr>
    <w:rPr>
      <w:rFonts w:asciiTheme="minorHAnsi" w:eastAsia="Times New Roman" w:hAnsiTheme="minorHAnsi" w:cs="Helvetica"/>
      <w:sz w:val="24"/>
      <w:lang w:val="en-CA" w:eastAsia="en-CA"/>
    </w:rPr>
  </w:style>
  <w:style w:type="paragraph" w:customStyle="1" w:styleId="CWGL4">
    <w:name w:val="CWG L4"/>
    <w:basedOn w:val="Heading4"/>
    <w:next w:val="CWGbody"/>
    <w:uiPriority w:val="1"/>
    <w:qFormat/>
    <w:pPr>
      <w:numPr>
        <w:ilvl w:val="0"/>
        <w:numId w:val="0"/>
      </w:numPr>
      <w:autoSpaceDE w:val="0"/>
      <w:autoSpaceDN w:val="0"/>
      <w:adjustRightInd w:val="0"/>
      <w:spacing w:before="100" w:beforeAutospacing="1" w:after="100" w:afterAutospacing="1" w:line="259" w:lineRule="auto"/>
      <w:outlineLvl w:val="1"/>
    </w:pPr>
    <w:rPr>
      <w:rFonts w:asciiTheme="minorHAnsi" w:eastAsia="Times New Roman" w:hAnsiTheme="minorHAnsi" w:cs="Times New Roman"/>
      <w:i w:val="0"/>
      <w:iCs w:val="0"/>
      <w:color w:val="auto"/>
      <w:sz w:val="22"/>
      <w:szCs w:val="22"/>
      <w:lang w:val="en-CA" w:eastAsia="en-CA"/>
    </w:rPr>
  </w:style>
</w:styles>
</file>

<file path=word/webSettings.xml><?xml version="1.0" encoding="utf-8"?>
<w:webSettings xmlns:r="http://schemas.openxmlformats.org/officeDocument/2006/relationships" xmlns:w="http://schemas.openxmlformats.org/wordprocessingml/2006/main">
  <w:divs>
    <w:div w:id="40058144">
      <w:bodyDiv w:val="1"/>
      <w:marLeft w:val="0"/>
      <w:marRight w:val="0"/>
      <w:marTop w:val="0"/>
      <w:marBottom w:val="0"/>
      <w:divBdr>
        <w:top w:val="none" w:sz="0" w:space="0" w:color="auto"/>
        <w:left w:val="none" w:sz="0" w:space="0" w:color="auto"/>
        <w:bottom w:val="none" w:sz="0" w:space="0" w:color="auto"/>
        <w:right w:val="none" w:sz="0" w:space="0" w:color="auto"/>
      </w:divBdr>
    </w:div>
    <w:div w:id="44185657">
      <w:bodyDiv w:val="1"/>
      <w:marLeft w:val="0"/>
      <w:marRight w:val="0"/>
      <w:marTop w:val="0"/>
      <w:marBottom w:val="0"/>
      <w:divBdr>
        <w:top w:val="none" w:sz="0" w:space="0" w:color="auto"/>
        <w:left w:val="none" w:sz="0" w:space="0" w:color="auto"/>
        <w:bottom w:val="none" w:sz="0" w:space="0" w:color="auto"/>
        <w:right w:val="none" w:sz="0" w:space="0" w:color="auto"/>
      </w:divBdr>
    </w:div>
    <w:div w:id="299776014">
      <w:bodyDiv w:val="1"/>
      <w:marLeft w:val="0"/>
      <w:marRight w:val="0"/>
      <w:marTop w:val="0"/>
      <w:marBottom w:val="0"/>
      <w:divBdr>
        <w:top w:val="none" w:sz="0" w:space="0" w:color="auto"/>
        <w:left w:val="none" w:sz="0" w:space="0" w:color="auto"/>
        <w:bottom w:val="none" w:sz="0" w:space="0" w:color="auto"/>
        <w:right w:val="none" w:sz="0" w:space="0" w:color="auto"/>
      </w:divBdr>
    </w:div>
    <w:div w:id="413092806">
      <w:bodyDiv w:val="1"/>
      <w:marLeft w:val="0"/>
      <w:marRight w:val="0"/>
      <w:marTop w:val="0"/>
      <w:marBottom w:val="0"/>
      <w:divBdr>
        <w:top w:val="none" w:sz="0" w:space="0" w:color="auto"/>
        <w:left w:val="none" w:sz="0" w:space="0" w:color="auto"/>
        <w:bottom w:val="none" w:sz="0" w:space="0" w:color="auto"/>
        <w:right w:val="none" w:sz="0" w:space="0" w:color="auto"/>
      </w:divBdr>
    </w:div>
    <w:div w:id="450444776">
      <w:bodyDiv w:val="1"/>
      <w:marLeft w:val="0"/>
      <w:marRight w:val="0"/>
      <w:marTop w:val="0"/>
      <w:marBottom w:val="0"/>
      <w:divBdr>
        <w:top w:val="none" w:sz="0" w:space="0" w:color="auto"/>
        <w:left w:val="none" w:sz="0" w:space="0" w:color="auto"/>
        <w:bottom w:val="none" w:sz="0" w:space="0" w:color="auto"/>
        <w:right w:val="none" w:sz="0" w:space="0" w:color="auto"/>
      </w:divBdr>
    </w:div>
    <w:div w:id="454447924">
      <w:bodyDiv w:val="1"/>
      <w:marLeft w:val="0"/>
      <w:marRight w:val="0"/>
      <w:marTop w:val="0"/>
      <w:marBottom w:val="0"/>
      <w:divBdr>
        <w:top w:val="none" w:sz="0" w:space="0" w:color="auto"/>
        <w:left w:val="none" w:sz="0" w:space="0" w:color="auto"/>
        <w:bottom w:val="none" w:sz="0" w:space="0" w:color="auto"/>
        <w:right w:val="none" w:sz="0" w:space="0" w:color="auto"/>
      </w:divBdr>
    </w:div>
    <w:div w:id="579369943">
      <w:bodyDiv w:val="1"/>
      <w:marLeft w:val="0"/>
      <w:marRight w:val="0"/>
      <w:marTop w:val="0"/>
      <w:marBottom w:val="0"/>
      <w:divBdr>
        <w:top w:val="none" w:sz="0" w:space="0" w:color="auto"/>
        <w:left w:val="none" w:sz="0" w:space="0" w:color="auto"/>
        <w:bottom w:val="none" w:sz="0" w:space="0" w:color="auto"/>
        <w:right w:val="none" w:sz="0" w:space="0" w:color="auto"/>
      </w:divBdr>
    </w:div>
    <w:div w:id="583035063">
      <w:bodyDiv w:val="1"/>
      <w:marLeft w:val="0"/>
      <w:marRight w:val="0"/>
      <w:marTop w:val="0"/>
      <w:marBottom w:val="0"/>
      <w:divBdr>
        <w:top w:val="none" w:sz="0" w:space="0" w:color="auto"/>
        <w:left w:val="none" w:sz="0" w:space="0" w:color="auto"/>
        <w:bottom w:val="none" w:sz="0" w:space="0" w:color="auto"/>
        <w:right w:val="none" w:sz="0" w:space="0" w:color="auto"/>
      </w:divBdr>
    </w:div>
    <w:div w:id="643579720">
      <w:bodyDiv w:val="1"/>
      <w:marLeft w:val="0"/>
      <w:marRight w:val="0"/>
      <w:marTop w:val="0"/>
      <w:marBottom w:val="0"/>
      <w:divBdr>
        <w:top w:val="none" w:sz="0" w:space="0" w:color="auto"/>
        <w:left w:val="none" w:sz="0" w:space="0" w:color="auto"/>
        <w:bottom w:val="none" w:sz="0" w:space="0" w:color="auto"/>
        <w:right w:val="none" w:sz="0" w:space="0" w:color="auto"/>
      </w:divBdr>
    </w:div>
    <w:div w:id="657347044">
      <w:bodyDiv w:val="1"/>
      <w:marLeft w:val="0"/>
      <w:marRight w:val="0"/>
      <w:marTop w:val="0"/>
      <w:marBottom w:val="0"/>
      <w:divBdr>
        <w:top w:val="none" w:sz="0" w:space="0" w:color="auto"/>
        <w:left w:val="none" w:sz="0" w:space="0" w:color="auto"/>
        <w:bottom w:val="none" w:sz="0" w:space="0" w:color="auto"/>
        <w:right w:val="none" w:sz="0" w:space="0" w:color="auto"/>
      </w:divBdr>
    </w:div>
    <w:div w:id="688069364">
      <w:bodyDiv w:val="1"/>
      <w:marLeft w:val="0"/>
      <w:marRight w:val="0"/>
      <w:marTop w:val="0"/>
      <w:marBottom w:val="0"/>
      <w:divBdr>
        <w:top w:val="none" w:sz="0" w:space="0" w:color="auto"/>
        <w:left w:val="none" w:sz="0" w:space="0" w:color="auto"/>
        <w:bottom w:val="none" w:sz="0" w:space="0" w:color="auto"/>
        <w:right w:val="none" w:sz="0" w:space="0" w:color="auto"/>
      </w:divBdr>
    </w:div>
    <w:div w:id="742802362">
      <w:bodyDiv w:val="1"/>
      <w:marLeft w:val="0"/>
      <w:marRight w:val="0"/>
      <w:marTop w:val="0"/>
      <w:marBottom w:val="0"/>
      <w:divBdr>
        <w:top w:val="none" w:sz="0" w:space="0" w:color="auto"/>
        <w:left w:val="none" w:sz="0" w:space="0" w:color="auto"/>
        <w:bottom w:val="none" w:sz="0" w:space="0" w:color="auto"/>
        <w:right w:val="none" w:sz="0" w:space="0" w:color="auto"/>
      </w:divBdr>
    </w:div>
    <w:div w:id="1179154530">
      <w:bodyDiv w:val="1"/>
      <w:marLeft w:val="0"/>
      <w:marRight w:val="0"/>
      <w:marTop w:val="0"/>
      <w:marBottom w:val="0"/>
      <w:divBdr>
        <w:top w:val="none" w:sz="0" w:space="0" w:color="auto"/>
        <w:left w:val="none" w:sz="0" w:space="0" w:color="auto"/>
        <w:bottom w:val="none" w:sz="0" w:space="0" w:color="auto"/>
        <w:right w:val="none" w:sz="0" w:space="0" w:color="auto"/>
      </w:divBdr>
    </w:div>
    <w:div w:id="1277106391">
      <w:bodyDiv w:val="1"/>
      <w:marLeft w:val="0"/>
      <w:marRight w:val="0"/>
      <w:marTop w:val="0"/>
      <w:marBottom w:val="0"/>
      <w:divBdr>
        <w:top w:val="none" w:sz="0" w:space="0" w:color="auto"/>
        <w:left w:val="none" w:sz="0" w:space="0" w:color="auto"/>
        <w:bottom w:val="none" w:sz="0" w:space="0" w:color="auto"/>
        <w:right w:val="none" w:sz="0" w:space="0" w:color="auto"/>
      </w:divBdr>
    </w:div>
    <w:div w:id="1291396142">
      <w:bodyDiv w:val="1"/>
      <w:marLeft w:val="0"/>
      <w:marRight w:val="0"/>
      <w:marTop w:val="0"/>
      <w:marBottom w:val="0"/>
      <w:divBdr>
        <w:top w:val="none" w:sz="0" w:space="0" w:color="auto"/>
        <w:left w:val="none" w:sz="0" w:space="0" w:color="auto"/>
        <w:bottom w:val="none" w:sz="0" w:space="0" w:color="auto"/>
        <w:right w:val="none" w:sz="0" w:space="0" w:color="auto"/>
      </w:divBdr>
    </w:div>
    <w:div w:id="1904557048">
      <w:bodyDiv w:val="1"/>
      <w:marLeft w:val="0"/>
      <w:marRight w:val="0"/>
      <w:marTop w:val="0"/>
      <w:marBottom w:val="0"/>
      <w:divBdr>
        <w:top w:val="none" w:sz="0" w:space="0" w:color="auto"/>
        <w:left w:val="none" w:sz="0" w:space="0" w:color="auto"/>
        <w:bottom w:val="none" w:sz="0" w:space="0" w:color="auto"/>
        <w:right w:val="none" w:sz="0" w:space="0" w:color="auto"/>
      </w:divBdr>
    </w:div>
    <w:div w:id="2019188950">
      <w:bodyDiv w:val="1"/>
      <w:marLeft w:val="0"/>
      <w:marRight w:val="0"/>
      <w:marTop w:val="0"/>
      <w:marBottom w:val="0"/>
      <w:divBdr>
        <w:top w:val="none" w:sz="0" w:space="0" w:color="auto"/>
        <w:left w:val="none" w:sz="0" w:space="0" w:color="auto"/>
        <w:bottom w:val="none" w:sz="0" w:space="0" w:color="auto"/>
        <w:right w:val="none" w:sz="0" w:space="0" w:color="auto"/>
      </w:divBdr>
    </w:div>
    <w:div w:id="212700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tia.doc.gov/files/ntia/publications/amend11_052206.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4907C0687A4D1491DD465B1C01DBA8"/>
        <w:category>
          <w:name w:val="General"/>
          <w:gallery w:val="placeholder"/>
        </w:category>
        <w:types>
          <w:type w:val="bbPlcHdr"/>
        </w:types>
        <w:behaviors>
          <w:behavior w:val="content"/>
        </w:behaviors>
        <w:guid w:val="{BC9CE628-A994-47AA-BD4E-5586B58DE335}"/>
      </w:docPartPr>
      <w:docPartBody>
        <w:p/>
      </w:docPartBody>
    </w:docPart>
    <w:docPart>
      <w:docPartPr>
        <w:name w:val="D5C00E2C1E9640239F9DFDFFCE66FA74"/>
        <w:category>
          <w:name w:val="General"/>
          <w:gallery w:val="placeholder"/>
        </w:category>
        <w:types>
          <w:type w:val="bbPlcHdr"/>
        </w:types>
        <w:behaviors>
          <w:behavior w:val="content"/>
        </w:behaviors>
        <w:guid w:val="{8D06FA61-ACF6-45CE-B8ED-A866D1DD404A}"/>
      </w:docPartPr>
      <w:docPartBody>
        <w:p/>
      </w:docPartBody>
    </w:docPart>
    <w:docPart>
      <w:docPartPr>
        <w:name w:val="38FEAF61856A4FAFBB624003FE7245FE"/>
        <w:category>
          <w:name w:val="General"/>
          <w:gallery w:val="placeholder"/>
        </w:category>
        <w:types>
          <w:type w:val="bbPlcHdr"/>
        </w:types>
        <w:behaviors>
          <w:behavior w:val="content"/>
        </w:behaviors>
        <w:guid w:val="{D918E86E-85A8-49DB-A752-E2E9DCEE6022}"/>
      </w:docPartPr>
      <w:docPartBody>
        <w:p/>
      </w:docPartBody>
    </w:docPart>
    <w:docPart>
      <w:docPartPr>
        <w:name w:val="04927DF0AC414889BBBC98D1698154FC"/>
        <w:category>
          <w:name w:val="General"/>
          <w:gallery w:val="placeholder"/>
        </w:category>
        <w:types>
          <w:type w:val="bbPlcHdr"/>
        </w:types>
        <w:behaviors>
          <w:behavior w:val="content"/>
        </w:behaviors>
        <w:guid w:val="{B5F64DD9-6A40-4FC1-9C8E-EDA7ED35FDB1}"/>
      </w:docPartPr>
      <w:docPartBody>
        <w:p/>
      </w:docPartBody>
    </w:docPart>
    <w:docPart>
      <w:docPartPr>
        <w:name w:val="D52FD3A017E0429DA47A647200D1051F"/>
        <w:category>
          <w:name w:val="General"/>
          <w:gallery w:val="placeholder"/>
        </w:category>
        <w:types>
          <w:type w:val="bbPlcHdr"/>
        </w:types>
        <w:behaviors>
          <w:behavior w:val="content"/>
        </w:behaviors>
        <w:guid w:val="{8D28F53D-6F47-4F40-AC2F-BBCDF7BA9D3D}"/>
      </w:docPartPr>
      <w:docPartBody>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230D-A4A4-4612-BD76-3DB9CB92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Memo.dotx</Template>
  <TotalTime>134</TotalTime>
  <Pages>14</Pages>
  <Words>4116</Words>
  <Characters>22768</Characters>
  <Application>Microsoft Office Word</Application>
  <DocSecurity>0</DocSecurity>
  <Lines>875</Lines>
  <Paragraphs>331</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26553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dc:creator>
  <cp:lastModifiedBy>Pulaski, Katie</cp:lastModifiedBy>
  <cp:revision>22</cp:revision>
  <cp:lastPrinted>2015-05-18T22:26:00Z</cp:lastPrinted>
  <dcterms:created xsi:type="dcterms:W3CDTF">2015-05-18T15:00:00Z</dcterms:created>
  <dcterms:modified xsi:type="dcterms:W3CDTF">2015-05-18T22:52:00Z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207556626</vt:lpwstr>
  </property>
  <property fmtid="{D5CDD505-2E9C-101B-9397-08002B2CF9AE}" pid="3" name="DocumentType">
    <vt:lpwstr>pcgMemo</vt:lpwstr>
  </property>
  <property fmtid="{D5CDD505-2E9C-101B-9397-08002B2CF9AE}" pid="4" name="_AdHocReviewCycleID">
    <vt:i4>2038671012</vt:i4>
  </property>
  <property fmtid="{D5CDD505-2E9C-101B-9397-08002B2CF9AE}" pid="5" name="_NewReviewCycle">
    <vt:lpwstr/>
  </property>
  <property fmtid="{D5CDD505-2E9C-101B-9397-08002B2CF9AE}" pid="6" name="_EmailSubject">
    <vt:lpwstr>ICANN-PTI Term Sheet</vt:lpwstr>
  </property>
  <property fmtid="{D5CDD505-2E9C-101B-9397-08002B2CF9AE}" pid="7" name="_AuthorEmail">
    <vt:lpwstr>kpulaski@sidley.com</vt:lpwstr>
  </property>
  <property fmtid="{D5CDD505-2E9C-101B-9397-08002B2CF9AE}" pid="8" name="_AuthorEmailDisplayName">
    <vt:lpwstr>Pulaski, Katie</vt:lpwstr>
  </property>
</Properties>
</file>