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0" w:line="245" w:lineRule="exact"/>
        <w:ind w:left="40" w:right="-20"/>
        <w:rPr>
          <w:rFonts w:cs="Times New Roman"/>
          <w:spacing w:val="-3"/>
        </w:rPr>
      </w:pPr>
      <w:r>
        <w:rPr>
          <w:rFonts w:cs="Times New Roman"/>
          <w:spacing w:val="-3"/>
        </w:rPr>
        <w:t>__ August 2016</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Samantha Eisner</w:t>
      </w:r>
    </w:p>
    <w:p>
      <w:pPr>
        <w:autoSpaceDE w:val="0"/>
        <w:autoSpaceDN w:val="0"/>
        <w:adjustRightInd w:val="0"/>
        <w:spacing w:after="0" w:line="245" w:lineRule="exact"/>
        <w:ind w:left="40" w:right="-20"/>
        <w:rPr>
          <w:rFonts w:cs="Times New Roman"/>
          <w:spacing w:val="-3"/>
        </w:rPr>
      </w:pPr>
      <w:r>
        <w:rPr>
          <w:rFonts w:cs="Times New Roman"/>
          <w:spacing w:val="-3"/>
        </w:rPr>
        <w:t>Associate General Counsel</w:t>
      </w:r>
    </w:p>
    <w:p>
      <w:pPr>
        <w:autoSpaceDE w:val="0"/>
        <w:autoSpaceDN w:val="0"/>
        <w:adjustRightInd w:val="0"/>
        <w:spacing w:after="0" w:line="245" w:lineRule="exact"/>
        <w:ind w:left="40" w:right="-20"/>
        <w:rPr>
          <w:rFonts w:cs="Times New Roman"/>
          <w:spacing w:val="-3"/>
        </w:rPr>
      </w:pPr>
      <w:r>
        <w:rPr>
          <w:rFonts w:cs="Times New Roman"/>
          <w:spacing w:val="-3"/>
        </w:rPr>
        <w:t>ICANN</w:t>
      </w:r>
    </w:p>
    <w:p>
      <w:pPr>
        <w:autoSpaceDE w:val="0"/>
        <w:autoSpaceDN w:val="0"/>
        <w:adjustRightInd w:val="0"/>
        <w:spacing w:after="0" w:line="245" w:lineRule="exact"/>
        <w:ind w:left="40" w:right="-20"/>
        <w:rPr>
          <w:rFonts w:cs="Times New Roman"/>
          <w:spacing w:val="-3"/>
        </w:rPr>
      </w:pPr>
      <w:r>
        <w:rPr>
          <w:rFonts w:cs="Times New Roman"/>
          <w:spacing w:val="-3"/>
        </w:rPr>
        <w:t>12025 Waterfront Drive, Suite 300</w:t>
      </w:r>
    </w:p>
    <w:p>
      <w:pPr>
        <w:autoSpaceDE w:val="0"/>
        <w:autoSpaceDN w:val="0"/>
        <w:adjustRightInd w:val="0"/>
        <w:spacing w:after="0" w:line="245" w:lineRule="exact"/>
        <w:ind w:left="40" w:right="-20"/>
        <w:rPr>
          <w:rFonts w:cs="Times New Roman"/>
          <w:spacing w:val="-3"/>
        </w:rPr>
      </w:pPr>
      <w:r>
        <w:rPr>
          <w:rFonts w:cs="Times New Roman"/>
          <w:spacing w:val="-3"/>
        </w:rPr>
        <w:t>Los Angeles, CA 90094</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Re:</w:t>
      </w:r>
      <w:r>
        <w:rPr>
          <w:rFonts w:cs="Times New Roman"/>
          <w:spacing w:val="-3"/>
        </w:rPr>
        <w:tab/>
        <w:t xml:space="preserve">Draft PTI Bylaws - Comments from the Cross Community Working Group to </w:t>
      </w:r>
      <w:r>
        <w:rPr>
          <w:rFonts w:cs="Times New Roman"/>
          <w:spacing w:val="-3"/>
        </w:rPr>
        <w:tab/>
        <w:t>Develop an IANA Stewardship Transition Proposal on Naming Related Functions (CWG-</w:t>
      </w:r>
      <w:r>
        <w:rPr>
          <w:rFonts w:cs="Times New Roman"/>
          <w:spacing w:val="-3"/>
        </w:rPr>
        <w:tab/>
        <w:t>Stewardship)</w:t>
      </w:r>
    </w:p>
    <w:p>
      <w:pPr>
        <w:autoSpaceDE w:val="0"/>
        <w:autoSpaceDN w:val="0"/>
        <w:adjustRightInd w:val="0"/>
        <w:spacing w:after="0" w:line="258" w:lineRule="exact"/>
        <w:ind w:left="40" w:right="-20"/>
        <w:rPr>
          <w:rFonts w:cs="Times New Roman"/>
        </w:rPr>
      </w:pPr>
    </w:p>
    <w:p>
      <w:pPr>
        <w:autoSpaceDE w:val="0"/>
        <w:autoSpaceDN w:val="0"/>
        <w:adjustRightInd w:val="0"/>
        <w:spacing w:after="0" w:line="258" w:lineRule="exact"/>
        <w:ind w:left="40" w:right="-20"/>
        <w:rPr>
          <w:rFonts w:cs="Times New Roman"/>
        </w:rPr>
      </w:pPr>
      <w:r>
        <w:rPr>
          <w:rFonts w:cs="Times New Roman"/>
        </w:rPr>
        <w:t>D</w:t>
      </w:r>
      <w:r>
        <w:rPr>
          <w:rFonts w:cs="Times New Roman"/>
          <w:spacing w:val="-1"/>
        </w:rPr>
        <w:t>ea</w:t>
      </w:r>
      <w:r>
        <w:rPr>
          <w:rFonts w:cs="Times New Roman"/>
        </w:rPr>
        <w:t>r Ms. Eisner,</w:t>
      </w:r>
    </w:p>
    <w:p>
      <w:pPr>
        <w:autoSpaceDE w:val="0"/>
        <w:autoSpaceDN w:val="0"/>
        <w:adjustRightInd w:val="0"/>
        <w:spacing w:after="0" w:line="240" w:lineRule="exact"/>
        <w:rPr>
          <w:rFonts w:cs="Times New Roman"/>
        </w:rPr>
      </w:pPr>
    </w:p>
    <w:p>
      <w:pPr>
        <w:autoSpaceDE w:val="0"/>
        <w:autoSpaceDN w:val="0"/>
        <w:adjustRightInd w:val="0"/>
        <w:spacing w:after="0"/>
        <w:ind w:left="40" w:right="245"/>
        <w:rPr>
          <w:rFonts w:cs="Times New Roman"/>
          <w:color w:val="000000"/>
        </w:rPr>
      </w:pPr>
      <w:r>
        <w:rPr>
          <w:rFonts w:cs="Times New Roman"/>
          <w:spacing w:val="1"/>
        </w:rPr>
        <w:t>W</w:t>
      </w:r>
      <w:r>
        <w:rPr>
          <w:rFonts w:cs="Times New Roman"/>
        </w:rPr>
        <w:t>e</w:t>
      </w:r>
      <w:r>
        <w:rPr>
          <w:rFonts w:cs="Times New Roman"/>
          <w:spacing w:val="-1"/>
        </w:rPr>
        <w:t xml:space="preserve"> </w:t>
      </w:r>
      <w:r>
        <w:rPr>
          <w:rFonts w:cs="Times New Roman"/>
        </w:rPr>
        <w:t>w</w:t>
      </w:r>
      <w:r>
        <w:rPr>
          <w:rFonts w:cs="Times New Roman"/>
          <w:spacing w:val="-1"/>
        </w:rPr>
        <w:t>r</w:t>
      </w:r>
      <w:r>
        <w:rPr>
          <w:rFonts w:cs="Times New Roman"/>
        </w:rPr>
        <w:t>i</w:t>
      </w:r>
      <w:r>
        <w:rPr>
          <w:rFonts w:cs="Times New Roman"/>
          <w:spacing w:val="1"/>
        </w:rPr>
        <w:t>t</w:t>
      </w:r>
      <w:r>
        <w:rPr>
          <w:rFonts w:cs="Times New Roman"/>
        </w:rPr>
        <w:t>e</w:t>
      </w:r>
      <w:r>
        <w:rPr>
          <w:rFonts w:cs="Times New Roman"/>
          <w:spacing w:val="-1"/>
        </w:rPr>
        <w:t xml:space="preserve"> </w:t>
      </w:r>
      <w:r>
        <w:rPr>
          <w:rFonts w:cs="Times New Roman"/>
        </w:rPr>
        <w:t>in r</w:t>
      </w:r>
      <w:r>
        <w:rPr>
          <w:rFonts w:cs="Times New Roman"/>
          <w:spacing w:val="-1"/>
        </w:rPr>
        <w:t>e</w:t>
      </w:r>
      <w:r>
        <w:rPr>
          <w:rFonts w:cs="Times New Roman"/>
        </w:rPr>
        <w:t>sponse to</w:t>
      </w:r>
      <w:r>
        <w:rPr>
          <w:rFonts w:cs="Times New Roman"/>
          <w:spacing w:val="2"/>
        </w:rPr>
        <w:t xml:space="preserve"> </w:t>
      </w:r>
      <w:r>
        <w:rPr>
          <w:rFonts w:cs="Times New Roman"/>
          <w:spacing w:val="-5"/>
        </w:rPr>
        <w:t xml:space="preserve">ICANN’s </w:t>
      </w:r>
      <w:r>
        <w:rPr>
          <w:rFonts w:cs="Times New Roman"/>
          <w:spacing w:val="2"/>
        </w:rPr>
        <w:t>r</w:t>
      </w:r>
      <w:r>
        <w:rPr>
          <w:rFonts w:cs="Times New Roman"/>
          <w:spacing w:val="-1"/>
        </w:rPr>
        <w:t>ece</w:t>
      </w:r>
      <w:r>
        <w:rPr>
          <w:rFonts w:cs="Times New Roman"/>
        </w:rPr>
        <w:t xml:space="preserve">nt </w:t>
      </w:r>
      <w:r>
        <w:rPr>
          <w:rFonts w:cs="Times New Roman"/>
          <w:color w:val="0000FF"/>
          <w:spacing w:val="-58"/>
        </w:rPr>
        <w:t xml:space="preserve"> </w:t>
      </w:r>
      <w:r>
        <w:t>publication of</w:t>
      </w:r>
      <w:r>
        <w:rPr>
          <w:rFonts w:cs="Times New Roman"/>
          <w:color w:val="000000"/>
        </w:rPr>
        <w:t xml:space="preserve"> the draft bylaws for Post-Transition IANA (“</w:t>
      </w:r>
      <w:r>
        <w:rPr>
          <w:rFonts w:cs="Times New Roman"/>
          <w:color w:val="000000"/>
          <w:u w:val="single"/>
        </w:rPr>
        <w:t>PTI</w:t>
      </w:r>
      <w:r>
        <w:rPr>
          <w:rFonts w:cs="Times New Roman"/>
          <w:color w:val="000000"/>
        </w:rPr>
        <w:t>”)</w:t>
      </w:r>
      <w:r>
        <w:rPr>
          <w:rFonts w:cs="Times New Roman"/>
          <w:color w:val="000000"/>
          <w:spacing w:val="-5"/>
        </w:rPr>
        <w:t xml:space="preserve"> dated as of 12 July 2016 (the “</w:t>
      </w:r>
      <w:hyperlink r:id="rId8" w:history="1">
        <w:r>
          <w:rPr>
            <w:rStyle w:val="Hyperlink"/>
            <w:rFonts w:cs="Times New Roman"/>
          </w:rPr>
          <w:t>Draft PTI Bylaws</w:t>
        </w:r>
      </w:hyperlink>
      <w:r>
        <w:rPr>
          <w:rFonts w:cs="Times New Roman"/>
          <w:color w:val="000000"/>
          <w:spacing w:val="-5"/>
        </w:rPr>
        <w:t>”)</w:t>
      </w:r>
      <w:r>
        <w:rPr>
          <w:rFonts w:cs="Times New Roman"/>
          <w:color w:val="000000"/>
        </w:rPr>
        <w:t xml:space="preserve">. </w:t>
      </w:r>
      <w:r>
        <w:rPr>
          <w:rFonts w:cs="Times New Roman"/>
          <w:color w:val="000000"/>
          <w:spacing w:val="1"/>
        </w:rPr>
        <w:t xml:space="preserve"> W</w:t>
      </w:r>
      <w:r>
        <w:rPr>
          <w:rFonts w:cs="Times New Roman"/>
          <w:color w:val="000000"/>
        </w:rPr>
        <w:t>e</w:t>
      </w:r>
      <w:r>
        <w:rPr>
          <w:rFonts w:cs="Times New Roman"/>
          <w:color w:val="000000"/>
          <w:spacing w:val="-1"/>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spacing w:val="2"/>
        </w:rPr>
        <w:t>p</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d th</w:t>
      </w:r>
      <w:r>
        <w:rPr>
          <w:rFonts w:cs="Times New Roman"/>
          <w:color w:val="000000"/>
          <w:spacing w:val="1"/>
        </w:rPr>
        <w:t>i</w:t>
      </w:r>
      <w:r>
        <w:rPr>
          <w:rFonts w:cs="Times New Roman"/>
          <w:color w:val="000000"/>
        </w:rPr>
        <w:t xml:space="preserve">s comment letter on behalf of the CWG-Stewardship in our capacities as its co-chairs.  We kindly request that ICANN address the CWG-Stewardship’s comments in the revised version of the PTI bylaws, which we understand will be shared with the CWG-Stewardship for final review following the public comment period. </w:t>
      </w:r>
    </w:p>
    <w:p>
      <w:pPr>
        <w:autoSpaceDE w:val="0"/>
        <w:autoSpaceDN w:val="0"/>
        <w:adjustRightInd w:val="0"/>
        <w:spacing w:after="0" w:line="240" w:lineRule="exact"/>
        <w:rPr>
          <w:rFonts w:cs="Times New Roman"/>
          <w:color w:val="000000"/>
        </w:rPr>
      </w:pPr>
    </w:p>
    <w:p>
      <w:pPr>
        <w:autoSpaceDE w:val="0"/>
        <w:autoSpaceDN w:val="0"/>
        <w:adjustRightInd w:val="0"/>
        <w:spacing w:after="0"/>
        <w:ind w:left="40" w:right="41"/>
        <w:rPr>
          <w:rFonts w:cs="Times New Roman"/>
          <w:color w:val="000000"/>
          <w:spacing w:val="-6"/>
        </w:rPr>
      </w:pPr>
      <w:r>
        <w:rPr>
          <w:rFonts w:cs="Times New Roman"/>
          <w:color w:val="000000"/>
        </w:rPr>
        <w:t>The formation of PTI as a separate legal entity is a critical component of the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rPr>
        <w:t xml:space="preserve">rdship final transition proposal </w:t>
      </w:r>
      <w:r>
        <w:rPr>
          <w:rFonts w:cs="Times New Roman"/>
          <w:color w:val="0000FF"/>
          <w:spacing w:val="-59"/>
        </w:rPr>
        <w:t xml:space="preserve"> </w:t>
      </w:r>
      <w:r>
        <w:rPr>
          <w:rFonts w:cs="Times New Roman"/>
          <w:color w:val="000000" w:themeColor="text1"/>
          <w:spacing w:val="1"/>
        </w:rPr>
        <w:t>that was</w:t>
      </w:r>
      <w:r>
        <w:rPr>
          <w:rFonts w:cs="Times New Roman"/>
          <w:color w:val="0000FF"/>
          <w:spacing w:val="1"/>
        </w:rPr>
        <w:t xml:space="preserve"> </w:t>
      </w:r>
      <w:r>
        <w:rPr>
          <w:rFonts w:cs="Times New Roman"/>
          <w:color w:val="000000"/>
        </w:rPr>
        <w:t>submi</w:t>
      </w:r>
      <w:r>
        <w:rPr>
          <w:rFonts w:cs="Times New Roman"/>
          <w:color w:val="000000"/>
          <w:spacing w:val="1"/>
        </w:rPr>
        <w:t>t</w:t>
      </w:r>
      <w:r>
        <w:rPr>
          <w:rFonts w:cs="Times New Roman"/>
          <w:color w:val="000000"/>
        </w:rPr>
        <w:t xml:space="preserve">ted </w:t>
      </w:r>
      <w:r>
        <w:rPr>
          <w:rFonts w:cs="Times New Roman"/>
          <w:color w:val="000000"/>
          <w:spacing w:val="-1"/>
        </w:rPr>
        <w:t>f</w:t>
      </w:r>
      <w:r>
        <w:rPr>
          <w:rFonts w:cs="Times New Roman"/>
          <w:color w:val="000000"/>
        </w:rPr>
        <w:t xml:space="preserve">or </w:t>
      </w:r>
      <w:r>
        <w:rPr>
          <w:rFonts w:cs="Times New Roman"/>
          <w:color w:val="000000"/>
          <w:spacing w:val="-2"/>
        </w:rPr>
        <w:t>a</w:t>
      </w:r>
      <w:r>
        <w:rPr>
          <w:rFonts w:cs="Times New Roman"/>
          <w:color w:val="000000"/>
        </w:rPr>
        <w:t>ppro</w:t>
      </w:r>
      <w:r>
        <w:rPr>
          <w:rFonts w:cs="Times New Roman"/>
          <w:color w:val="000000"/>
          <w:spacing w:val="-1"/>
        </w:rPr>
        <w:t>va</w:t>
      </w:r>
      <w:r>
        <w:rPr>
          <w:rFonts w:cs="Times New Roman"/>
          <w:color w:val="000000"/>
        </w:rPr>
        <w:t xml:space="preserve">l </w:t>
      </w:r>
      <w:r>
        <w:rPr>
          <w:rFonts w:cs="Times New Roman"/>
          <w:color w:val="000000"/>
          <w:spacing w:val="1"/>
        </w:rPr>
        <w:t>t</w:t>
      </w:r>
      <w:r>
        <w:rPr>
          <w:rFonts w:cs="Times New Roman"/>
          <w:color w:val="000000"/>
        </w:rPr>
        <w:t>o</w:t>
      </w:r>
      <w:r>
        <w:rPr>
          <w:rFonts w:cs="Times New Roman"/>
          <w:color w:val="000000"/>
          <w:spacing w:val="2"/>
        </w:rPr>
        <w:t xml:space="preserve"> </w:t>
      </w:r>
      <w:r>
        <w:rPr>
          <w:rFonts w:cs="Times New Roman"/>
          <w:color w:val="000000"/>
        </w:rPr>
        <w:t xml:space="preserve">the </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rt</w:t>
      </w:r>
      <w:r>
        <w:rPr>
          <w:rFonts w:cs="Times New Roman"/>
          <w:color w:val="000000"/>
          <w:spacing w:val="1"/>
        </w:rPr>
        <w:t>e</w:t>
      </w:r>
      <w:r>
        <w:rPr>
          <w:rFonts w:cs="Times New Roman"/>
          <w:color w:val="000000"/>
        </w:rPr>
        <w:t>ring org</w:t>
      </w:r>
      <w:r>
        <w:rPr>
          <w:rFonts w:cs="Times New Roman"/>
          <w:color w:val="000000"/>
          <w:spacing w:val="-2"/>
        </w:rPr>
        <w:t>a</w:t>
      </w:r>
      <w:r>
        <w:rPr>
          <w:rFonts w:cs="Times New Roman"/>
          <w:color w:val="000000"/>
        </w:rPr>
        <w:t>ni</w:t>
      </w:r>
      <w:r>
        <w:rPr>
          <w:rFonts w:cs="Times New Roman"/>
          <w:color w:val="000000"/>
          <w:spacing w:val="2"/>
        </w:rPr>
        <w:t>z</w:t>
      </w:r>
      <w:r>
        <w:rPr>
          <w:rFonts w:cs="Times New Roman"/>
          <w:color w:val="000000"/>
          <w:spacing w:val="-1"/>
        </w:rPr>
        <w:t>a</w:t>
      </w:r>
      <w:r>
        <w:rPr>
          <w:rFonts w:cs="Times New Roman"/>
          <w:color w:val="000000"/>
        </w:rPr>
        <w:t>t</w:t>
      </w:r>
      <w:r>
        <w:rPr>
          <w:rFonts w:cs="Times New Roman"/>
          <w:color w:val="000000"/>
          <w:spacing w:val="1"/>
        </w:rPr>
        <w:t>i</w:t>
      </w:r>
      <w:r>
        <w:rPr>
          <w:rFonts w:cs="Times New Roman"/>
          <w:color w:val="000000"/>
        </w:rPr>
        <w:t xml:space="preserve">ons on 11 </w:t>
      </w:r>
      <w:r>
        <w:rPr>
          <w:rFonts w:cs="Times New Roman"/>
          <w:color w:val="000000"/>
          <w:spacing w:val="3"/>
        </w:rPr>
        <w:t>J</w:t>
      </w:r>
      <w:r>
        <w:rPr>
          <w:rFonts w:cs="Times New Roman"/>
          <w:color w:val="000000"/>
        </w:rPr>
        <w:t>une</w:t>
      </w:r>
      <w:r>
        <w:rPr>
          <w:rFonts w:cs="Times New Roman"/>
          <w:color w:val="000000"/>
          <w:spacing w:val="-3"/>
        </w:rPr>
        <w:t xml:space="preserve"> </w:t>
      </w:r>
      <w:r>
        <w:rPr>
          <w:rFonts w:cs="Times New Roman"/>
          <w:color w:val="000000"/>
        </w:rPr>
        <w:t>2015 (the “</w:t>
      </w:r>
      <w:hyperlink r:id="rId9" w:history="1">
        <w:r>
          <w:rPr>
            <w:rStyle w:val="Hyperlink"/>
            <w:rFonts w:cs="Times New Roman"/>
          </w:rPr>
          <w:t>Final Transition Proposal</w:t>
        </w:r>
      </w:hyperlink>
      <w:r>
        <w:rPr>
          <w:rFonts w:cs="Times New Roman"/>
          <w:color w:val="000000"/>
        </w:rPr>
        <w:t>”).  As a result, the CWG-Stewardship has had significant involvement in the drafting process for the PTI formation documents.  The CWG-Stewardship is firmly committed to finalizing these fundamental governance documents, and we look forward to working with ICANN to resolve the remaining open issues.</w:t>
      </w:r>
    </w:p>
    <w:p>
      <w:pPr>
        <w:autoSpaceDE w:val="0"/>
        <w:autoSpaceDN w:val="0"/>
        <w:adjustRightInd w:val="0"/>
        <w:spacing w:before="1" w:after="0" w:line="240" w:lineRule="exact"/>
        <w:rPr>
          <w:rFonts w:cs="Times New Roman"/>
          <w:color w:val="000000"/>
        </w:rPr>
      </w:pPr>
    </w:p>
    <w:p>
      <w:pPr>
        <w:autoSpaceDE w:val="0"/>
        <w:autoSpaceDN w:val="0"/>
        <w:adjustRightInd w:val="0"/>
        <w:spacing w:after="0"/>
        <w:ind w:left="40" w:right="245"/>
        <w:rPr>
          <w:rFonts w:cs="Times New Roman"/>
          <w:color w:val="000000"/>
        </w:rPr>
      </w:pPr>
      <w:r>
        <w:rPr>
          <w:rFonts w:cs="Times New Roman"/>
          <w:color w:val="000000"/>
        </w:rPr>
        <w:t xml:space="preserve">Our substantive comments on the Draft PTI Bylaws are discussed in detail below.  We have also attached, as </w:t>
      </w:r>
      <w:r>
        <w:rPr>
          <w:rFonts w:cs="Times New Roman"/>
          <w:color w:val="000000"/>
          <w:u w:val="single"/>
        </w:rPr>
        <w:t>Exhibit A</w:t>
      </w:r>
      <w:r>
        <w:rPr>
          <w:rFonts w:cs="Times New Roman"/>
          <w:color w:val="000000"/>
        </w:rPr>
        <w:t xml:space="preserve">, a mark-up of the Draft PTI Bylaws, which includes some additional minor comments in the nature of conforming edits.      </w:t>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Principal Office (Article 2)</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Article 2 of the Draft PTI Bylaws addresses the Corporation’s principal office as follows: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principal office for the transaction of the business of the Corporation may be established at any place or places within or without the State of California by resolution of the Board.  The Board may at any time establish branch or subordinate offices at any place or places where the Corporation is qualified to transact business.”</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The CWG-Stewardship notes that the ICANN Bylaws take the following approach with respect to ICANN’s principal office: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principal office for the transaction of the business of ICANN shall be in the County of Los Angeles, State of California, United States of America.  ICANN may also have an </w:t>
      </w:r>
      <w:r>
        <w:rPr>
          <w:rFonts w:cs="Times New Roman"/>
          <w:color w:val="000000"/>
        </w:rPr>
        <w:tab/>
        <w:t>additional office or offices within or outside the United States of America as it may from time to time establish.”</w:t>
      </w:r>
    </w:p>
    <w:p>
      <w:pPr>
        <w:pStyle w:val="ListParagraph"/>
        <w:autoSpaceDE w:val="0"/>
        <w:autoSpaceDN w:val="0"/>
        <w:adjustRightInd w:val="0"/>
        <w:spacing w:after="0"/>
        <w:ind w:left="900" w:right="-20"/>
        <w:rPr>
          <w:rFonts w:cs="Times New Roman"/>
          <w:color w:val="000000"/>
        </w:rPr>
      </w:pPr>
      <w:r>
        <w:rPr>
          <w:rFonts w:cs="Times New Roman"/>
          <w:color w:val="000000"/>
        </w:rPr>
        <w:t xml:space="preserve">  </w:t>
      </w: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CWG-Stewardship proposes following this approach in the PTI bylaws by replacing Article 2 with the following text: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principal office for the transaction of the business of the Corporation shall be in the County of Los Angeles, State of California, United States of America.  The Corporation </w:t>
      </w:r>
      <w:r>
        <w:rPr>
          <w:rFonts w:cs="Times New Roman"/>
          <w:color w:val="000000"/>
        </w:rPr>
        <w:tab/>
        <w:t xml:space="preserve">may also have an additional office or offices within </w:t>
      </w:r>
      <w:r>
        <w:rPr>
          <w:rFonts w:cs="Times New Roman"/>
          <w:color w:val="000000"/>
        </w:rPr>
        <w:tab/>
        <w:t xml:space="preserve">or outside the United States of America as it may from time to time establish.” </w:t>
      </w:r>
      <w:r>
        <w:rPr>
          <w:rFonts w:cs="Times New Roman"/>
          <w:b/>
          <w:i/>
          <w:color w:val="000000"/>
        </w:rPr>
        <w:tab/>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Purpose (Article 3, Paragraph 2)</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Consistent with Article 3 of the draft PTI articles of incorporation dated as of 1 July 2016 (the “</w:t>
      </w:r>
      <w:hyperlink r:id="rId10" w:history="1">
        <w:r>
          <w:rPr>
            <w:rStyle w:val="Hyperlink"/>
            <w:rFonts w:cs="Times New Roman"/>
          </w:rPr>
          <w:t>Draft PTI Articles</w:t>
        </w:r>
      </w:hyperlink>
      <w:r>
        <w:rPr>
          <w:rFonts w:cs="Times New Roman"/>
          <w:color w:val="000000"/>
        </w:rPr>
        <w:t xml:space="preserve">”), the second paragraph of Article 3 of the Draft PTI Bylaws describes the “specific purpose” of PTI as follows: </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specific purpose of the Corporation is to operate exclusively for the benefit of, to perform the functions of, and to carry out the purposes of the Internet Corporation for Assigned Names and Numbers (“</w:t>
      </w:r>
      <w:r>
        <w:rPr>
          <w:rFonts w:cs="Times New Roman"/>
          <w:b/>
          <w:color w:val="000000"/>
        </w:rPr>
        <w:t>ICANN</w:t>
      </w:r>
      <w:r>
        <w:rPr>
          <w:rFonts w:cs="Times New Roman"/>
          <w:color w:val="000000"/>
        </w:rPr>
        <w:t xml:space="preserve">”).” </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Consistent with the CWG-Stewardship’s comments on Article 3 of the Draft PTI Articles, and as discussed with and agreed to by ICANN legal, the CWG-Stewardship proposes that the second paragraph of Article 3 of the Draft PTI Bylaws be modified as follows:</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specific purpose of the Corporation is to operate exclusively </w:t>
      </w:r>
      <w:r>
        <w:rPr>
          <w:strike/>
          <w:color w:val="FF0000"/>
        </w:rPr>
        <w:t xml:space="preserve">for the benefit of, to perform the functions of, and </w:t>
      </w:r>
      <w:r>
        <w:rPr>
          <w:rFonts w:cs="Times New Roman"/>
          <w:color w:val="000000"/>
        </w:rPr>
        <w:t>to carry out the purposes of the Internet Corporation for Assigned Names and Numbers (“</w:t>
      </w:r>
      <w:r>
        <w:rPr>
          <w:rFonts w:cs="Times New Roman"/>
          <w:b/>
          <w:color w:val="000000"/>
        </w:rPr>
        <w:t>ICANN</w:t>
      </w:r>
      <w:r>
        <w:rPr>
          <w:rFonts w:cs="Times New Roman"/>
          <w:color w:val="000000"/>
        </w:rPr>
        <w:t>”)</w:t>
      </w:r>
      <w:r>
        <w:rPr>
          <w:rFonts w:cs="Times New Roman"/>
          <w:color w:val="0000FF"/>
          <w:spacing w:val="1"/>
          <w:u w:val="single"/>
        </w:rPr>
        <w:t xml:space="preserve"> by performing the IANA functions on behalf of ICANN</w:t>
      </w:r>
      <w:r>
        <w:rPr>
          <w:rFonts w:cs="Times New Roman"/>
          <w:color w:val="000000"/>
        </w:rPr>
        <w:t xml:space="preserve">.” </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Board Chairperson (Section 5.4)</w:t>
      </w:r>
    </w:p>
    <w:p>
      <w:pPr>
        <w:pStyle w:val="ListParagraph"/>
        <w:autoSpaceDE w:val="0"/>
        <w:autoSpaceDN w:val="0"/>
        <w:adjustRightInd w:val="0"/>
        <w:spacing w:after="0"/>
        <w:ind w:left="760"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Section 5.4 of the Draft PTI Bylaws provides, in part, that the Chairperson “should be selected from among the Nominating Committee Directors.”</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The CWG-Stewardship agrees with concerns that requiring a Nominating Committee Director to serve as the Chairperson could impose unintended limitations on the selection of the Chairperson.  Therefore, given that the President may not serve as the Chairperson and given the other requirements in the Draft PTI Bylaws that will ensure appropriate representation of Nominating Committee Directors in PTI Board activities, the CWG-Stewardship proposes removing this requirement from Section 5.4, as provided below.</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“A chairperson of the Board (the “</w:t>
      </w:r>
      <w:r>
        <w:rPr>
          <w:rFonts w:cs="Times New Roman"/>
          <w:b/>
          <w:color w:val="000000"/>
        </w:rPr>
        <w:t>Chairperson</w:t>
      </w:r>
      <w:r>
        <w:rPr>
          <w:rFonts w:cs="Times New Roman"/>
          <w:color w:val="000000"/>
        </w:rPr>
        <w:t xml:space="preserve">”) shall be elected annually </w:t>
      </w:r>
      <w:r>
        <w:rPr>
          <w:strike/>
          <w:color w:val="FF0000"/>
        </w:rPr>
        <w:t>and should be selected from among the Nominating Committee Directors</w:t>
      </w:r>
      <w:r>
        <w:rPr>
          <w:rFonts w:cs="Times New Roman"/>
          <w:color w:val="000000"/>
        </w:rPr>
        <w:t xml:space="preserve"> by a majority of the Directors then in office.  The President shall not be the Chairperson.  The Chairperson shall preside at meetings of the Board and exercise and perform such other powers and duties as may from time to time be assigned to him or her by the Board or prescribed by these Bylaws.”</w:t>
      </w:r>
    </w:p>
    <w:p>
      <w:pPr>
        <w:autoSpaceDE w:val="0"/>
        <w:autoSpaceDN w:val="0"/>
        <w:adjustRightInd w:val="0"/>
        <w:spacing w:after="0"/>
        <w:ind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Terms of Directors (Section 5.5.1)</w:t>
      </w:r>
    </w:p>
    <w:p>
      <w:pPr>
        <w:pStyle w:val="ListParagraph"/>
        <w:autoSpaceDE w:val="0"/>
        <w:autoSpaceDN w:val="0"/>
        <w:adjustRightInd w:val="0"/>
        <w:spacing w:after="0"/>
        <w:ind w:left="760"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With respect to the term length for PTI directors, Section 5.5.1 of the Draft PTI Bylaws provides that “Directors shall be elected by the Member…for two-year terms.”  The two-year terms are staggered as further described in Section 5.5.1.</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t>CWG-Stewardship Comment</w:t>
      </w:r>
      <w:r>
        <w:rPr>
          <w:rFonts w:cs="Times New Roman"/>
          <w:color w:val="000000"/>
        </w:rPr>
        <w:t>:  The CWG-Stewardship agrees with concerns that on-boarding and re-electing directors this frequently could be burdensome and proposes increasing the term length for PTI directors from two to three years, which the CWG-Stewardship notes is consistent with the term length for ICANN directors, while retaining the requirement of a maximum of two consecutive terms for Nominating Committee Directors.  To reflect this change, the CWG-Stewardship proposes the following modifications to Section 5.5.1 of the Draft PTI Bylaws:</w:t>
      </w:r>
    </w:p>
    <w:p>
      <w:pPr>
        <w:pStyle w:val="ListParagraph"/>
        <w:autoSpaceDE w:val="0"/>
        <w:autoSpaceDN w:val="0"/>
        <w:adjustRightInd w:val="0"/>
        <w:spacing w:after="0"/>
        <w:ind w:left="900" w:right="-20"/>
        <w:rPr>
          <w:rFonts w:cs="Times New Roman"/>
          <w:b/>
          <w:i/>
          <w:color w:val="000000"/>
        </w:rPr>
      </w:pPr>
      <w:r>
        <w:rPr>
          <w:rFonts w:cs="Times New Roman"/>
          <w:b/>
          <w:i/>
          <w:color w:val="000000"/>
        </w:rPr>
        <w:tab/>
      </w:r>
    </w:p>
    <w:p>
      <w:pPr>
        <w:pStyle w:val="ListParagraph"/>
        <w:autoSpaceDE w:val="0"/>
        <w:autoSpaceDN w:val="0"/>
        <w:adjustRightInd w:val="0"/>
        <w:spacing w:after="0"/>
        <w:ind w:left="900" w:right="-20"/>
      </w:pPr>
      <w:r>
        <w:t xml:space="preserve">“5.5.1  Other than Directors initially appointed by the incorporator of the Corporation (which Directors shall hold office until the first election of Directors) and the President of the Corporation, the Directors shall be elected by the Member at the annual meeting of the Corporation for </w:t>
      </w:r>
      <w:r>
        <w:rPr>
          <w:strike/>
          <w:color w:val="FF0000"/>
        </w:rPr>
        <w:t>two</w:t>
      </w:r>
      <w:r>
        <w:rPr>
          <w:rFonts w:cs="Times New Roman"/>
          <w:color w:val="0000FF"/>
          <w:spacing w:val="1"/>
          <w:u w:val="single"/>
        </w:rPr>
        <w:t>three</w:t>
      </w:r>
      <w:r>
        <w:t>-year terms as follows:</w:t>
      </w:r>
    </w:p>
    <w:p>
      <w:pPr>
        <w:pStyle w:val="ListParagraph"/>
        <w:autoSpaceDE w:val="0"/>
        <w:autoSpaceDN w:val="0"/>
        <w:adjustRightInd w:val="0"/>
        <w:spacing w:after="0"/>
        <w:ind w:left="900" w:right="-20"/>
      </w:pPr>
    </w:p>
    <w:p>
      <w:pPr>
        <w:pStyle w:val="ListParagraph"/>
        <w:ind w:left="1260"/>
      </w:pPr>
      <w:r>
        <w:t>5.5.1.1  One Nominating Committee Director shall sit in Seat 1.  The first term shall begin upon the first election of Directors and shall end at the end of the annual meeting of the Member held in 201</w:t>
      </w:r>
      <w:r>
        <w:rPr>
          <w:rFonts w:cs="Times New Roman"/>
          <w:color w:val="0000FF"/>
          <w:spacing w:val="1"/>
          <w:u w:val="single"/>
        </w:rPr>
        <w:t>9</w:t>
      </w:r>
      <w:r>
        <w:rPr>
          <w:strike/>
          <w:color w:val="FF0000"/>
        </w:rPr>
        <w:t>8</w:t>
      </w:r>
      <w:r>
        <w:t>, and subsequent terms shall begin upon the conclusion of each annual meeting of the Member held in 201</w:t>
      </w:r>
      <w:r>
        <w:rPr>
          <w:rFonts w:cs="Times New Roman"/>
          <w:color w:val="0000FF"/>
          <w:spacing w:val="1"/>
          <w:u w:val="single"/>
        </w:rPr>
        <w:t>9</w:t>
      </w:r>
      <w:r>
        <w:rPr>
          <w:strike/>
          <w:color w:val="FF0000"/>
        </w:rPr>
        <w:t>8</w:t>
      </w:r>
      <w:r>
        <w:t xml:space="preserve"> and every </w:t>
      </w:r>
      <w:r>
        <w:rPr>
          <w:strike/>
          <w:color w:val="FF0000"/>
        </w:rPr>
        <w:t>second</w:t>
      </w:r>
      <w:r>
        <w:rPr>
          <w:rFonts w:cs="Times New Roman"/>
          <w:color w:val="0000FF"/>
          <w:spacing w:val="1"/>
          <w:u w:val="single"/>
        </w:rPr>
        <w:t>third</w:t>
      </w:r>
      <w:r>
        <w:t xml:space="preserve"> year thereafter. </w:t>
      </w:r>
    </w:p>
    <w:p>
      <w:pPr>
        <w:pStyle w:val="ListParagraph"/>
        <w:ind w:left="1260"/>
      </w:pPr>
      <w:r>
        <w:tab/>
      </w:r>
      <w:r>
        <w:tab/>
      </w:r>
    </w:p>
    <w:p>
      <w:pPr>
        <w:pStyle w:val="ListParagraph"/>
        <w:ind w:left="1260"/>
      </w:pPr>
      <w:r>
        <w:t>5.5.1.2</w:t>
      </w:r>
      <w:r>
        <w:tab/>
        <w:t>One Nominating Committee Director shall sit in Seat 2.  The first term shall begin upon the first election of Directors and shall end at the end of the annual meeting of the Member held in 201</w:t>
      </w:r>
      <w:r>
        <w:rPr>
          <w:rFonts w:cs="Times New Roman"/>
          <w:color w:val="0000FF"/>
          <w:spacing w:val="1"/>
          <w:u w:val="single"/>
        </w:rPr>
        <w:t>8</w:t>
      </w:r>
      <w:r>
        <w:rPr>
          <w:strike/>
          <w:color w:val="FF0000"/>
        </w:rPr>
        <w:t>7</w:t>
      </w:r>
      <w:r>
        <w:t>, and subsequent terms shall begin upon the conclusion of each annual meeting of the Member held in 201</w:t>
      </w:r>
      <w:r>
        <w:rPr>
          <w:rFonts w:cs="Times New Roman"/>
          <w:color w:val="0000FF"/>
          <w:spacing w:val="1"/>
          <w:u w:val="single"/>
        </w:rPr>
        <w:t>8</w:t>
      </w:r>
      <w:r>
        <w:rPr>
          <w:strike/>
          <w:color w:val="FF0000"/>
        </w:rPr>
        <w:t>7</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r>
        <w:tab/>
      </w:r>
      <w:r>
        <w:tab/>
      </w:r>
    </w:p>
    <w:p>
      <w:pPr>
        <w:pStyle w:val="ListParagraph"/>
        <w:ind w:left="1260"/>
      </w:pPr>
      <w:r>
        <w:t>5.5.1.3</w:t>
      </w:r>
      <w:r>
        <w:tab/>
        <w:t>One ICANN Director (other than the President) shall sit in Seat 3.  The first term shall begin upon the first election of Directors and shall end at the end of the annual meeting of the Member held in 201</w:t>
      </w:r>
      <w:r>
        <w:rPr>
          <w:rFonts w:cs="Times New Roman"/>
          <w:color w:val="0000FF"/>
          <w:spacing w:val="1"/>
          <w:u w:val="single"/>
        </w:rPr>
        <w:t>9</w:t>
      </w:r>
      <w:r>
        <w:rPr>
          <w:strike/>
          <w:color w:val="FF0000"/>
        </w:rPr>
        <w:t>8</w:t>
      </w:r>
      <w:r>
        <w:t>, and subsequent terms shall begin upon the conclusion of each annual meeting of the Member held in 201</w:t>
      </w:r>
      <w:r>
        <w:rPr>
          <w:rFonts w:cs="Times New Roman"/>
          <w:color w:val="0000FF"/>
          <w:spacing w:val="1"/>
          <w:u w:val="single"/>
        </w:rPr>
        <w:t>9</w:t>
      </w:r>
      <w:r>
        <w:rPr>
          <w:strike/>
          <w:color w:val="FF0000"/>
        </w:rPr>
        <w:t>8</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r>
        <w:tab/>
      </w:r>
      <w:r>
        <w:tab/>
      </w:r>
    </w:p>
    <w:p>
      <w:pPr>
        <w:pStyle w:val="ListParagraph"/>
        <w:ind w:left="1260"/>
      </w:pPr>
      <w:r>
        <w:t>5.5.1.4</w:t>
      </w:r>
      <w:r>
        <w:tab/>
        <w:t>One ICANN Director (other than the President) shall sit in Seat 4.  The first term shall begin upon the first election of Directors and shall end at the end of the annual meeting of the Member held in 201</w:t>
      </w:r>
      <w:r>
        <w:rPr>
          <w:rFonts w:cs="Times New Roman"/>
          <w:color w:val="0000FF"/>
          <w:spacing w:val="1"/>
          <w:u w:val="single"/>
        </w:rPr>
        <w:t>8</w:t>
      </w:r>
      <w:r>
        <w:rPr>
          <w:strike/>
          <w:color w:val="FF0000"/>
        </w:rPr>
        <w:t>7</w:t>
      </w:r>
      <w:r>
        <w:t>, and subsequent terms shall begin upon the conclusion of each annual meeting of the Member held in 201</w:t>
      </w:r>
      <w:r>
        <w:rPr>
          <w:rFonts w:cs="Times New Roman"/>
          <w:color w:val="0000FF"/>
          <w:spacing w:val="1"/>
          <w:u w:val="single"/>
        </w:rPr>
        <w:t>8</w:t>
      </w:r>
      <w:r>
        <w:rPr>
          <w:strike/>
          <w:color w:val="FF0000"/>
        </w:rPr>
        <w:t>7</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Supermajority Board Approval for Certain Board Actions (Section 5.11.3)</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p>
    <w:p>
      <w:pPr>
        <w:pStyle w:val="ListParagraph"/>
        <w:autoSpaceDE w:val="0"/>
        <w:autoSpaceDN w:val="0"/>
        <w:adjustRightInd w:val="0"/>
        <w:spacing w:after="0"/>
        <w:ind w:left="900" w:right="-20"/>
        <w:rPr>
          <w:rFonts w:cs="Times New Roman"/>
          <w:b/>
          <w:i/>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Introductory sentence of Section 5.11.3</w:t>
      </w:r>
      <w:r>
        <w:rPr>
          <w:rFonts w:cs="Times New Roman"/>
          <w:color w:val="000000"/>
        </w:rPr>
        <w:t>:</w:t>
      </w:r>
      <w:r>
        <w:rPr>
          <w:rFonts w:cs="Times New Roman"/>
          <w:b/>
          <w:i/>
          <w:color w:val="000000"/>
        </w:rPr>
        <w:t xml:space="preserve">  </w:t>
      </w:r>
      <w:r>
        <w:rPr>
          <w:rFonts w:cs="Times New Roman"/>
          <w:color w:val="000000"/>
        </w:rPr>
        <w:t>The introductory sentence of Section 5.11.3 sets forth the following approval requirements for the actions listed in this section to be effective: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following actions shall require approval by four-fifths (4/5) of the Directors, and the approval of the Member in order to be effective.”</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Section 5.11.3(a)</w:t>
      </w:r>
      <w:r>
        <w:rPr>
          <w:rFonts w:cs="Times New Roman"/>
          <w:color w:val="000000"/>
        </w:rPr>
        <w:t xml:space="preserve">:  Section 5.11.3(a), set forth below, addresses interested director transactions, one type of action that requires the higher threshold of Board approval described in the introductory sentence of Section 5.11.3 above.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pPr>
      <w:r>
        <w:rPr>
          <w:rFonts w:cs="Times New Roman"/>
          <w:color w:val="000000"/>
        </w:rPr>
        <w:t>“(a) Approval</w:t>
      </w:r>
      <w:r>
        <w:t xml:space="preserve"> of contracts or transactions in which a Director has a material financial interest (provided that the vote of any interested Director is not counted); provided, that, a Director shall not be deemed to have a financial interest if the source of such financial interest is solely based on such Director’s employment with ICANN, service on ICANN’s board of directors or any compensation related to such employment or service;”</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Introductory sentence of Section 5.11.3</w:t>
      </w:r>
      <w:r>
        <w:rPr>
          <w:rFonts w:cs="Times New Roman"/>
          <w:color w:val="000000"/>
        </w:rPr>
        <w:t>:</w:t>
      </w:r>
      <w:r>
        <w:rPr>
          <w:rFonts w:cs="Times New Roman"/>
          <w:b/>
          <w:i/>
          <w:color w:val="000000"/>
        </w:rPr>
        <w:t xml:space="preserve">  </w:t>
      </w:r>
      <w:r>
        <w:rPr>
          <w:rFonts w:cs="Times New Roman"/>
          <w:color w:val="000000"/>
        </w:rPr>
        <w:t xml:space="preserve">The CWG-Stewardship proposes that the introductory sentence of Section 5.11.3 be modified as provided below to clarify that the required threshold of directors needed for Board approval of the actions listed in this section is in reference to the full number of Board seats regardless of the number of directors then-seated.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following actions shall require approval by </w:t>
      </w:r>
      <w:r>
        <w:rPr>
          <w:strike/>
          <w:color w:val="FF0000"/>
        </w:rPr>
        <w:t>four-fifths (4/5) of 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 xml:space="preserve">Directors </w:t>
      </w:r>
      <w:r>
        <w:rPr>
          <w:rFonts w:cs="Times New Roman"/>
          <w:color w:val="0000FF"/>
          <w:spacing w:val="1"/>
          <w:u w:val="single"/>
        </w:rPr>
        <w:t>except as otherwise provided in Section 5.11.3(a)</w:t>
      </w:r>
      <w:r>
        <w:rPr>
          <w:strike/>
          <w:color w:val="FF0000"/>
        </w:rPr>
        <w:t>,</w:t>
      </w:r>
      <w:r>
        <w:rPr>
          <w:rFonts w:cs="Times New Roman"/>
          <w:color w:val="000000"/>
        </w:rPr>
        <w:t xml:space="preserve"> and the approval of the Member in order to be effective.”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Section 5.11.3(a)</w:t>
      </w:r>
      <w:r>
        <w:rPr>
          <w:rFonts w:cs="Times New Roman"/>
          <w:color w:val="000000"/>
        </w:rPr>
        <w:t>:</w:t>
      </w:r>
      <w:r>
        <w:rPr>
          <w:rFonts w:cs="Times New Roman"/>
          <w:b/>
          <w:i/>
          <w:color w:val="000000"/>
        </w:rPr>
        <w:t xml:space="preserve">  </w:t>
      </w:r>
      <w:r>
        <w:rPr>
          <w:rFonts w:cs="Times New Roman"/>
          <w:color w:val="000000"/>
        </w:rPr>
        <w:t xml:space="preserve">Consistent with the CWG-Stewardship’s comments on the PTI conflict of interest policy, the CWG-Stewardship proposes the following modification to Section 5.11.3(a) to clarify the required threshold of directors needed for Board approval of interested director transactions: </w:t>
      </w:r>
    </w:p>
    <w:p>
      <w:pPr>
        <w:pStyle w:val="ListParagraph"/>
        <w:autoSpaceDE w:val="0"/>
        <w:autoSpaceDN w:val="0"/>
        <w:adjustRightInd w:val="0"/>
        <w:spacing w:after="0"/>
        <w:ind w:left="900" w:right="-20"/>
        <w:rPr>
          <w:rFonts w:cs="Times New Roman"/>
          <w:b/>
          <w:color w:val="000000"/>
        </w:rPr>
      </w:pPr>
    </w:p>
    <w:p>
      <w:pPr>
        <w:pStyle w:val="ListParagraph"/>
        <w:autoSpaceDE w:val="0"/>
        <w:autoSpaceDN w:val="0"/>
        <w:adjustRightInd w:val="0"/>
        <w:spacing w:after="0"/>
        <w:ind w:left="900" w:right="-20"/>
      </w:pPr>
      <w:r>
        <w:rPr>
          <w:rFonts w:cs="Times New Roman"/>
          <w:color w:val="000000"/>
        </w:rPr>
        <w:t xml:space="preserve"> “(a) Approval</w:t>
      </w:r>
      <w:r>
        <w:t xml:space="preserve"> of contracts or transactions in which a Director has a material financial interest (provided that </w:t>
      </w:r>
      <w:r>
        <w:rPr>
          <w:rFonts w:cs="Times New Roman"/>
          <w:color w:val="0000FF"/>
          <w:spacing w:val="1"/>
          <w:u w:val="single"/>
        </w:rPr>
        <w:t>such action must be approved by all of the disinterested Directors and</w:t>
      </w:r>
      <w:r>
        <w:t xml:space="preserve"> the vote of any interested Director is not counted); provided, that, a Director shall not be deemed to have a financial interest if the source of such financial interest is solely based on such Director’s employment with ICANN, service on ICANN’s board of directors or any compensation related to such employment or service;”</w:t>
      </w:r>
    </w:p>
    <w:p>
      <w:pPr>
        <w:pStyle w:val="ListParagraph"/>
        <w:autoSpaceDE w:val="0"/>
        <w:autoSpaceDN w:val="0"/>
        <w:adjustRightInd w:val="0"/>
        <w:spacing w:after="0"/>
        <w:ind w:left="540" w:right="-20"/>
        <w:rPr>
          <w:rFonts w:cs="Times New Roman"/>
          <w:b/>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 xml:space="preserve">Unanimous Written Board Consent (Section 5.15)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The first paragraph of Section 5.15 of the Draft PTI Bylaws sets forth the following requirements for Board action by written consent:</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“Any action required or permitted to be taken by the Board may be taken without a meeting, if all members of the Board, individually or collectively, consent in writing to the action.  Such written consent shall have the same force and effect as a unanimous vote of the Board taken at a meeting.  Such written consent or consents shall be filed with the minutes of the proceedings of the Board.”</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xml:space="preserve">:  The CWG-Stewardship notes that board action by written consent is permitted under California law, as long as (i) all directors consent in writing to the action and (ii) the number of directors then in office constitutes a quorum.  </w:t>
      </w:r>
      <w:r>
        <w:rPr>
          <w:rFonts w:cs="Times New Roman"/>
          <w:i/>
          <w:color w:val="000000"/>
        </w:rPr>
        <w:t>See</w:t>
      </w:r>
      <w:r>
        <w:rPr>
          <w:rFonts w:cs="Times New Roman"/>
          <w:color w:val="000000"/>
        </w:rPr>
        <w:t xml:space="preserve"> Section 5211(b) of the California Corporations Code.  Accordingly,</w:t>
      </w:r>
      <w:r>
        <w:rPr>
          <w:rFonts w:cs="Times New Roman"/>
          <w:b/>
          <w:i/>
          <w:color w:val="000000"/>
        </w:rPr>
        <w:t xml:space="preserve"> </w:t>
      </w:r>
      <w:r>
        <w:rPr>
          <w:rFonts w:cs="Times New Roman"/>
          <w:color w:val="000000"/>
        </w:rPr>
        <w:t>the CWG-Stewardship proposes the following clarifying changes to the first paragraph of Section 5.15:</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b/>
          <w:i/>
          <w:color w:val="000000"/>
        </w:rPr>
      </w:pPr>
      <w:r>
        <w:rPr>
          <w:rFonts w:cs="Times New Roman"/>
          <w:color w:val="000000"/>
        </w:rPr>
        <w:t xml:space="preserve">“Any action required or permitted to be taken by the Board may be taken without a meeting, if </w:t>
      </w:r>
      <w:r>
        <w:rPr>
          <w:rFonts w:cs="Times New Roman"/>
          <w:color w:val="0000FF"/>
          <w:spacing w:val="1"/>
          <w:u w:val="single"/>
        </w:rPr>
        <w:t>(a)</w:t>
      </w:r>
      <w:r>
        <w:rPr>
          <w:rFonts w:cs="Times New Roman"/>
          <w:color w:val="000000"/>
        </w:rPr>
        <w:t xml:space="preserve"> all </w:t>
      </w:r>
      <w:r>
        <w:rPr>
          <w:rFonts w:cs="Times New Roman"/>
          <w:color w:val="0000FF"/>
          <w:spacing w:val="1"/>
          <w:u w:val="single"/>
        </w:rPr>
        <w:t>Directors</w:t>
      </w:r>
      <w:r>
        <w:rPr>
          <w:rFonts w:cs="Times New Roman"/>
          <w:color w:val="000000"/>
        </w:rPr>
        <w:t xml:space="preserve"> </w:t>
      </w:r>
      <w:r>
        <w:rPr>
          <w:strike/>
          <w:color w:val="FF0000"/>
        </w:rPr>
        <w:t>members of the Board</w:t>
      </w:r>
      <w:r>
        <w:rPr>
          <w:rFonts w:cs="Times New Roman"/>
          <w:color w:val="000000"/>
        </w:rPr>
        <w:t xml:space="preserve">, individually or collectively, consent in writing to the action </w:t>
      </w:r>
      <w:r>
        <w:rPr>
          <w:rFonts w:cs="Times New Roman"/>
          <w:color w:val="0000FF"/>
          <w:spacing w:val="1"/>
          <w:u w:val="single"/>
        </w:rPr>
        <w:t>and (b) the number of Directors then in office constitutes a quorum as set forth in Section 5.11.1, which, for the avoidance of doubt, requires a majority of Directors then in office including at least one ICANN Director and at least one Nominating Committee Director</w:t>
      </w:r>
      <w:r>
        <w:rPr>
          <w:rFonts w:cs="Times New Roman"/>
          <w:color w:val="000000"/>
        </w:rPr>
        <w:t>.  Such written consent shall have the same force and effect as a unanimous vote of the Board taken at a meeting.   Such written consent or consents shall be filed with the minutes of the proceedings of the Board.”</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Establishment of Board Committees (Section 6.1)</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The introductory sentence of Section 6.1 of the Draft PTI Bylaws sets forth the following approval requirements for the creation of Board committees: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“Subject to Section 5.11.3, the Board may, by resolution adopted by four-fifths (4/5) of the Directors, create one or more committees of the Board (“</w:t>
      </w:r>
      <w:r>
        <w:rPr>
          <w:rFonts w:cs="Times New Roman"/>
          <w:b/>
          <w:color w:val="000000"/>
        </w:rPr>
        <w:t>Committees</w:t>
      </w:r>
      <w:r>
        <w:rPr>
          <w:rFonts w:cs="Times New Roman"/>
          <w:color w:val="000000"/>
        </w:rPr>
        <w:t xml:space="preserve">”), each consisting of two or more Directors with at least one ICANN Director and one Nominating Committee Director, to serve at the discretion of the Board.”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The CWG-Stewardship proposes that the introductory sentence of Section 6.1 be modified as follows to clarify the required threshold of directors needed for Board approval of the creation of Board committees: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“Subject to Section 5.11.3, the Board may, by resolution adopted by </w:t>
      </w:r>
      <w:r>
        <w:rPr>
          <w:strike/>
          <w:color w:val="FF0000"/>
        </w:rPr>
        <w:t>four-fifths (4/5) of</w:t>
      </w:r>
      <w:r>
        <w:rPr>
          <w:rFonts w:cs="Times New Roman"/>
          <w:color w:val="000000"/>
        </w:rPr>
        <w:t xml:space="preserve"> </w:t>
      </w:r>
      <w:r>
        <w:rPr>
          <w:strike/>
          <w:color w:val="FF0000"/>
        </w:rPr>
        <w:t>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Directors, create one or more committees of the Board (“</w:t>
      </w:r>
      <w:r>
        <w:rPr>
          <w:rFonts w:cs="Times New Roman"/>
          <w:b/>
          <w:color w:val="000000"/>
        </w:rPr>
        <w:t>Committees</w:t>
      </w:r>
      <w:r>
        <w:rPr>
          <w:rFonts w:cs="Times New Roman"/>
          <w:color w:val="000000"/>
        </w:rPr>
        <w:t>”), each consisting of two or more Directors with at least one ICANN Director and one Nominating Committee Director, to serve at the discretion of the Board.”</w:t>
      </w:r>
    </w:p>
    <w:p>
      <w:pPr>
        <w:pStyle w:val="ListParagraph"/>
        <w:autoSpaceDE w:val="0"/>
        <w:autoSpaceDN w:val="0"/>
        <w:adjustRightInd w:val="0"/>
        <w:spacing w:after="0"/>
        <w:ind w:left="90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Annual Budget (Section 9.2)</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 xml:space="preserve">Section 9.2(a) of the Draft PTI Bylaws provides that the proposed Annual Budget will need to be submitted to the Board “[a]t least 270 days prior to the commencement of each fiscal year.”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t>CWG-Stewardship Comment</w:t>
      </w:r>
      <w:r>
        <w:rPr>
          <w:rFonts w:cs="Times New Roman"/>
          <w:color w:val="000000"/>
        </w:rPr>
        <w:t xml:space="preserve">:  With respect to timing for the Annual Budget, the Final Transition Proposal provides that “PTI should submit a budget to ICANN at least nine months in advance of the fiscal year to ensure the stability of the IANA services.”  </w:t>
      </w:r>
      <w:r>
        <w:rPr>
          <w:rFonts w:cs="Times New Roman"/>
          <w:i/>
          <w:color w:val="000000"/>
        </w:rPr>
        <w:t>See</w:t>
      </w:r>
      <w:r>
        <w:rPr>
          <w:rFonts w:cs="Times New Roman"/>
          <w:color w:val="000000"/>
        </w:rPr>
        <w:t xml:space="preserve"> paragraph 163 of the Final Transition Proposal.  Based on input from the CWG-Stewardship’s IANA budget design team (the “</w:t>
      </w:r>
      <w:r>
        <w:rPr>
          <w:rFonts w:cs="Times New Roman"/>
          <w:color w:val="000000"/>
          <w:u w:val="single"/>
        </w:rPr>
        <w:t>DT-O</w:t>
      </w:r>
      <w:r>
        <w:rPr>
          <w:rFonts w:cs="Times New Roman"/>
          <w:color w:val="000000"/>
        </w:rPr>
        <w:t xml:space="preserve">”), the CWG-Stewardship proposes the following change to the time frame set forth in Section 9.2(a), to allow sufficient time for PTI Board approval prior to submitting the Annual Budget to ICANN: </w:t>
      </w:r>
      <w:r>
        <w:rPr>
          <w:rFonts w:cs="Times New Roman"/>
          <w:b/>
          <w:i/>
          <w:color w:val="000000"/>
        </w:rPr>
        <w:tab/>
      </w:r>
    </w:p>
    <w:p>
      <w:pPr>
        <w:autoSpaceDE w:val="0"/>
        <w:autoSpaceDN w:val="0"/>
        <w:adjustRightInd w:val="0"/>
        <w:spacing w:after="0"/>
        <w:ind w:right="-20"/>
        <w:rPr>
          <w:rFonts w:cs="Times New Roman"/>
          <w:b/>
          <w:i/>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“(a)</w:t>
      </w:r>
      <w:r>
        <w:rPr>
          <w:rFonts w:cs="Times New Roman"/>
          <w:color w:val="000000"/>
        </w:rPr>
        <w:tab/>
        <w:t xml:space="preserve">At least </w:t>
      </w:r>
      <w:r>
        <w:rPr>
          <w:strike/>
          <w:color w:val="FF0000"/>
        </w:rPr>
        <w:t>270</w:t>
      </w:r>
      <w:r>
        <w:rPr>
          <w:rFonts w:cs="Times New Roman"/>
          <w:color w:val="000000"/>
        </w:rPr>
        <w:t xml:space="preserve"> [</w:t>
      </w:r>
      <w:r>
        <w:rPr>
          <w:rFonts w:cs="Times New Roman"/>
          <w:color w:val="0000FF"/>
          <w:spacing w:val="1"/>
          <w:u w:val="single"/>
        </w:rPr>
        <w:t>____</w:t>
      </w:r>
      <w:r>
        <w:rPr>
          <w:rFonts w:cs="Times New Roman"/>
          <w:color w:val="000000"/>
        </w:rPr>
        <w:t xml:space="preserve">– </w:t>
      </w:r>
      <w:r>
        <w:rPr>
          <w:rFonts w:cs="Times New Roman"/>
          <w:i/>
          <w:color w:val="000000"/>
          <w:highlight w:val="yellow"/>
        </w:rPr>
        <w:t>to come from the DT-O</w:t>
      </w:r>
      <w:r>
        <w:rPr>
          <w:rFonts w:cs="Times New Roman"/>
          <w:color w:val="000000"/>
        </w:rPr>
        <w:t xml:space="preserve">] days prior to the commencement of </w:t>
      </w:r>
      <w:r>
        <w:rPr>
          <w:rFonts w:cs="Times New Roman"/>
          <w:color w:val="000000"/>
        </w:rPr>
        <w:tab/>
        <w:t xml:space="preserve">each fiscal year, the Corporation shall submit to the Board a proposed annual </w:t>
      </w:r>
      <w:r>
        <w:rPr>
          <w:rFonts w:cs="Times New Roman"/>
          <w:color w:val="000000"/>
        </w:rPr>
        <w:tab/>
        <w:t>operating plan and budget for the Corporation’s next fiscal year (“</w:t>
      </w:r>
      <w:r>
        <w:rPr>
          <w:rFonts w:cs="Times New Roman"/>
          <w:b/>
          <w:color w:val="000000"/>
        </w:rPr>
        <w:t xml:space="preserve">Annual </w:t>
      </w:r>
      <w:r>
        <w:rPr>
          <w:rFonts w:cs="Times New Roman"/>
          <w:b/>
          <w:color w:val="000000"/>
        </w:rPr>
        <w:tab/>
        <w:t>Budget</w:t>
      </w:r>
      <w:r>
        <w:rPr>
          <w:rFonts w:cs="Times New Roman"/>
          <w:color w:val="000000"/>
        </w:rPr>
        <w:t xml:space="preserve">”).”  </w:t>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highlight w:val="yellow"/>
        </w:rPr>
        <w:t>[</w:t>
      </w:r>
      <w:r>
        <w:rPr>
          <w:rFonts w:cs="Times New Roman"/>
          <w:b/>
          <w:color w:val="000000"/>
        </w:rPr>
        <w:t>Strategic Plan (Section 9.3)</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Section 9.3 of the Draft PTI Bylaws sets forth the process for development and review of the PTI Strategic Plan.</w:t>
      </w:r>
    </w:p>
    <w:p>
      <w:pPr>
        <w:autoSpaceDE w:val="0"/>
        <w:autoSpaceDN w:val="0"/>
        <w:adjustRightInd w:val="0"/>
        <w:spacing w:after="0"/>
        <w:ind w:right="-20"/>
        <w:rPr>
          <w:rFonts w:cs="Times New Roman"/>
          <w:b/>
          <w:i/>
          <w:color w:val="000000"/>
        </w:rPr>
      </w:pPr>
      <w:r>
        <w:rPr>
          <w:rFonts w:cs="Times New Roman"/>
          <w:b/>
          <w:i/>
          <w:color w:val="000000"/>
        </w:rPr>
        <w:t xml:space="preserve"> </w:t>
      </w: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t>CWG-Stewardship Comment</w:t>
      </w:r>
      <w:r>
        <w:rPr>
          <w:rFonts w:cs="Times New Roman"/>
          <w:color w:val="000000"/>
        </w:rPr>
        <w:t xml:space="preserve">:  Based on input from the DT-O, the CWG-Stewardship proposes the following modifications to Section 9.3: </w:t>
      </w:r>
      <w:r>
        <w:rPr>
          <w:rFonts w:cs="Times New Roman"/>
          <w:b/>
          <w:i/>
          <w:color w:val="000000"/>
        </w:rPr>
        <w:tab/>
      </w:r>
    </w:p>
    <w:p>
      <w:pPr>
        <w:autoSpaceDE w:val="0"/>
        <w:autoSpaceDN w:val="0"/>
        <w:adjustRightInd w:val="0"/>
        <w:spacing w:after="0"/>
        <w:ind w:right="-20"/>
        <w:rPr>
          <w:rFonts w:cs="Times New Roman"/>
          <w:b/>
          <w:i/>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w:t>
      </w:r>
      <w:r>
        <w:rPr>
          <w:rFonts w:cs="Times New Roman"/>
          <w:i/>
          <w:color w:val="000000"/>
          <w:highlight w:val="yellow"/>
        </w:rPr>
        <w:t>Any proposed edits to come from the DT-O</w:t>
      </w:r>
      <w:r>
        <w:rPr>
          <w:rFonts w:cs="Times New Roman"/>
          <w:color w:val="000000"/>
        </w:rPr>
        <w:t>]”</w:t>
      </w:r>
      <w:r>
        <w:rPr>
          <w:rFonts w:cs="Times New Roman"/>
          <w:color w:val="000000"/>
          <w:highlight w:val="yellow"/>
        </w:rPr>
        <w:t>]</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Amendments (Article 12)</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 xml:space="preserve">The first two sentences of Article 12 of the Draft PTI Bylaws set forth the following approval requirements for bylaws amendments: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“These Bylaws may only be adopted, amended, or repealed in whole or in part with the approval of (a) four-fifths (4/5) of the Directors then in office, and (b) the Member.  If there are not two Nominating Committee Directors in office and entitled to vote on the matter, four-fifths of the Directors must still approve of the action in order for the Board approval to be effective.”</w:t>
      </w:r>
    </w:p>
    <w:p>
      <w:pPr>
        <w:pStyle w:val="ListParagraph"/>
        <w:autoSpaceDE w:val="0"/>
        <w:autoSpaceDN w:val="0"/>
        <w:adjustRightInd w:val="0"/>
        <w:spacing w:after="0"/>
        <w:ind w:left="90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the first sentence of Article 12 be modified as provided below to clarify the required threshold of directors needed for Board approval of bylaws amendments.  The CWG-Stewardship also proposes deleting the second sentence of Article 12, because this requirement was removed from the other sections of the Draft PTI Bylaws that address the same higher voting threshold and appears to have been retained in this section in error.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“These Bylaws may only be adopted, amended, or repealed in whole or in part with the approval of (a) </w:t>
      </w:r>
      <w:r>
        <w:rPr>
          <w:strike/>
          <w:color w:val="FF0000"/>
        </w:rPr>
        <w:t>four-fifths (4/5) of 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 xml:space="preserve">Directors </w:t>
      </w:r>
      <w:r>
        <w:rPr>
          <w:strike/>
          <w:color w:val="FF0000"/>
        </w:rPr>
        <w:t>then in office,</w:t>
      </w:r>
      <w:r>
        <w:rPr>
          <w:rFonts w:cs="Times New Roman"/>
          <w:color w:val="000000"/>
        </w:rPr>
        <w:t xml:space="preserve"> and (b) the Member.  </w:t>
      </w:r>
      <w:r>
        <w:rPr>
          <w:strike/>
          <w:color w:val="FF0000"/>
        </w:rPr>
        <w:t>If there are not two Nominating Committee Directors in office and entitled to vote on the matter, four-fifths of the Directors must still approve of the action in order for the Board approval to be effective.</w:t>
      </w:r>
      <w:r>
        <w:rPr>
          <w:rFonts w:cs="Times New Roman"/>
          <w:color w:val="000000"/>
        </w:rPr>
        <w:t xml:space="preserve"> ”</w:t>
      </w: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rPr>
        <w:t xml:space="preserve">Thank you for your consideration of the CWG-Stewardship’s comments on the Draft PTI Bylaws.  We look forward to working with you to address these PTI governance matters.  </w:t>
      </w:r>
      <w:r>
        <w:rPr>
          <w:rFonts w:cs="Times New Roman"/>
          <w:color w:val="000000"/>
        </w:rPr>
        <w:tab/>
      </w:r>
    </w:p>
    <w:p>
      <w:pPr>
        <w:autoSpaceDE w:val="0"/>
        <w:autoSpaceDN w:val="0"/>
        <w:adjustRightInd w:val="0"/>
        <w:spacing w:after="0"/>
        <w:ind w:left="40" w:right="-20"/>
        <w:rPr>
          <w:rFonts w:cs="Times New Roman"/>
          <w:color w:val="000000"/>
        </w:rPr>
      </w:pPr>
    </w:p>
    <w:p>
      <w:pPr>
        <w:autoSpaceDE w:val="0"/>
        <w:autoSpaceDN w:val="0"/>
        <w:adjustRightInd w:val="0"/>
        <w:spacing w:after="0" w:line="258" w:lineRule="exact"/>
        <w:ind w:left="40" w:right="-20"/>
        <w:rPr>
          <w:rFonts w:cs="Times New Roman"/>
          <w:color w:val="000000"/>
        </w:rPr>
      </w:pPr>
    </w:p>
    <w:p>
      <w:pPr>
        <w:autoSpaceDE w:val="0"/>
        <w:autoSpaceDN w:val="0"/>
        <w:adjustRightInd w:val="0"/>
        <w:spacing w:after="0" w:line="258" w:lineRule="exact"/>
        <w:ind w:left="40" w:right="-20"/>
        <w:rPr>
          <w:rFonts w:cs="Times New Roman"/>
          <w:color w:val="000000"/>
        </w:rPr>
      </w:pPr>
      <w:r>
        <w:rPr>
          <w:rFonts w:cs="Times New Roman"/>
          <w:color w:val="000000"/>
        </w:rPr>
        <w:t>B</w:t>
      </w:r>
      <w:r>
        <w:rPr>
          <w:rFonts w:cs="Times New Roman"/>
          <w:color w:val="000000"/>
          <w:spacing w:val="-1"/>
        </w:rPr>
        <w:t>e</w:t>
      </w:r>
      <w:r>
        <w:rPr>
          <w:rFonts w:cs="Times New Roman"/>
          <w:color w:val="000000"/>
        </w:rPr>
        <w:t>st r</w:t>
      </w:r>
      <w:r>
        <w:rPr>
          <w:rFonts w:cs="Times New Roman"/>
          <w:color w:val="000000"/>
          <w:spacing w:val="-1"/>
        </w:rPr>
        <w:t>e</w:t>
      </w:r>
      <w:r>
        <w:rPr>
          <w:rFonts w:cs="Times New Roman"/>
          <w:color w:val="000000"/>
        </w:rPr>
        <w:t>g</w:t>
      </w:r>
      <w:r>
        <w:rPr>
          <w:rFonts w:cs="Times New Roman"/>
          <w:color w:val="000000"/>
          <w:spacing w:val="-1"/>
        </w:rPr>
        <w:t>a</w:t>
      </w:r>
      <w:r>
        <w:rPr>
          <w:rFonts w:cs="Times New Roman"/>
          <w:color w:val="000000"/>
        </w:rPr>
        <w:t>rds,</w:t>
      </w:r>
    </w:p>
    <w:p>
      <w:pPr>
        <w:autoSpaceDE w:val="0"/>
        <w:autoSpaceDN w:val="0"/>
        <w:adjustRightInd w:val="0"/>
        <w:spacing w:before="6" w:after="0" w:line="150" w:lineRule="exact"/>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spacing w:val="-3"/>
        </w:rPr>
        <w:t>L</w:t>
      </w:r>
      <w:r>
        <w:rPr>
          <w:rFonts w:cs="Times New Roman"/>
          <w:color w:val="000000"/>
        </w:rPr>
        <w:t>ise Fuhr</w:t>
      </w:r>
      <w:r>
        <w:rPr>
          <w:rFonts w:cs="Times New Roman"/>
          <w:color w:val="000000"/>
          <w:spacing w:val="2"/>
        </w:rPr>
        <w:t xml:space="preserve"> </w:t>
      </w:r>
      <w:r>
        <w:rPr>
          <w:rFonts w:cs="Times New Roman"/>
          <w:color w:val="000000"/>
          <w:spacing w:val="-1"/>
        </w:rPr>
        <w:t>a</w:t>
      </w:r>
      <w:r>
        <w:rPr>
          <w:rFonts w:cs="Times New Roman"/>
          <w:color w:val="000000"/>
        </w:rPr>
        <w:t xml:space="preserve">nd </w:t>
      </w:r>
      <w:r>
        <w:rPr>
          <w:rFonts w:cs="Times New Roman"/>
          <w:color w:val="000000"/>
          <w:spacing w:val="2"/>
        </w:rPr>
        <w:t>J</w:t>
      </w:r>
      <w:r>
        <w:rPr>
          <w:rFonts w:cs="Times New Roman"/>
          <w:color w:val="000000"/>
        </w:rPr>
        <w:t>on</w:t>
      </w:r>
      <w:r>
        <w:rPr>
          <w:rFonts w:cs="Times New Roman"/>
          <w:color w:val="000000"/>
          <w:spacing w:val="-1"/>
        </w:rPr>
        <w:t>a</w:t>
      </w:r>
      <w:r>
        <w:rPr>
          <w:rFonts w:cs="Times New Roman"/>
          <w:color w:val="000000"/>
        </w:rPr>
        <w:t>than Robinson</w:t>
      </w:r>
    </w:p>
    <w:p>
      <w:pPr>
        <w:autoSpaceDE w:val="0"/>
        <w:autoSpaceDN w:val="0"/>
        <w:adjustRightInd w:val="0"/>
        <w:spacing w:after="0" w:line="258" w:lineRule="exact"/>
        <w:ind w:left="40" w:right="-20"/>
        <w:rPr>
          <w:rFonts w:cs="Times New Roman"/>
          <w:color w:val="000000"/>
        </w:rPr>
      </w:pPr>
      <w:r>
        <w:rPr>
          <w:rFonts w:cs="Times New Roman"/>
          <w:color w:val="000000"/>
          <w:spacing w:val="1"/>
        </w:rPr>
        <w:t>C</w:t>
      </w:r>
      <w:r>
        <w:rPr>
          <w:rFonts w:cs="Times New Roman"/>
          <w:color w:val="000000"/>
        </w:rPr>
        <w:t>o</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irs,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spacing w:val="1"/>
        </w:rPr>
        <w:t>r</w:t>
      </w:r>
      <w:r>
        <w:rPr>
          <w:rFonts w:cs="Times New Roman"/>
          <w:color w:val="000000"/>
        </w:rPr>
        <w:t>dship</w:t>
      </w:r>
    </w:p>
    <w:p>
      <w:pPr>
        <w:pStyle w:val="BodyText"/>
      </w:pPr>
    </w:p>
    <w:p>
      <w:pPr>
        <w:pStyle w:val="BodyText"/>
      </w:pPr>
      <w:r>
        <w:t xml:space="preserve">Attachment  </w:t>
      </w: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pPr>
        <w:jc w:val="center"/>
      </w:pPr>
      <w:r>
        <w:rPr>
          <w:b/>
          <w:u w:val="single"/>
        </w:rPr>
        <w:t>Exhibit A</w:t>
      </w:r>
    </w:p>
    <w:sectPr>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6</w:t>
      </w:r>
    </w:fldSimple>
  </w:p>
  <w:p>
    <w:pPr>
      <w:pStyle w:val="Footer"/>
    </w:pPr>
    <w:fldSimple w:instr=" DOCPROPERTY &quot;DocID&quot; \* MERGEFORMAT ">
      <w:r>
        <w:rPr>
          <w:rStyle w:val="DocID"/>
        </w:rPr>
        <w:t>216314198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216314198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r>
      <w:rPr>
        <w:b/>
        <w:sz w:val="20"/>
        <w:szCs w:val="20"/>
      </w:rPr>
      <w:t>Sidley Draft</w:t>
    </w:r>
  </w:p>
  <w:p>
    <w:pPr>
      <w:pStyle w:val="Header"/>
      <w:jc w:val="right"/>
      <w:rPr>
        <w:b/>
        <w:sz w:val="20"/>
        <w:szCs w:val="20"/>
      </w:rPr>
    </w:pPr>
    <w:r>
      <w:rPr>
        <w:b/>
        <w:sz w:val="20"/>
        <w:szCs w:val="20"/>
      </w:rPr>
      <w:t>4 August 2016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4452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8A6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60E3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72DB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CF219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362DE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62A7E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9CA92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34060A9"/>
    <w:multiLevelType w:val="hybridMultilevel"/>
    <w:tmpl w:val="10E69330"/>
    <w:lvl w:ilvl="0" w:tplc="114841D8">
      <w:start w:val="1"/>
      <w:numFmt w:val="decimal"/>
      <w:lvlText w:val="%1."/>
      <w:lvlJc w:val="left"/>
      <w:pPr>
        <w:ind w:left="760" w:hanging="360"/>
      </w:pPr>
      <w:rPr>
        <w:b/>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90E32D1"/>
    <w:multiLevelType w:val="hybridMultilevel"/>
    <w:tmpl w:val="6A328D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6DD253FD"/>
    <w:multiLevelType w:val="hybridMultilevel"/>
    <w:tmpl w:val="C952FE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4"/>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nhideWhenUsed/>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MemoTableData">
    <w:name w:val="MemoTableData"/>
    <w:basedOn w:val="Normal"/>
    <w:semiHidden/>
    <w:pPr>
      <w:spacing w:after="0"/>
    </w:pPr>
    <w:rPr>
      <w:rFonts w:ascii="Arial" w:eastAsia="Times New Roman" w:hAnsi="Arial" w:cs="Times New Roman"/>
      <w:sz w:val="21"/>
      <w:szCs w:val="20"/>
    </w:rPr>
  </w:style>
  <w:style w:type="paragraph" w:customStyle="1" w:styleId="ReLine">
    <w:name w:val="Re Line"/>
    <w:basedOn w:val="MemoTableData"/>
  </w:style>
  <w:style w:type="paragraph" w:customStyle="1" w:styleId="MemoTableLabel">
    <w:name w:val="MemoTableLabel"/>
    <w:basedOn w:val="Normal"/>
    <w:semiHidden/>
    <w:pPr>
      <w:spacing w:after="0"/>
    </w:pPr>
    <w:rPr>
      <w:rFonts w:ascii="Arial" w:eastAsia="Times New Roman" w:hAnsi="Arial" w:cs="Times New Roman"/>
      <w:sz w:val="21"/>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draft-pti-bylaws-12jul16-en.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ann.org/public-comments/draft-pti-articles-incorporation-2016-07-01-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pages/viewpage.action?pageId=53779816&amp;preview=/53779816/54003507/FinalTransitionProposal_11June.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0465D-A0FD-46EA-8840-BB45A97A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7</TotalTime>
  <Pages>1</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16721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Greeley, Amy E.</dc:creator>
  <cp:lastModifiedBy>Greeley, Amy E.</cp:lastModifiedBy>
  <cp:revision>6</cp:revision>
  <cp:lastPrinted>2016-07-27T23:54:00Z</cp:lastPrinted>
  <dcterms:created xsi:type="dcterms:W3CDTF">2016-08-03T15:24:00Z</dcterms:created>
  <dcterms:modified xsi:type="dcterms:W3CDTF">2016-08-04T17:42:00Z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216314198</vt:lpwstr>
  </property>
  <property fmtid="{D5CDD505-2E9C-101B-9397-08002B2CF9AE}" pid="4" name="_AdHocReviewCycleID">
    <vt:i4>-2000297635</vt:i4>
  </property>
  <property fmtid="{D5CDD505-2E9C-101B-9397-08002B2CF9AE}" pid="5" name="_NewReviewCycle">
    <vt:lpwstr/>
  </property>
  <property fmtid="{D5CDD505-2E9C-101B-9397-08002B2CF9AE}" pid="6" name="_EmailSubject">
    <vt:lpwstr>PTI Bylaws Comment Letter</vt:lpwstr>
  </property>
  <property fmtid="{D5CDD505-2E9C-101B-9397-08002B2CF9AE}" pid="7" name="_AuthorEmail">
    <vt:lpwstr>AGreeley@Sidley.com</vt:lpwstr>
  </property>
  <property fmtid="{D5CDD505-2E9C-101B-9397-08002B2CF9AE}" pid="8" name="_AuthorEmailDisplayName">
    <vt:lpwstr>Greeley, Amy E.</vt:lpwstr>
  </property>
  <property fmtid="{D5CDD505-2E9C-101B-9397-08002B2CF9AE}" pid="9" name="_ReviewingToolsShownOnce">
    <vt:lpwstr/>
  </property>
</Properties>
</file>