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RDefault="00242E1B" w:rsidP="00D52480">
      <w:pPr>
        <w:rPr>
          <w:b/>
        </w:rPr>
      </w:pPr>
      <w:r w:rsidRPr="00D52480">
        <w:rPr>
          <w:b/>
        </w:rPr>
        <w:t>Introduction</w:t>
      </w:r>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845E7E" w:rsidRDefault="00845E7E" w:rsidP="00845E7E">
      <w:pPr>
        <w:numPr>
          <w:ilvl w:val="1"/>
          <w:numId w:val="1"/>
        </w:numPr>
        <w:ind w:left="360"/>
      </w:pPr>
      <w:r w:rsidRPr="00741A8D">
        <w:rPr>
          <w:u w:val="single"/>
        </w:rPr>
        <w:t>Security and stability</w:t>
      </w:r>
      <w:r w:rsidRPr="00845E7E">
        <w:t xml:space="preserve">:  </w:t>
      </w:r>
      <w:r w:rsidR="00584CA6" w:rsidRPr="00845E7E">
        <w:t xml:space="preserve">Changes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584CA6" w:rsidRDefault="00584CA6" w:rsidP="00584CA6">
      <w:pPr>
        <w:ind w:left="360"/>
      </w:pPr>
      <w:r>
        <w:t>C</w:t>
      </w:r>
      <w:r w:rsidRPr="00845E7E">
        <w:t xml:space="preserve">hanges should be the minimum </w:t>
      </w:r>
      <w:r>
        <w:t xml:space="preserve">needed to provide </w:t>
      </w:r>
      <w:r w:rsidR="00705B17">
        <w:t>accountability and objectivity.</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0C4F6C">
      <w:pPr>
        <w:numPr>
          <w:ilvl w:val="2"/>
          <w:numId w:val="1"/>
        </w:numPr>
        <w:ind w:left="900"/>
      </w:pPr>
      <w:r>
        <w:rPr>
          <w:u w:val="single"/>
        </w:rPr>
        <w:t>Transparency</w:t>
      </w:r>
      <w:r>
        <w:t xml:space="preserve">:  </w:t>
      </w:r>
      <w:r w:rsidR="00705B17">
        <w:t>Transparency</w:t>
      </w:r>
      <w:r w:rsidR="00705B17" w:rsidRPr="000C4F6C">
        <w:t xml:space="preserve"> </w:t>
      </w:r>
      <w:r w:rsidRPr="000C4F6C">
        <w:t xml:space="preserve">is a prerequisite of accountability.  </w:t>
      </w:r>
      <w:r w:rsidR="000A610D">
        <w:t xml:space="preserve">While there might be commercial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rsidR="00C562A8">
        <w:rPr>
          <w:rStyle w:val="FootnoteReference"/>
          <w:u w:val="single"/>
        </w:rPr>
        <w:footnoteReference w:id="1"/>
      </w:r>
      <w:r>
        <w:t xml:space="preserve">:  </w:t>
      </w:r>
      <w:r w:rsidR="00B32C50">
        <w:t xml:space="preserve">Accountability </w:t>
      </w:r>
      <w:r>
        <w:t xml:space="preserve">should be independent of the IANA functions operator and should assure the accountability of the operator to the </w:t>
      </w:r>
      <w:r w:rsidR="00705B17">
        <w:t xml:space="preserve">inclusive </w:t>
      </w:r>
      <w:r>
        <w:t>glo</w:t>
      </w:r>
      <w:r w:rsidR="00705B17">
        <w:t>bal multi-stakeholder community.</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705B17">
        <w:t xml:space="preserve">functions </w:t>
      </w:r>
      <w:r w:rsidR="00093805">
        <w:t xml:space="preserve">operator should be independent of the policy processes.  Its role is to implement changes in accordance with policy agreed through the </w:t>
      </w:r>
      <w:r w:rsidR="00741A8D">
        <w:t>relevant bottom up policy process</w:t>
      </w:r>
      <w:r w:rsidR="00705B17">
        <w:t>.</w:t>
      </w:r>
      <w:r w:rsidR="00741A8D">
        <w:t xml:space="preserve"> </w:t>
      </w:r>
      <w:r w:rsidR="00705B17">
        <w:t xml:space="preserve"> </w:t>
      </w:r>
      <w:r w:rsidR="00C53477">
        <w:t>(</w:t>
      </w:r>
      <w:r w:rsidR="00741A8D">
        <w:t>Note:  this does not pre-suppose any model for separation of the policy and IANA roles</w:t>
      </w:r>
      <w:r>
        <w:t>.  T</w:t>
      </w:r>
      <w:r w:rsidR="00741A8D">
        <w:t xml:space="preserve">he current contract </w:t>
      </w:r>
      <w:r>
        <w:t xml:space="preserve">already </w:t>
      </w:r>
      <w:r w:rsidR="00C53477">
        <w:t>requires such separation.)</w:t>
      </w:r>
    </w:p>
    <w:p w:rsidR="00093805" w:rsidRDefault="00845E7E" w:rsidP="000A610D">
      <w:pPr>
        <w:numPr>
          <w:ilvl w:val="2"/>
          <w:numId w:val="1"/>
        </w:numPr>
        <w:ind w:left="900"/>
      </w:pPr>
      <w:r w:rsidRPr="004F1DC8">
        <w:rPr>
          <w:u w:val="single"/>
        </w:rPr>
        <w:t>Protection against Capture</w:t>
      </w:r>
      <w:r>
        <w:t xml:space="preserve">:  </w:t>
      </w:r>
      <w:r w:rsidR="00705B17">
        <w:t xml:space="preserve">Safeguards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705B17">
        <w:t>.</w:t>
      </w:r>
    </w:p>
    <w:p w:rsidR="00093805" w:rsidRDefault="00093805" w:rsidP="000A610D">
      <w:pPr>
        <w:numPr>
          <w:ilvl w:val="2"/>
          <w:numId w:val="1"/>
        </w:numPr>
        <w:ind w:left="900"/>
      </w:pPr>
      <w:r w:rsidRPr="00C53477">
        <w:rPr>
          <w:u w:val="single"/>
        </w:rPr>
        <w:t>Performance</w:t>
      </w:r>
      <w:r w:rsidR="0068006E">
        <w:rPr>
          <w:u w:val="single"/>
        </w:rPr>
        <w:t xml:space="preserve"> standards:</w:t>
      </w:r>
      <w:r w:rsidRPr="00830415">
        <w:t xml:space="preserve"> </w:t>
      </w:r>
      <w:r w:rsidR="0068006E">
        <w:t xml:space="preserve"> The functions operator needs to meet agreed service levels and its decisions should be in line with agreed policy.  Processes need</w:t>
      </w:r>
      <w:r w:rsidR="00830415">
        <w:t xml:space="preserve"> to be </w:t>
      </w:r>
      <w:r w:rsidR="0068006E">
        <w:t xml:space="preserve">in place to monitor performance and mechanisms should be in place to remedy failures. </w:t>
      </w:r>
      <w:r w:rsidR="00705B17">
        <w:t xml:space="preserve"> </w:t>
      </w:r>
      <w:r w:rsidR="00830415">
        <w:t xml:space="preserve">A </w:t>
      </w:r>
      <w:r w:rsidR="0068006E">
        <w:t xml:space="preserve">fallback </w:t>
      </w:r>
      <w:r w:rsidR="00830415">
        <w:t xml:space="preserve">provision </w:t>
      </w:r>
      <w:r w:rsidR="0068006E">
        <w:t xml:space="preserve">also needs to be in place </w:t>
      </w:r>
      <w:r w:rsidR="00D93A99">
        <w:t>in case of service failure.</w:t>
      </w:r>
    </w:p>
    <w:p w:rsidR="00845E7E" w:rsidRDefault="004F1DC8" w:rsidP="000A610D">
      <w:pPr>
        <w:numPr>
          <w:ilvl w:val="2"/>
          <w:numId w:val="1"/>
        </w:numPr>
        <w:ind w:left="900"/>
      </w:pPr>
      <w:r w:rsidRPr="004F1DC8">
        <w:rPr>
          <w:u w:val="single"/>
        </w:rPr>
        <w:t>Appeals</w:t>
      </w:r>
      <w:r w:rsidR="0019562E">
        <w:rPr>
          <w:u w:val="single"/>
        </w:rPr>
        <w:t xml:space="preserve"> and redress</w:t>
      </w:r>
      <w:r>
        <w:t xml:space="preserve">:  </w:t>
      </w:r>
      <w:r w:rsidR="00D93A99">
        <w:t>T</w:t>
      </w:r>
      <w:r w:rsidR="00741A8D">
        <w:t xml:space="preserve">here should be an appeals process </w:t>
      </w:r>
      <w:r w:rsidR="00F23EAD">
        <w:t xml:space="preserve">on decisions </w:t>
      </w:r>
      <w:r w:rsidR="00F23EAD" w:rsidRPr="00F23EAD">
        <w:rPr>
          <w:lang w:val="en-US"/>
        </w:rPr>
        <w:t xml:space="preserve">that includes [binding] redress </w:t>
      </w:r>
      <w:r w:rsidR="00102357">
        <w:t xml:space="preserve">open to </w:t>
      </w:r>
      <w:r w:rsidR="00D93A99">
        <w:t xml:space="preserve">affected </w:t>
      </w:r>
      <w:r w:rsidR="00102357">
        <w:t xml:space="preserve">parties </w:t>
      </w:r>
      <w:r w:rsidR="00741A8D">
        <w:t xml:space="preserve">and </w:t>
      </w:r>
      <w:r w:rsidR="00D93A99">
        <w:t>open to public scrutiny.</w:t>
      </w:r>
    </w:p>
    <w:p w:rsidR="00845E7E" w:rsidRPr="00845E7E" w:rsidRDefault="00741A8D" w:rsidP="00845E7E">
      <w:pPr>
        <w:numPr>
          <w:ilvl w:val="1"/>
          <w:numId w:val="1"/>
        </w:numPr>
        <w:ind w:left="360"/>
      </w:pPr>
      <w:r w:rsidRPr="00741A8D">
        <w:rPr>
          <w:u w:val="single"/>
        </w:rPr>
        <w:t>Service levels</w:t>
      </w:r>
      <w:r>
        <w:t xml:space="preserve">:  The performance of the IANA functions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recognised and agreed quality of service and in line</w:t>
      </w:r>
      <w:r w:rsidR="00902177">
        <w:t xml:space="preserve"> with service-level commitments.</w:t>
      </w:r>
    </w:p>
    <w:p w:rsidR="00F630C8" w:rsidRPr="00845E7E" w:rsidRDefault="00F630C8" w:rsidP="00F630C8">
      <w:pPr>
        <w:numPr>
          <w:ilvl w:val="2"/>
          <w:numId w:val="1"/>
        </w:numPr>
        <w:ind w:left="900"/>
      </w:pPr>
      <w:r>
        <w:lastRenderedPageBreak/>
        <w:t xml:space="preserve">Service level commitments should be </w:t>
      </w:r>
      <w:r w:rsidRPr="00845E7E">
        <w:t xml:space="preserve">adaptable to developing needs </w:t>
      </w:r>
      <w:r w:rsidR="00D93A99">
        <w:t xml:space="preserve">of the customers of the IANA function </w:t>
      </w:r>
      <w:r w:rsidRPr="00845E7E">
        <w:t xml:space="preserve">and </w:t>
      </w:r>
      <w:r>
        <w:t xml:space="preserve">subject to </w:t>
      </w:r>
      <w:r w:rsidR="00D93A99">
        <w:t>continued improvement.</w:t>
      </w:r>
    </w:p>
    <w:p w:rsidR="00F630C8" w:rsidRDefault="004F1DC8" w:rsidP="00F630C8">
      <w:pPr>
        <w:numPr>
          <w:ilvl w:val="2"/>
          <w:numId w:val="1"/>
        </w:numPr>
        <w:ind w:left="900"/>
      </w:pPr>
      <w:r>
        <w:t xml:space="preserve">The process should be </w:t>
      </w:r>
      <w:r w:rsidRPr="00845E7E">
        <w:t>automated</w:t>
      </w:r>
      <w:r>
        <w:t xml:space="preserve"> </w:t>
      </w:r>
      <w:r w:rsidR="00F630C8">
        <w:t>for all routine functions</w:t>
      </w:r>
      <w:r w:rsidR="00D93A99">
        <w:t>.</w:t>
      </w:r>
    </w:p>
    <w:p w:rsidR="00A71379" w:rsidRPr="00845E7E" w:rsidRDefault="004F1DC8" w:rsidP="00F630C8">
      <w:pPr>
        <w:numPr>
          <w:ilvl w:val="2"/>
          <w:numId w:val="1"/>
        </w:numPr>
        <w:ind w:left="900"/>
      </w:pPr>
      <w:r>
        <w:t xml:space="preserve">Service quality should be </w:t>
      </w:r>
      <w:r w:rsidR="00D93A99">
        <w:t xml:space="preserve">independently </w:t>
      </w:r>
      <w:r>
        <w:t xml:space="preserve">audited </w:t>
      </w:r>
      <w:r w:rsidR="00A71379">
        <w:t>(</w:t>
      </w:r>
      <w:r w:rsidR="00A71379" w:rsidRPr="00D93A99">
        <w:rPr>
          <w:i/>
        </w:rPr>
        <w:t>ex-post</w:t>
      </w:r>
      <w:r w:rsidR="00A71379">
        <w:t xml:space="preserve"> review)</w:t>
      </w:r>
      <w:r>
        <w:t xml:space="preserve"> against agreed commitments</w:t>
      </w:r>
      <w:r w:rsidR="00D93A99">
        <w:t>.</w:t>
      </w:r>
    </w:p>
    <w:p w:rsidR="009566E6" w:rsidRDefault="009566E6" w:rsidP="00845E7E">
      <w:pPr>
        <w:numPr>
          <w:ilvl w:val="1"/>
          <w:numId w:val="1"/>
        </w:numPr>
        <w:ind w:left="360"/>
      </w:pPr>
      <w:r w:rsidRPr="009566E6">
        <w:rPr>
          <w:u w:val="single"/>
        </w:rPr>
        <w:t>Policy based</w:t>
      </w:r>
      <w:r>
        <w:t xml:space="preserve">:  Decisions </w:t>
      </w:r>
      <w:r w:rsidR="00D93A99">
        <w:t xml:space="preserve">and actions </w:t>
      </w:r>
      <w:r w:rsidR="00C53477">
        <w:t>of</w:t>
      </w:r>
      <w:r w:rsidR="00D93A99">
        <w:t xml:space="preserve"> the IANA functions operator </w:t>
      </w:r>
      <w:r>
        <w:t xml:space="preserve">should be based on policy agreed </w:t>
      </w:r>
      <w:r w:rsidR="00D93A99">
        <w:t xml:space="preserve">to </w:t>
      </w:r>
      <w:r>
        <w:t xml:space="preserve">through the recognised bottom-up multi-stakeholder processes.  As such, decisions </w:t>
      </w:r>
      <w:r w:rsidR="00D93A99">
        <w:t xml:space="preserve">and actions </w:t>
      </w:r>
      <w:r>
        <w:t>should be:</w:t>
      </w:r>
    </w:p>
    <w:p w:rsidR="00845E7E" w:rsidRDefault="00845E7E" w:rsidP="009566E6">
      <w:pPr>
        <w:numPr>
          <w:ilvl w:val="2"/>
          <w:numId w:val="1"/>
        </w:numPr>
        <w:ind w:left="900"/>
      </w:pPr>
      <w:r w:rsidRPr="00845E7E">
        <w:t xml:space="preserve">Predictable:  </w:t>
      </w:r>
      <w:r w:rsidR="00C53477" w:rsidRPr="00845E7E">
        <w:t xml:space="preserve">Decisions </w:t>
      </w:r>
      <w:r w:rsidRPr="00845E7E">
        <w:t>are clearly rooted in agreed policy</w:t>
      </w:r>
      <w:r w:rsidR="009C1811">
        <w:t xml:space="preserve">.  For ccTLDs, </w:t>
      </w:r>
      <w:r w:rsidR="009C1811" w:rsidRPr="009C1811">
        <w:t>decisions may be made locally through nationally agreed processes</w:t>
      </w:r>
      <w:r w:rsidR="009C1811">
        <w:t>.</w:t>
      </w:r>
      <w:r w:rsidR="009C1811" w:rsidRPr="009C1811">
        <w:t xml:space="preserve"> </w:t>
      </w:r>
      <w:r w:rsidR="009C1811">
        <w:t xml:space="preserve"> </w:t>
      </w:r>
      <w:r w:rsidR="009C1811" w:rsidRPr="009C1811">
        <w:t xml:space="preserve">The </w:t>
      </w:r>
      <w:r w:rsidR="009C1811">
        <w:t xml:space="preserve">ccNSO is the policy authority in ICANN, working </w:t>
      </w:r>
      <w:r w:rsidR="009C1811" w:rsidRPr="009C1811">
        <w:t xml:space="preserve">in an open process </w:t>
      </w:r>
      <w:r w:rsidR="009C1811">
        <w:t xml:space="preserve">with </w:t>
      </w:r>
      <w:r w:rsidR="009C1811" w:rsidRPr="009C1811">
        <w:t xml:space="preserve">all </w:t>
      </w:r>
      <w:r w:rsidR="009C1811">
        <w:t xml:space="preserve">ccTLDs, not just </w:t>
      </w:r>
      <w:r w:rsidR="009C1811" w:rsidRPr="009C1811">
        <w:t>ccNSO members</w:t>
      </w:r>
      <w:r w:rsidR="009C1811">
        <w:t xml:space="preserve">, although its authority is not universally accepted.  </w:t>
      </w:r>
      <w:r w:rsidR="009566E6">
        <w:t xml:space="preserve">For gTLDs, the policy </w:t>
      </w:r>
      <w:r w:rsidR="00A71379">
        <w:t xml:space="preserve">authority is the </w:t>
      </w:r>
      <w:r w:rsidR="00902177">
        <w:t>GNSO;</w:t>
      </w:r>
    </w:p>
    <w:p w:rsidR="00A71379" w:rsidRDefault="00A71379" w:rsidP="009566E6">
      <w:pPr>
        <w:numPr>
          <w:ilvl w:val="2"/>
          <w:numId w:val="1"/>
        </w:numPr>
        <w:ind w:left="900"/>
      </w:pPr>
      <w:r w:rsidRPr="00845E7E">
        <w:t>Non-discriminatory</w:t>
      </w:r>
      <w:r w:rsidR="00902177">
        <w:t>;</w:t>
      </w:r>
    </w:p>
    <w:p w:rsidR="00A71379" w:rsidRDefault="00A71379" w:rsidP="009566E6">
      <w:pPr>
        <w:numPr>
          <w:ilvl w:val="2"/>
          <w:numId w:val="1"/>
        </w:numPr>
        <w:ind w:left="900"/>
      </w:pPr>
      <w:r>
        <w:t>Audited (</w:t>
      </w:r>
      <w:r w:rsidRPr="00902177">
        <w:rPr>
          <w:i/>
        </w:rPr>
        <w:t>ex-post</w:t>
      </w:r>
      <w:r>
        <w:t xml:space="preserve"> review);</w:t>
      </w:r>
      <w:r w:rsidR="00902177">
        <w:t xml:space="preserve">  and</w:t>
      </w:r>
      <w:bookmarkStart w:id="0" w:name="_GoBack"/>
      <w:bookmarkEnd w:id="0"/>
    </w:p>
    <w:p w:rsidR="00A71379" w:rsidRDefault="00A71379" w:rsidP="009566E6">
      <w:pPr>
        <w:numPr>
          <w:ilvl w:val="2"/>
          <w:numId w:val="1"/>
        </w:numPr>
        <w:ind w:left="900"/>
      </w:pPr>
      <w:r>
        <w:t>Appealable by s</w:t>
      </w:r>
      <w:r w:rsidR="00C53477">
        <w:t>ignificantly interested parties.</w:t>
      </w:r>
    </w:p>
    <w:p w:rsidR="000C4F6C" w:rsidRDefault="00D52480" w:rsidP="00D52480">
      <w:pPr>
        <w:numPr>
          <w:ilvl w:val="1"/>
          <w:numId w:val="1"/>
        </w:numPr>
        <w:ind w:left="426" w:hanging="426"/>
      </w:pPr>
      <w:r w:rsidRPr="00D52480">
        <w:rPr>
          <w:u w:val="single"/>
        </w:rPr>
        <w:t>Diversity of IANA’s Customers:</w:t>
      </w:r>
      <w:r>
        <w:t xml:space="preserve">  </w:t>
      </w:r>
      <w:r>
        <w:br/>
      </w:r>
      <w:r>
        <w:br/>
      </w:r>
      <w:r w:rsidR="00C53477">
        <w:t>IANA’s operations need</w:t>
      </w:r>
      <w:r>
        <w:t xml:space="preserve"> to take account of the variety of forms of relationship between </w:t>
      </w:r>
      <w:r w:rsidR="00C53477">
        <w:t>TLD operator</w:t>
      </w:r>
      <w:r>
        <w:t>s and the IANA function</w:t>
      </w:r>
      <w:r w:rsidR="00C53477">
        <w:t>s</w:t>
      </w:r>
      <w:r>
        <w:t xml:space="preserve"> operator.  The transition will need to reflect the diversity of arrangements in </w:t>
      </w:r>
      <w:r w:rsidR="00C53477">
        <w:t xml:space="preserve">accountability to the </w:t>
      </w:r>
      <w:r>
        <w:t xml:space="preserve">direct users of the </w:t>
      </w:r>
      <w:r w:rsidR="00C53477">
        <w:t>IANA functions</w:t>
      </w:r>
      <w:r>
        <w:t>.</w:t>
      </w:r>
      <w:r>
        <w:br/>
      </w:r>
      <w:r>
        <w:br/>
      </w:r>
      <w:r w:rsidRPr="00D52480">
        <w:rPr>
          <w:u w:val="single"/>
        </w:rPr>
        <w:t xml:space="preserve">For </w:t>
      </w:r>
      <w:r w:rsidR="00C53477">
        <w:rPr>
          <w:u w:val="single"/>
        </w:rPr>
        <w:t>ccTLDs:</w:t>
      </w:r>
      <w:r>
        <w:t xml:space="preserve"> </w:t>
      </w:r>
      <w:r w:rsidR="00C53477">
        <w:t xml:space="preserve"> </w:t>
      </w:r>
      <w:r>
        <w:t>the IANA should provide a service without requiring a contract and should respect the diversity of agreements and arrangements in place for ccTLDs.  In particular, the national policy authority should be respected and no additional requirements should be imposed unless it is directly and demonstrably linked to global security, stability and resilience of the DNS</w:t>
      </w:r>
      <w:r w:rsidR="00B32C50">
        <w:rPr>
          <w:rStyle w:val="FootnoteReference"/>
        </w:rPr>
        <w:footnoteReference w:id="2"/>
      </w:r>
      <w:r>
        <w:t>.</w:t>
      </w:r>
    </w:p>
    <w:p w:rsidR="00DD2EB8" w:rsidRPr="0052321A" w:rsidRDefault="00DD2EB8" w:rsidP="00D52480">
      <w:pPr>
        <w:numPr>
          <w:ilvl w:val="1"/>
          <w:numId w:val="1"/>
        </w:numPr>
        <w:ind w:left="426" w:hanging="426"/>
        <w:rPr>
          <w:u w:val="single"/>
        </w:rPr>
      </w:pPr>
      <w:r w:rsidRPr="00DD2EB8">
        <w:rPr>
          <w:u w:val="single"/>
        </w:rPr>
        <w:t>Seperability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separate the IANA functions from</w:t>
      </w:r>
      <w:r>
        <w:t xml:space="preserve"> the current operator if warranted and in line with agreed processes;  and</w:t>
      </w:r>
    </w:p>
    <w:p w:rsidR="0052321A" w:rsidRDefault="0052321A" w:rsidP="0052321A">
      <w:pPr>
        <w:numPr>
          <w:ilvl w:val="2"/>
          <w:numId w:val="1"/>
        </w:numPr>
        <w:ind w:left="900"/>
      </w:pPr>
      <w:r>
        <w:t>To convene a process for selecting a new operator.</w:t>
      </w:r>
    </w:p>
    <w:p w:rsidR="00C562A8" w:rsidRDefault="00C562A8" w:rsidP="00C562A8">
      <w:pPr>
        <w:ind w:left="426"/>
      </w:pPr>
      <w:r>
        <w:t>Seperability should persist through any future transfer of the IANA functions.  (Note the current NTIA contract requires such separation.)</w:t>
      </w:r>
    </w:p>
    <w:p w:rsidR="00C50FC3" w:rsidRDefault="00C50FC3"/>
    <w:sectPr w:rsidR="00C50FC3" w:rsidSect="000C4F6C">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88E" w:rsidRDefault="00DA688E" w:rsidP="00D52480">
      <w:pPr>
        <w:spacing w:after="0" w:line="240" w:lineRule="auto"/>
      </w:pPr>
      <w:r>
        <w:separator/>
      </w:r>
    </w:p>
  </w:endnote>
  <w:endnote w:type="continuationSeparator" w:id="0">
    <w:p w:rsidR="00DA688E" w:rsidRDefault="00DA688E" w:rsidP="00D52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C562A8" w:rsidRDefault="00DE0C12">
        <w:pPr>
          <w:pStyle w:val="Footer"/>
          <w:jc w:val="center"/>
        </w:pPr>
        <w:r w:rsidRPr="00DE0C12">
          <w:fldChar w:fldCharType="begin"/>
        </w:r>
        <w:r w:rsidR="00DA688E">
          <w:instrText>PAGE   \* MERGEFORMAT</w:instrText>
        </w:r>
        <w:r w:rsidRPr="00DE0C12">
          <w:fldChar w:fldCharType="separate"/>
        </w:r>
        <w:r w:rsidR="006665E2" w:rsidRPr="006665E2">
          <w:rPr>
            <w:noProof/>
            <w:lang w:val="da-DK"/>
          </w:rPr>
          <w:t>2</w:t>
        </w:r>
        <w:r>
          <w:rPr>
            <w:noProof/>
            <w:lang w:val="da-DK"/>
          </w:rPr>
          <w:fldChar w:fldCharType="end"/>
        </w:r>
      </w:p>
    </w:sdtContent>
  </w:sdt>
  <w:p w:rsidR="00C562A8" w:rsidRDefault="00C56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88E" w:rsidRDefault="00DA688E" w:rsidP="00D52480">
      <w:pPr>
        <w:spacing w:after="0" w:line="240" w:lineRule="auto"/>
      </w:pPr>
      <w:r>
        <w:separator/>
      </w:r>
    </w:p>
  </w:footnote>
  <w:footnote w:type="continuationSeparator" w:id="0">
    <w:p w:rsidR="00DA688E" w:rsidRDefault="00DA688E" w:rsidP="00D52480">
      <w:pPr>
        <w:spacing w:after="0" w:line="240" w:lineRule="auto"/>
      </w:pPr>
      <w:r>
        <w:continuationSeparator/>
      </w:r>
    </w:p>
  </w:footnote>
  <w:footnote w:id="1">
    <w:p w:rsidR="00C562A8" w:rsidRDefault="00C562A8">
      <w:pPr>
        <w:pStyle w:val="FootnoteText"/>
      </w:pPr>
      <w:r>
        <w:rPr>
          <w:rStyle w:val="FootnoteReference"/>
        </w:rPr>
        <w:footnoteRef/>
      </w:r>
      <w:r>
        <w:t xml:space="preserve"> In this the principle is the independence of the oversight, not the oversight per se.</w:t>
      </w:r>
    </w:p>
  </w:footnote>
  <w:footnote w:id="2">
    <w:p w:rsidR="00B32C50" w:rsidRDefault="00B32C50">
      <w:pPr>
        <w:pStyle w:val="FootnoteText"/>
      </w:pPr>
      <w:r>
        <w:rPr>
          <w:rStyle w:val="FootnoteReference"/>
        </w:rPr>
        <w:footnoteRef/>
      </w:r>
      <w:r>
        <w:t xml:space="preserve"> This is included in rfc1591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845E7E"/>
    <w:rsid w:val="00000148"/>
    <w:rsid w:val="000009C9"/>
    <w:rsid w:val="00000D1B"/>
    <w:rsid w:val="00001244"/>
    <w:rsid w:val="0000148A"/>
    <w:rsid w:val="000022B4"/>
    <w:rsid w:val="000028E0"/>
    <w:rsid w:val="00003218"/>
    <w:rsid w:val="000033A8"/>
    <w:rsid w:val="0000358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37"/>
    <w:rsid w:val="00260C42"/>
    <w:rsid w:val="00260E57"/>
    <w:rsid w:val="00260F40"/>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6297"/>
    <w:rsid w:val="002C6AB4"/>
    <w:rsid w:val="002C6CA8"/>
    <w:rsid w:val="002C70A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81F"/>
    <w:rsid w:val="005368DB"/>
    <w:rsid w:val="005369C4"/>
    <w:rsid w:val="00536C84"/>
    <w:rsid w:val="005378A0"/>
    <w:rsid w:val="00537FCC"/>
    <w:rsid w:val="0054024C"/>
    <w:rsid w:val="005405CA"/>
    <w:rsid w:val="00540F4E"/>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semiHidden/>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2A8"/>
    <w:rPr>
      <w:sz w:val="20"/>
      <w:szCs w:val="20"/>
    </w:rPr>
  </w:style>
  <w:style w:type="character" w:styleId="FootnoteReference">
    <w:name w:val="footnote reference"/>
    <w:basedOn w:val="DefaultParagraphFont"/>
    <w:uiPriority w:val="99"/>
    <w:semiHidden/>
    <w:unhideWhenUsed/>
    <w:rsid w:val="00C562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F01C35"/>
    <w:rPr>
      <w:sz w:val="16"/>
      <w:szCs w:val="16"/>
    </w:rPr>
  </w:style>
  <w:style w:type="paragraph" w:styleId="Kommentartekst">
    <w:name w:val="annotation text"/>
    <w:basedOn w:val="Normal"/>
    <w:link w:val="KommentartekstTegn"/>
    <w:uiPriority w:val="99"/>
    <w:semiHidden/>
    <w:unhideWhenUsed/>
    <w:rsid w:val="00F01C3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01C35"/>
    <w:rPr>
      <w:sz w:val="20"/>
      <w:szCs w:val="20"/>
    </w:rPr>
  </w:style>
  <w:style w:type="paragraph" w:styleId="Kommentaremne">
    <w:name w:val="annotation subject"/>
    <w:basedOn w:val="Kommentartekst"/>
    <w:next w:val="Kommentartekst"/>
    <w:link w:val="KommentaremneTegn"/>
    <w:uiPriority w:val="99"/>
    <w:semiHidden/>
    <w:unhideWhenUsed/>
    <w:rsid w:val="00F01C35"/>
    <w:rPr>
      <w:b/>
      <w:bCs/>
    </w:rPr>
  </w:style>
  <w:style w:type="character" w:customStyle="1" w:styleId="KommentaremneTegn">
    <w:name w:val="Kommentaremne Tegn"/>
    <w:basedOn w:val="KommentartekstTegn"/>
    <w:link w:val="Kommentaremne"/>
    <w:uiPriority w:val="99"/>
    <w:semiHidden/>
    <w:rsid w:val="00F01C35"/>
    <w:rPr>
      <w:b/>
      <w:bCs/>
      <w:sz w:val="20"/>
      <w:szCs w:val="20"/>
    </w:rPr>
  </w:style>
  <w:style w:type="paragraph" w:styleId="Markeringsbobletekst">
    <w:name w:val="Balloon Text"/>
    <w:basedOn w:val="Normal"/>
    <w:link w:val="MarkeringsbobletekstTegn"/>
    <w:uiPriority w:val="99"/>
    <w:semiHidden/>
    <w:unhideWhenUsed/>
    <w:rsid w:val="00F01C3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01C35"/>
    <w:rPr>
      <w:rFonts w:ascii="Tahoma" w:hAnsi="Tahoma" w:cs="Tahoma"/>
      <w:sz w:val="16"/>
      <w:szCs w:val="16"/>
    </w:rPr>
  </w:style>
  <w:style w:type="paragraph" w:styleId="Sidehoved">
    <w:name w:val="header"/>
    <w:basedOn w:val="Normal"/>
    <w:link w:val="SidehovedTegn"/>
    <w:uiPriority w:val="99"/>
    <w:unhideWhenUsed/>
    <w:rsid w:val="00D524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2480"/>
  </w:style>
  <w:style w:type="paragraph" w:styleId="Sidefod">
    <w:name w:val="footer"/>
    <w:basedOn w:val="Normal"/>
    <w:link w:val="SidefodTegn"/>
    <w:uiPriority w:val="99"/>
    <w:unhideWhenUsed/>
    <w:rsid w:val="00D524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2480"/>
  </w:style>
  <w:style w:type="paragraph" w:styleId="Fodnotetekst">
    <w:name w:val="footnote text"/>
    <w:basedOn w:val="Normal"/>
    <w:link w:val="FodnotetekstTegn"/>
    <w:uiPriority w:val="99"/>
    <w:semiHidden/>
    <w:unhideWhenUsed/>
    <w:rsid w:val="00C562A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562A8"/>
    <w:rPr>
      <w:sz w:val="20"/>
      <w:szCs w:val="20"/>
    </w:rPr>
  </w:style>
  <w:style w:type="character" w:styleId="Fodnotehenvisning">
    <w:name w:val="footnote reference"/>
    <w:basedOn w:val="Standardskrifttypeiafsnit"/>
    <w:uiPriority w:val="99"/>
    <w:semiHidden/>
    <w:unhideWhenUsed/>
    <w:rsid w:val="00C562A8"/>
    <w:rPr>
      <w:vertAlign w:val="superscript"/>
    </w:r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2F0A-6D0A-4F64-A175-EFB2AD35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3921</Characters>
  <Application>Microsoft Office Word</Application>
  <DocSecurity>4</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2</cp:revision>
  <cp:lastPrinted>2014-11-12T09:03:00Z</cp:lastPrinted>
  <dcterms:created xsi:type="dcterms:W3CDTF">2014-11-13T22:28:00Z</dcterms:created>
  <dcterms:modified xsi:type="dcterms:W3CDTF">2014-11-13T22:28:00Z</dcterms:modified>
</cp:coreProperties>
</file>