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4D0D5D8E"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614C48">
        <w:rPr>
          <w:rFonts w:asciiTheme="majorHAnsi" w:hAnsiTheme="majorHAnsi"/>
          <w:b/>
        </w:rPr>
        <w:t>1 March</w:t>
      </w:r>
      <w:r w:rsidRPr="00353B19">
        <w:rPr>
          <w:rFonts w:asciiTheme="majorHAnsi" w:hAnsiTheme="majorHAnsi"/>
          <w:b/>
        </w:rPr>
        <w:t xml:space="preserve"> 2015</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031105"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eafsnit"/>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655FD2CE" w:rsidR="00732143" w:rsidRDefault="00732143" w:rsidP="00732143">
            <w:pPr>
              <w:pStyle w:val="Listeafsnit"/>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BBD8B0E" w14:textId="2AE910C5" w:rsidR="00732143" w:rsidRDefault="00556519" w:rsidP="00A65974">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7B545D10"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031105"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28F3EFFD" w:rsidR="00732143" w:rsidRDefault="00556519"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Proposed</w:t>
            </w:r>
            <w:r w:rsidR="00DD003F">
              <w:rPr>
                <w:rFonts w:asciiTheme="majorHAnsi" w:hAnsiTheme="majorHAnsi" w:cs="Helvetica"/>
                <w:b/>
                <w:bCs/>
                <w:sz w:val="22"/>
                <w:szCs w:val="22"/>
              </w:rPr>
              <w:t xml:space="preserve">  </w:t>
            </w:r>
          </w:p>
        </w:tc>
      </w:tr>
    </w:tbl>
    <w:p w14:paraId="247374E9"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031105"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2024F0F5" w:rsidR="00732143"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Don</w:t>
            </w:r>
            <w:r w:rsidR="00BB6322">
              <w:rPr>
                <w:rFonts w:asciiTheme="majorHAnsi" w:hAnsiTheme="majorHAnsi" w:cs="Calibri"/>
                <w:b/>
                <w:bCs/>
                <w:sz w:val="22"/>
                <w:szCs w:val="22"/>
              </w:rPr>
              <w:t>n</w:t>
            </w:r>
            <w:bookmarkStart w:id="0" w:name="_GoBack"/>
            <w:bookmarkEnd w:id="0"/>
            <w:r>
              <w:rPr>
                <w:rFonts w:asciiTheme="majorHAnsi" w:hAnsiTheme="majorHAnsi" w:cs="Calibri"/>
                <w:b/>
                <w:bCs/>
                <w:sz w:val="22"/>
                <w:szCs w:val="22"/>
              </w:rPr>
              <w:t>a Austin (tentative)</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16428B97" w:rsidR="00732143"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Proposed</w:t>
            </w:r>
            <w:r w:rsidR="00DD003F">
              <w:rPr>
                <w:rFonts w:asciiTheme="majorHAnsi" w:hAnsiTheme="majorHAnsi" w:cs="Calibri"/>
                <w:b/>
                <w:bCs/>
                <w:sz w:val="22"/>
                <w:szCs w:val="22"/>
              </w:rPr>
              <w:t xml:space="preserve"> </w:t>
            </w:r>
          </w:p>
        </w:tc>
      </w:tr>
    </w:tbl>
    <w:p w14:paraId="55D4BD4C"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031105"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188A90F1" w:rsidR="00732143" w:rsidRDefault="00732143"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031105"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063F6F9E" w:rsidR="00732143" w:rsidRDefault="00732143" w:rsidP="00A65974">
            <w:pPr>
              <w:widowControl w:val="0"/>
              <w:autoSpaceDE w:val="0"/>
              <w:autoSpaceDN w:val="0"/>
              <w:adjustRightInd w:val="0"/>
              <w:rPr>
                <w:rFonts w:asciiTheme="majorHAnsi" w:hAnsiTheme="majorHAnsi" w:cs="Calibri"/>
                <w:b/>
                <w:bCs/>
                <w:sz w:val="22"/>
                <w:szCs w:val="22"/>
              </w:rPr>
            </w:pPr>
          </w:p>
        </w:tc>
      </w:tr>
    </w:tbl>
    <w:p w14:paraId="1C2F7F69"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031105"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AA9BE10"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622F5AA0" w:rsidR="00732143" w:rsidRDefault="00732143"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031105"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eafsnit"/>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eafsnit"/>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77777777" w:rsidR="00E104EC"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540F910C"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031105"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.INT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CEF844A" w14:textId="3CF2951A" w:rsidR="00246B67" w:rsidRDefault="00246B67" w:rsidP="00246B67">
            <w:pPr>
              <w:widowControl w:val="0"/>
              <w:autoSpaceDE w:val="0"/>
              <w:autoSpaceDN w:val="0"/>
              <w:adjustRightInd w:val="0"/>
              <w:rPr>
                <w:rFonts w:asciiTheme="majorHAnsi" w:hAnsiTheme="majorHAnsi" w:cs="Calibri"/>
                <w:b/>
                <w:bCs/>
                <w:sz w:val="22"/>
                <w:szCs w:val="22"/>
              </w:rPr>
            </w:pPr>
          </w:p>
        </w:tc>
      </w:tr>
    </w:tbl>
    <w:p w14:paraId="6DACE80E"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031105"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77777777" w:rsidR="00246B67" w:rsidRPr="0061556B"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Christopher Wilkinson</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77777777" w:rsidR="00246B67"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Proposed  </w:t>
            </w:r>
          </w:p>
        </w:tc>
      </w:tr>
    </w:tbl>
    <w:p w14:paraId="55A8BDD5" w14:textId="77777777" w:rsidR="00732143" w:rsidRDefault="00732143">
      <w:pPr>
        <w:rPr>
          <w:rFonts w:asciiTheme="majorHAnsi" w:hAnsiTheme="majorHAnsi"/>
          <w:b/>
          <w:sz w:val="28"/>
          <w:szCs w:val="28"/>
        </w:rPr>
      </w:pPr>
    </w:p>
    <w:p w14:paraId="1B8AA252"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031105"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29A5B92" w:rsidR="00246B67" w:rsidRDefault="00246B67"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031105"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63CB6E47" w:rsidR="00246B67" w:rsidRDefault="00246B67" w:rsidP="00246B67">
            <w:pPr>
              <w:widowControl w:val="0"/>
              <w:autoSpaceDE w:val="0"/>
              <w:autoSpaceDN w:val="0"/>
              <w:adjustRightInd w:val="0"/>
              <w:rPr>
                <w:rFonts w:asciiTheme="majorHAnsi" w:hAnsiTheme="majorHAnsi" w:cs="Calibri"/>
                <w:b/>
                <w:bCs/>
                <w:sz w:val="22"/>
                <w:szCs w:val="22"/>
              </w:rPr>
            </w:pPr>
          </w:p>
        </w:tc>
      </w:tr>
    </w:tbl>
    <w:p w14:paraId="1199BBEE" w14:textId="77777777" w:rsidR="00246B67" w:rsidRDefault="00246B67">
      <w:pPr>
        <w:rPr>
          <w:rFonts w:asciiTheme="majorHAnsi" w:hAnsiTheme="majorHAnsi"/>
          <w:b/>
          <w:sz w:val="28"/>
          <w:szCs w:val="28"/>
        </w:rPr>
      </w:pPr>
    </w:p>
    <w:p w14:paraId="0E34FC6C" w14:textId="08298F0B" w:rsidR="00732143" w:rsidRDefault="00732143">
      <w:pPr>
        <w:rPr>
          <w:rFonts w:asciiTheme="majorHAnsi" w:hAnsiTheme="majorHAnsi"/>
          <w:b/>
          <w:sz w:val="28"/>
          <w:szCs w:val="28"/>
        </w:rPr>
      </w:pPr>
      <w:r>
        <w:rPr>
          <w:rFonts w:asciiTheme="majorHAnsi" w:hAnsiTheme="majorHAnsi"/>
          <w:b/>
          <w:sz w:val="28"/>
          <w:szCs w:val="28"/>
        </w:rPr>
        <w:br w:type="page"/>
      </w:r>
    </w:p>
    <w:p w14:paraId="3D6155EA" w14:textId="77777777" w:rsidR="00732143" w:rsidRDefault="00732143">
      <w:pPr>
        <w:rPr>
          <w:rFonts w:asciiTheme="majorHAnsi" w:hAnsiTheme="majorHAnsi"/>
          <w:b/>
          <w:sz w:val="28"/>
          <w:szCs w:val="28"/>
        </w:rPr>
      </w:pPr>
    </w:p>
    <w:tbl>
      <w:tblPr>
        <w:tblStyle w:val="Tabel-Gitter"/>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59D4352C" w:rsidR="00353B19" w:rsidRPr="00F9740A" w:rsidRDefault="00353B19" w:rsidP="00732143">
            <w:pPr>
              <w:pStyle w:val="Listeafsnit"/>
              <w:widowControl w:val="0"/>
              <w:numPr>
                <w:ilvl w:val="0"/>
                <w:numId w:val="5"/>
              </w:numPr>
              <w:autoSpaceDE w:val="0"/>
              <w:autoSpaceDN w:val="0"/>
              <w:adjustRightInd w:val="0"/>
              <w:rPr>
                <w:rFonts w:ascii="Calibri" w:hAnsi="Calibri" w:cs="Calibri"/>
                <w:b/>
                <w:bCs/>
                <w:sz w:val="22"/>
                <w:szCs w:val="22"/>
              </w:rPr>
            </w:pPr>
            <w:bookmarkStart w:id="1" w:name="A"/>
            <w:bookmarkEnd w:id="1"/>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III.A.1.4.2 Accountability functions which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eafsnit"/>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77777777" w:rsidR="00614C48" w:rsidRPr="00614C48" w:rsidRDefault="00614C48" w:rsidP="00614C48">
            <w:pPr>
              <w:pStyle w:val="Listeafsnit"/>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 xml:space="preserve">Document, list and detail how these current SLEs should be modified as part of the transition proposal to address any gaps or issues that were identified </w:t>
            </w:r>
          </w:p>
          <w:p w14:paraId="0349FDB0" w14:textId="003D7F41"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tricio Poblete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1D887A4E" w:rsidR="00353B19" w:rsidRPr="00353B19" w:rsidRDefault="005565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77777777" w:rsidR="00353B19" w:rsidRPr="00353B19" w:rsidRDefault="00353B19" w:rsidP="00353B19">
            <w:pPr>
              <w:widowControl w:val="0"/>
              <w:autoSpaceDE w:val="0"/>
              <w:autoSpaceDN w:val="0"/>
              <w:adjustRightInd w:val="0"/>
              <w:rPr>
                <w:rFonts w:ascii="Calibri" w:hAnsi="Calibri" w:cs="Calibri"/>
                <w:b/>
                <w:bCs/>
                <w:sz w:val="22"/>
                <w:szCs w:val="22"/>
              </w:rPr>
            </w:pPr>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el-Gitter"/>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eafsnit"/>
              <w:widowControl w:val="0"/>
              <w:numPr>
                <w:ilvl w:val="0"/>
                <w:numId w:val="5"/>
              </w:numPr>
              <w:autoSpaceDE w:val="0"/>
              <w:autoSpaceDN w:val="0"/>
              <w:adjustRightInd w:val="0"/>
              <w:rPr>
                <w:rFonts w:ascii="Calibri" w:hAnsi="Calibri" w:cs="Calibri"/>
                <w:b/>
                <w:bCs/>
                <w:sz w:val="22"/>
                <w:szCs w:val="22"/>
              </w:rPr>
            </w:pPr>
            <w:bookmarkStart w:id="2" w:name="B"/>
            <w:bookmarkEnd w:id="2"/>
          </w:p>
        </w:tc>
        <w:tc>
          <w:tcPr>
            <w:tcW w:w="5868" w:type="dxa"/>
            <w:shd w:val="clear" w:color="auto" w:fill="B3B3B3"/>
          </w:tcPr>
          <w:p w14:paraId="4F439EDA" w14:textId="193309D6" w:rsidR="00353B19"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IAP</w:t>
            </w:r>
            <w:r w:rsidR="0013034A">
              <w:rPr>
                <w:rFonts w:asciiTheme="majorHAnsi" w:hAnsiTheme="majorHAnsi" w:cs="Helvetica"/>
                <w:b/>
                <w:bCs/>
                <w:sz w:val="22"/>
                <w:szCs w:val="22"/>
              </w:rPr>
              <w:t xml:space="preserve"> – Appeal Mechanism for </w:t>
            </w:r>
            <w:proofErr w:type="spellStart"/>
            <w:r w:rsidR="0013034A">
              <w:rPr>
                <w:rFonts w:asciiTheme="majorHAnsi" w:hAnsiTheme="majorHAnsi" w:cs="Helvetica"/>
                <w:b/>
                <w:bCs/>
                <w:sz w:val="22"/>
                <w:szCs w:val="22"/>
              </w:rPr>
              <w:t>ccTLD</w:t>
            </w:r>
            <w:proofErr w:type="spellEnd"/>
            <w:r w:rsidR="0013034A">
              <w:rPr>
                <w:rFonts w:asciiTheme="majorHAnsi" w:hAnsiTheme="majorHAnsi" w:cs="Helvetica"/>
                <w:b/>
                <w:bCs/>
                <w:sz w:val="22"/>
                <w:szCs w:val="22"/>
              </w:rPr>
              <w:t xml:space="preserve"> Delegations / </w:t>
            </w:r>
            <w:proofErr w:type="spellStart"/>
            <w:r w:rsidR="0013034A">
              <w:rPr>
                <w:rFonts w:asciiTheme="majorHAnsi" w:hAnsiTheme="majorHAnsi" w:cs="Helvetica"/>
                <w:b/>
                <w:bCs/>
                <w:sz w:val="22"/>
                <w:szCs w:val="22"/>
              </w:rPr>
              <w:t>Re</w:t>
            </w:r>
            <w:r w:rsidR="00F5780B">
              <w:rPr>
                <w:rFonts w:asciiTheme="majorHAnsi" w:hAnsiTheme="majorHAnsi" w:cs="Helvetica"/>
                <w:b/>
                <w:bCs/>
                <w:sz w:val="22"/>
                <w:szCs w:val="22"/>
              </w:rPr>
              <w:t>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38EADD8D" w:rsidR="00732143" w:rsidRPr="00353B19" w:rsidRDefault="0013034A" w:rsidP="00A65974">
            <w:pPr>
              <w:widowControl w:val="0"/>
              <w:autoSpaceDE w:val="0"/>
              <w:autoSpaceDN w:val="0"/>
              <w:adjustRightInd w:val="0"/>
              <w:rPr>
                <w:rFonts w:asciiTheme="majorHAnsi" w:hAnsiTheme="majorHAnsi" w:cs="Helvetica"/>
                <w:sz w:val="22"/>
                <w:szCs w:val="22"/>
              </w:rPr>
            </w:pPr>
            <w:r>
              <w:rPr>
                <w:rFonts w:ascii="Calibri" w:hAnsi="Calibri" w:cs="Calibri"/>
                <w:sz w:val="22"/>
                <w:szCs w:val="22"/>
              </w:rPr>
              <w:t>3.4.3.3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2C573318" w14:textId="2F47D925" w:rsidR="00353B19" w:rsidRPr="00353B19" w:rsidRDefault="0013034A" w:rsidP="00353B19">
            <w:pPr>
              <w:widowControl w:val="0"/>
              <w:autoSpaceDE w:val="0"/>
              <w:autoSpaceDN w:val="0"/>
              <w:adjustRightInd w:val="0"/>
              <w:rPr>
                <w:rFonts w:ascii="Calibri" w:hAnsi="Calibri" w:cs="Calibri"/>
                <w:sz w:val="22"/>
                <w:szCs w:val="22"/>
              </w:rPr>
            </w:pPr>
            <w:r>
              <w:rPr>
                <w:rFonts w:ascii="Calibri" w:hAnsi="Calibri" w:cs="Calibri"/>
                <w:sz w:val="22"/>
                <w:szCs w:val="22"/>
              </w:rPr>
              <w:t xml:space="preserve">The focus of the Design Team on Appeal Mechanism for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 xml:space="preserve"> will be on establishing the potential parameters of an appeal mechanism for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4ECC7A2B" w14:textId="77777777" w:rsidR="0013034A" w:rsidRDefault="0013034A" w:rsidP="0013034A">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9"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w:t>
            </w:r>
            <w:r w:rsidRPr="00E54309">
              <w:rPr>
                <w:rFonts w:ascii="Calibri" w:hAnsi="Calibri" w:cs="Calibri"/>
                <w:bCs/>
                <w:sz w:val="22"/>
                <w:szCs w:val="22"/>
              </w:rPr>
              <w:lastRenderedPageBreak/>
              <w:t>come up with a consistent proposal on IAP”</w:t>
            </w:r>
            <w:r>
              <w:rPr>
                <w:rFonts w:ascii="Calibri" w:hAnsi="Calibri" w:cs="Calibri"/>
                <w:bCs/>
                <w:sz w:val="22"/>
                <w:szCs w:val="22"/>
              </w:rPr>
              <w:t xml:space="preserve"> (see </w:t>
            </w:r>
            <w:hyperlink r:id="rId10" w:history="1">
              <w:r w:rsidRPr="00745457">
                <w:rPr>
                  <w:rStyle w:val="Hyperlink"/>
                  <w:rFonts w:ascii="Calibri" w:hAnsi="Calibri" w:cs="Calibri"/>
                  <w:bCs/>
                  <w:sz w:val="22"/>
                  <w:szCs w:val="22"/>
                </w:rPr>
                <w:t>https://community.icann.org/pages/viewpage.action?pageId=52232278</w:t>
              </w:r>
            </w:hyperlink>
          </w:p>
          <w:p w14:paraId="1577A46E" w14:textId="77777777" w:rsidR="0013034A" w:rsidRDefault="0013034A" w:rsidP="0013034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1"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It has subsequently established an ‘Appeals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 xml:space="preserve">CCWG also said that it has no intention to give an accountability mechanism decision-making powers relating to the (re)delegation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29EBDD83" w:rsidR="00353B19" w:rsidRPr="00353B19" w:rsidRDefault="0013034A" w:rsidP="0013034A">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In light of this, it is proposed that a Design Team consider the question of the potential need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the potential parameters of this.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608DBB68" w14:textId="2984935A" w:rsidR="00353B19" w:rsidRPr="00353B19" w:rsidRDefault="0013034A"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CIRA - ,ca,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7D519909" w:rsidR="00353B19" w:rsidRPr="006D16BC" w:rsidRDefault="00E104EC" w:rsidP="0061556B">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Proposed</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77777777" w:rsidR="00353B19" w:rsidRPr="00353B19" w:rsidRDefault="00353B19" w:rsidP="0061556B">
            <w:pPr>
              <w:widowControl w:val="0"/>
              <w:autoSpaceDE w:val="0"/>
              <w:autoSpaceDN w:val="0"/>
              <w:adjustRightInd w:val="0"/>
              <w:rPr>
                <w:rFonts w:ascii="Calibri" w:hAnsi="Calibri" w:cs="Calibri"/>
                <w:b/>
                <w:bCs/>
                <w:sz w:val="22"/>
                <w:szCs w:val="22"/>
              </w:rPr>
            </w:pP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el-Gitter"/>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eafsnit"/>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D678376" w:rsidR="00732143" w:rsidRPr="0061556B" w:rsidRDefault="00B42A24"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58DFDD4B" w:rsidR="0061556B" w:rsidRPr="0061556B" w:rsidRDefault="0061556B" w:rsidP="0061556B">
            <w:pPr>
              <w:widowControl w:val="0"/>
              <w:autoSpaceDE w:val="0"/>
              <w:autoSpaceDN w:val="0"/>
              <w:adjustRightInd w:val="0"/>
              <w:rPr>
                <w:rFonts w:ascii="Calibri" w:hAnsi="Calibri" w:cs="Calibri"/>
                <w:sz w:val="22"/>
                <w:szCs w:val="22"/>
              </w:rPr>
            </w:pP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C5D910C"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449E2657" w14:textId="1F395D8A"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76C6420F" w:rsidR="0061556B" w:rsidRPr="00353B19" w:rsidRDefault="00E104EC"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Donna Austin (tentative)</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0F5CA537" w:rsidR="0061556B" w:rsidRPr="00353B19" w:rsidRDefault="00E104EC"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eafsnit"/>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17783171" w:rsidR="0061556B" w:rsidRPr="00353B19" w:rsidRDefault="00B42A24"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054F47F2"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eafsnit"/>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53764D20" w:rsidR="00096C5F" w:rsidRPr="00353B19" w:rsidRDefault="00096C5F" w:rsidP="00F9740A">
            <w:pPr>
              <w:widowControl w:val="0"/>
              <w:autoSpaceDE w:val="0"/>
              <w:autoSpaceDN w:val="0"/>
              <w:adjustRightInd w:val="0"/>
              <w:rPr>
                <w:rFonts w:ascii="Calibri" w:hAnsi="Calibri" w:cs="Calibri"/>
                <w:b/>
                <w:bCs/>
                <w:sz w:val="22"/>
                <w:szCs w:val="22"/>
              </w:rPr>
            </w:pP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eafsnit"/>
              <w:widowControl w:val="0"/>
              <w:numPr>
                <w:ilvl w:val="0"/>
                <w:numId w:val="5"/>
              </w:numPr>
              <w:autoSpaceDE w:val="0"/>
              <w:autoSpaceDN w:val="0"/>
              <w:adjustRightInd w:val="0"/>
              <w:rPr>
                <w:rFonts w:ascii="Calibri" w:hAnsi="Calibri" w:cs="Calibri"/>
                <w:b/>
                <w:bCs/>
                <w:sz w:val="22"/>
                <w:szCs w:val="22"/>
              </w:rPr>
            </w:pPr>
            <w:bookmarkStart w:id="7" w:name="F"/>
            <w:bookmarkEnd w:id="7"/>
          </w:p>
        </w:tc>
        <w:tc>
          <w:tcPr>
            <w:tcW w:w="5868" w:type="dxa"/>
            <w:shd w:val="clear" w:color="auto" w:fill="B3B3B3"/>
          </w:tcPr>
          <w:p w14:paraId="1311FA9F" w14:textId="7C799C10" w:rsidR="0061556B"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6065110A"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III.A.1.2</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56AA0C1A" w:rsidR="0061556B" w:rsidRPr="00353B19" w:rsidRDefault="00096C5F"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IANA functions contract describes the triangular relationship between the NTIA, IANA and the RZM for implementing changes. Removing the NTIA from this equation will require establishing new rules for the implementation of RZ change requests by IANA.</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3F279C31"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eafsnit"/>
              <w:widowControl w:val="0"/>
              <w:numPr>
                <w:ilvl w:val="0"/>
                <w:numId w:val="5"/>
              </w:numPr>
              <w:autoSpaceDE w:val="0"/>
              <w:autoSpaceDN w:val="0"/>
              <w:adjustRightInd w:val="0"/>
              <w:rPr>
                <w:rFonts w:ascii="Calibri" w:hAnsi="Calibri" w:cs="Calibri"/>
                <w:b/>
                <w:bCs/>
                <w:sz w:val="22"/>
                <w:szCs w:val="22"/>
              </w:rPr>
            </w:pPr>
            <w:bookmarkStart w:id="8" w:name="G"/>
            <w:bookmarkEnd w:id="8"/>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2"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proposal submitted by CRISP on behalf of the Numbers </w:t>
            </w:r>
            <w:r w:rsidRPr="00353B19">
              <w:rPr>
                <w:rFonts w:ascii="Calibri" w:hAnsi="Calibri" w:cs="Calibri"/>
                <w:sz w:val="22"/>
                <w:szCs w:val="22"/>
              </w:rPr>
              <w:lastRenderedPageBreak/>
              <w:t>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3"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14"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10967F58" w:rsidR="00F9740A" w:rsidRPr="00353B19" w:rsidRDefault="00246B67"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120DA564" w14:textId="77777777" w:rsidR="00A9113A" w:rsidRDefault="00A9113A"/>
    <w:tbl>
      <w:tblPr>
        <w:tblStyle w:val="Tabel-Gitter"/>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eafsnit"/>
              <w:widowControl w:val="0"/>
              <w:numPr>
                <w:ilvl w:val="0"/>
                <w:numId w:val="5"/>
              </w:numPr>
              <w:autoSpaceDE w:val="0"/>
              <w:autoSpaceDN w:val="0"/>
              <w:adjustRightInd w:val="0"/>
              <w:rPr>
                <w:rFonts w:ascii="Calibri" w:hAnsi="Calibri" w:cs="Calibri"/>
                <w:b/>
                <w:bCs/>
                <w:sz w:val="22"/>
                <w:szCs w:val="22"/>
              </w:rPr>
            </w:pPr>
            <w:bookmarkStart w:id="9" w:name="H"/>
            <w:bookmarkEnd w:id="9"/>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.INT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5E4853F8" w14:textId="77777777" w:rsidR="00246B67" w:rsidRPr="001F392B" w:rsidRDefault="00246B67" w:rsidP="00246B67">
            <w:pPr>
              <w:widowControl w:val="0"/>
              <w:autoSpaceDE w:val="0"/>
              <w:autoSpaceDN w:val="0"/>
              <w:adjustRightInd w:val="0"/>
              <w:rPr>
                <w:rFonts w:asciiTheme="majorHAnsi" w:hAnsiTheme="majorHAnsi" w:cs="Consolas"/>
                <w:sz w:val="22"/>
                <w:szCs w:val="22"/>
              </w:rPr>
            </w:pPr>
            <w:r w:rsidRPr="001F392B">
              <w:rPr>
                <w:rFonts w:asciiTheme="majorHAnsi" w:hAnsiTheme="majorHAnsi" w:cs="Consolas"/>
                <w:sz w:val="22"/>
                <w:szCs w:val="22"/>
              </w:rPr>
              <w:t>Registry operations for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 Under the ICANN bylaws Article II, section 2 - ICANN should not be allowed to be a registry or registrar. That is in conflict with the current practice for.int</w:t>
            </w:r>
          </w:p>
          <w:p w14:paraId="17CA4024" w14:textId="77777777" w:rsidR="00246B67" w:rsidRPr="001F392B" w:rsidRDefault="00246B67" w:rsidP="00246B67">
            <w:pPr>
              <w:widowControl w:val="0"/>
              <w:autoSpaceDE w:val="0"/>
              <w:autoSpaceDN w:val="0"/>
              <w:adjustRightInd w:val="0"/>
              <w:rPr>
                <w:rFonts w:asciiTheme="majorHAnsi" w:hAnsiTheme="majorHAnsi" w:cs="Consolas"/>
                <w:sz w:val="22"/>
                <w:szCs w:val="22"/>
              </w:rPr>
            </w:pPr>
          </w:p>
          <w:p w14:paraId="1AB044B4" w14:textId="761A3CE1" w:rsidR="00F9740A" w:rsidRPr="00F9740A" w:rsidRDefault="00246B67" w:rsidP="00246B67">
            <w:pPr>
              <w:widowControl w:val="0"/>
              <w:autoSpaceDE w:val="0"/>
              <w:autoSpaceDN w:val="0"/>
              <w:adjustRightInd w:val="0"/>
              <w:rPr>
                <w:rFonts w:ascii="Calibri" w:hAnsi="Calibri" w:cs="Calibri"/>
                <w:sz w:val="22"/>
                <w:szCs w:val="22"/>
              </w:rPr>
            </w:pPr>
            <w:r w:rsidRPr="001F392B">
              <w:rPr>
                <w:rFonts w:asciiTheme="majorHAnsi" w:hAnsiTheme="majorHAnsi" w:cs="Consolas"/>
                <w:sz w:val="22"/>
                <w:szCs w:val="22"/>
              </w:rPr>
              <w:t>Policy development - To register under the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xml:space="preserve"> domain today, the applicant must be an intergovernmental organization that meets the requirements found in the RFC 1591. There should be some base document on the policy (not at ICANN) that state the current policy for registration, and sort out procedures for policy changes in the future.</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5FBDC265"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eafsnit"/>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Without prejudice as to what specific new institutional structure, or none, emerge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lastRenderedPageBreak/>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r w:rsidRPr="0061556B">
              <w:rPr>
                <w:rFonts w:asciiTheme="majorHAnsi" w:hAnsiTheme="majorHAnsi" w:cs="Helvetica"/>
                <w:sz w:val="22"/>
                <w:szCs w:val="22"/>
              </w:rPr>
              <w:t xml:space="preserve">one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one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77777777"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Christopher Wilkinson</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el-Gitter"/>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eafsnit"/>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w:t>
            </w:r>
            <w:r w:rsidRPr="00F9740A">
              <w:rPr>
                <w:rFonts w:ascii="Calibri" w:hAnsi="Calibri"/>
                <w:color w:val="000000"/>
                <w:sz w:val="22"/>
                <w:szCs w:val="22"/>
              </w:rPr>
              <w:lastRenderedPageBreak/>
              <w:t>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20C44830"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6F59F083" w14:textId="77777777" w:rsidR="00B42A24" w:rsidRDefault="00B42A24" w:rsidP="00353B19">
      <w:pPr>
        <w:widowControl w:val="0"/>
        <w:autoSpaceDE w:val="0"/>
        <w:autoSpaceDN w:val="0"/>
        <w:adjustRightInd w:val="0"/>
        <w:rPr>
          <w:rFonts w:ascii="Calibri" w:hAnsi="Calibri" w:cs="Calibri"/>
          <w:sz w:val="28"/>
          <w:szCs w:val="28"/>
        </w:rPr>
      </w:pPr>
    </w:p>
    <w:p w14:paraId="248B8CE1" w14:textId="77777777" w:rsidR="00353B19" w:rsidRPr="00353B19" w:rsidRDefault="00353B19">
      <w:pPr>
        <w:rPr>
          <w:rFonts w:asciiTheme="majorHAnsi" w:hAnsiTheme="majorHAnsi"/>
          <w:b/>
          <w:sz w:val="28"/>
          <w:szCs w:val="28"/>
        </w:rPr>
      </w:pPr>
      <w:bookmarkStart w:id="10" w:name="I"/>
      <w:bookmarkEnd w:id="10"/>
    </w:p>
    <w:tbl>
      <w:tblPr>
        <w:tblStyle w:val="Tabel-Gitter"/>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eafsnit"/>
              <w:widowControl w:val="0"/>
              <w:numPr>
                <w:ilvl w:val="0"/>
                <w:numId w:val="5"/>
              </w:numPr>
              <w:autoSpaceDE w:val="0"/>
              <w:autoSpaceDN w:val="0"/>
              <w:adjustRightInd w:val="0"/>
              <w:rPr>
                <w:rFonts w:ascii="Calibri" w:hAnsi="Calibri" w:cs="Calibri"/>
                <w:b/>
                <w:bCs/>
                <w:sz w:val="22"/>
                <w:szCs w:val="22"/>
              </w:rPr>
            </w:pPr>
            <w:bookmarkStart w:id="11" w:name="J"/>
            <w:bookmarkEnd w:id="11"/>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Under development</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bl>
    <w:p w14:paraId="18A860D8" w14:textId="77777777" w:rsidR="00353B19" w:rsidRDefault="00353B19"/>
    <w:p w14:paraId="0E97EE6D" w14:textId="77777777" w:rsidR="00353B19" w:rsidRDefault="00353B19">
      <w:bookmarkStart w:id="12" w:name="K"/>
      <w:bookmarkEnd w:id="12"/>
    </w:p>
    <w:sectPr w:rsidR="00353B19" w:rsidSect="00C029D1">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2A52" w14:textId="77777777" w:rsidR="00031105" w:rsidRDefault="00031105" w:rsidP="00A9113A">
      <w:r>
        <w:separator/>
      </w:r>
    </w:p>
  </w:endnote>
  <w:endnote w:type="continuationSeparator" w:id="0">
    <w:p w14:paraId="26592A00" w14:textId="77777777" w:rsidR="00031105" w:rsidRDefault="00031105"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13034A" w:rsidRDefault="0013034A" w:rsidP="00A6597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D235783" w14:textId="77777777" w:rsidR="0013034A" w:rsidRDefault="0013034A" w:rsidP="00A9113A">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13034A" w:rsidRDefault="0013034A" w:rsidP="00A6597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6322">
      <w:rPr>
        <w:rStyle w:val="Sidetal"/>
        <w:noProof/>
      </w:rPr>
      <w:t>1</w:t>
    </w:r>
    <w:r>
      <w:rPr>
        <w:rStyle w:val="Sidetal"/>
      </w:rPr>
      <w:fldChar w:fldCharType="end"/>
    </w:r>
  </w:p>
  <w:p w14:paraId="6484FB42" w14:textId="77777777" w:rsidR="0013034A" w:rsidRDefault="0013034A" w:rsidP="00A9113A">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BE85D" w14:textId="77777777" w:rsidR="00031105" w:rsidRDefault="00031105" w:rsidP="00A9113A">
      <w:r>
        <w:separator/>
      </w:r>
    </w:p>
  </w:footnote>
  <w:footnote w:type="continuationSeparator" w:id="0">
    <w:p w14:paraId="2996679D" w14:textId="77777777" w:rsidR="00031105" w:rsidRDefault="00031105" w:rsidP="00A91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31105"/>
    <w:rsid w:val="00096C5F"/>
    <w:rsid w:val="0013034A"/>
    <w:rsid w:val="00143430"/>
    <w:rsid w:val="00186186"/>
    <w:rsid w:val="001F392B"/>
    <w:rsid w:val="00246B67"/>
    <w:rsid w:val="00270077"/>
    <w:rsid w:val="00353B19"/>
    <w:rsid w:val="00556519"/>
    <w:rsid w:val="00614C48"/>
    <w:rsid w:val="0061556B"/>
    <w:rsid w:val="006D16BC"/>
    <w:rsid w:val="006E1674"/>
    <w:rsid w:val="00732143"/>
    <w:rsid w:val="00955BB6"/>
    <w:rsid w:val="00A65974"/>
    <w:rsid w:val="00A9113A"/>
    <w:rsid w:val="00AE48AD"/>
    <w:rsid w:val="00B42A24"/>
    <w:rsid w:val="00BB6322"/>
    <w:rsid w:val="00BC1886"/>
    <w:rsid w:val="00C029D1"/>
    <w:rsid w:val="00DD003F"/>
    <w:rsid w:val="00E104EC"/>
    <w:rsid w:val="00E949BE"/>
    <w:rsid w:val="00F5780B"/>
    <w:rsid w:val="00F9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9740A"/>
    <w:pPr>
      <w:ind w:left="720"/>
      <w:contextualSpacing/>
    </w:pPr>
  </w:style>
  <w:style w:type="paragraph" w:styleId="Sidefod">
    <w:name w:val="footer"/>
    <w:basedOn w:val="Normal"/>
    <w:link w:val="SidefodTegn"/>
    <w:uiPriority w:val="99"/>
    <w:unhideWhenUsed/>
    <w:rsid w:val="00A9113A"/>
    <w:pPr>
      <w:tabs>
        <w:tab w:val="center" w:pos="4320"/>
        <w:tab w:val="right" w:pos="8640"/>
      </w:tabs>
    </w:pPr>
  </w:style>
  <w:style w:type="character" w:customStyle="1" w:styleId="SidefodTegn">
    <w:name w:val="Sidefod Tegn"/>
    <w:basedOn w:val="Standardskrifttypeiafsnit"/>
    <w:link w:val="Sidefod"/>
    <w:uiPriority w:val="99"/>
    <w:rsid w:val="00A9113A"/>
  </w:style>
  <w:style w:type="character" w:styleId="Sidetal">
    <w:name w:val="page number"/>
    <w:basedOn w:val="Standardskrifttypeiafsnit"/>
    <w:uiPriority w:val="99"/>
    <w:semiHidden/>
    <w:unhideWhenUsed/>
    <w:rsid w:val="00A9113A"/>
  </w:style>
  <w:style w:type="character" w:styleId="Hyperlink">
    <w:name w:val="Hyperlink"/>
    <w:basedOn w:val="Standardskrifttypeiafsnit"/>
    <w:uiPriority w:val="99"/>
    <w:unhideWhenUsed/>
    <w:rsid w:val="00732143"/>
    <w:rPr>
      <w:color w:val="0000FF" w:themeColor="hyperlink"/>
      <w:u w:val="single"/>
    </w:rPr>
  </w:style>
  <w:style w:type="character" w:styleId="Kommentarhenvisning">
    <w:name w:val="annotation reference"/>
    <w:basedOn w:val="Standardskrifttypeiafsnit"/>
    <w:uiPriority w:val="99"/>
    <w:semiHidden/>
    <w:unhideWhenUsed/>
    <w:rsid w:val="00DD003F"/>
    <w:rPr>
      <w:sz w:val="16"/>
      <w:szCs w:val="16"/>
    </w:rPr>
  </w:style>
  <w:style w:type="paragraph" w:styleId="Kommentartekst">
    <w:name w:val="annotation text"/>
    <w:basedOn w:val="Normal"/>
    <w:link w:val="KommentartekstTegn"/>
    <w:uiPriority w:val="99"/>
    <w:semiHidden/>
    <w:unhideWhenUsed/>
    <w:rsid w:val="00DD003F"/>
    <w:rPr>
      <w:sz w:val="20"/>
      <w:szCs w:val="20"/>
    </w:rPr>
  </w:style>
  <w:style w:type="character" w:customStyle="1" w:styleId="KommentartekstTegn">
    <w:name w:val="Kommentartekst Tegn"/>
    <w:basedOn w:val="Standardskrifttypeiafsnit"/>
    <w:link w:val="Kommentartekst"/>
    <w:uiPriority w:val="99"/>
    <w:semiHidden/>
    <w:rsid w:val="00DD003F"/>
    <w:rPr>
      <w:sz w:val="20"/>
      <w:szCs w:val="20"/>
    </w:rPr>
  </w:style>
  <w:style w:type="paragraph" w:styleId="Kommentaremne">
    <w:name w:val="annotation subject"/>
    <w:basedOn w:val="Kommentartekst"/>
    <w:next w:val="Kommentartekst"/>
    <w:link w:val="KommentaremneTegn"/>
    <w:uiPriority w:val="99"/>
    <w:semiHidden/>
    <w:unhideWhenUsed/>
    <w:rsid w:val="00DD003F"/>
    <w:rPr>
      <w:b/>
      <w:bCs/>
    </w:rPr>
  </w:style>
  <w:style w:type="character" w:customStyle="1" w:styleId="KommentaremneTegn">
    <w:name w:val="Kommentaremne Tegn"/>
    <w:basedOn w:val="KommentartekstTegn"/>
    <w:link w:val="Kommentaremne"/>
    <w:uiPriority w:val="99"/>
    <w:semiHidden/>
    <w:rsid w:val="00DD003F"/>
    <w:rPr>
      <w:b/>
      <w:bCs/>
      <w:sz w:val="20"/>
      <w:szCs w:val="20"/>
    </w:rPr>
  </w:style>
  <w:style w:type="paragraph" w:styleId="Markeringsbobletekst">
    <w:name w:val="Balloon Text"/>
    <w:basedOn w:val="Normal"/>
    <w:link w:val="MarkeringsbobletekstTegn"/>
    <w:uiPriority w:val="99"/>
    <w:semiHidden/>
    <w:unhideWhenUsed/>
    <w:rsid w:val="00DD003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D0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9740A"/>
    <w:pPr>
      <w:ind w:left="720"/>
      <w:contextualSpacing/>
    </w:pPr>
  </w:style>
  <w:style w:type="paragraph" w:styleId="Sidefod">
    <w:name w:val="footer"/>
    <w:basedOn w:val="Normal"/>
    <w:link w:val="SidefodTegn"/>
    <w:uiPriority w:val="99"/>
    <w:unhideWhenUsed/>
    <w:rsid w:val="00A9113A"/>
    <w:pPr>
      <w:tabs>
        <w:tab w:val="center" w:pos="4320"/>
        <w:tab w:val="right" w:pos="8640"/>
      </w:tabs>
    </w:pPr>
  </w:style>
  <w:style w:type="character" w:customStyle="1" w:styleId="SidefodTegn">
    <w:name w:val="Sidefod Tegn"/>
    <w:basedOn w:val="Standardskrifttypeiafsnit"/>
    <w:link w:val="Sidefod"/>
    <w:uiPriority w:val="99"/>
    <w:rsid w:val="00A9113A"/>
  </w:style>
  <w:style w:type="character" w:styleId="Sidetal">
    <w:name w:val="page number"/>
    <w:basedOn w:val="Standardskrifttypeiafsnit"/>
    <w:uiPriority w:val="99"/>
    <w:semiHidden/>
    <w:unhideWhenUsed/>
    <w:rsid w:val="00A9113A"/>
  </w:style>
  <w:style w:type="character" w:styleId="Hyperlink">
    <w:name w:val="Hyperlink"/>
    <w:basedOn w:val="Standardskrifttypeiafsnit"/>
    <w:uiPriority w:val="99"/>
    <w:unhideWhenUsed/>
    <w:rsid w:val="00732143"/>
    <w:rPr>
      <w:color w:val="0000FF" w:themeColor="hyperlink"/>
      <w:u w:val="single"/>
    </w:rPr>
  </w:style>
  <w:style w:type="character" w:styleId="Kommentarhenvisning">
    <w:name w:val="annotation reference"/>
    <w:basedOn w:val="Standardskrifttypeiafsnit"/>
    <w:uiPriority w:val="99"/>
    <w:semiHidden/>
    <w:unhideWhenUsed/>
    <w:rsid w:val="00DD003F"/>
    <w:rPr>
      <w:sz w:val="16"/>
      <w:szCs w:val="16"/>
    </w:rPr>
  </w:style>
  <w:style w:type="paragraph" w:styleId="Kommentartekst">
    <w:name w:val="annotation text"/>
    <w:basedOn w:val="Normal"/>
    <w:link w:val="KommentartekstTegn"/>
    <w:uiPriority w:val="99"/>
    <w:semiHidden/>
    <w:unhideWhenUsed/>
    <w:rsid w:val="00DD003F"/>
    <w:rPr>
      <w:sz w:val="20"/>
      <w:szCs w:val="20"/>
    </w:rPr>
  </w:style>
  <w:style w:type="character" w:customStyle="1" w:styleId="KommentartekstTegn">
    <w:name w:val="Kommentartekst Tegn"/>
    <w:basedOn w:val="Standardskrifttypeiafsnit"/>
    <w:link w:val="Kommentartekst"/>
    <w:uiPriority w:val="99"/>
    <w:semiHidden/>
    <w:rsid w:val="00DD003F"/>
    <w:rPr>
      <w:sz w:val="20"/>
      <w:szCs w:val="20"/>
    </w:rPr>
  </w:style>
  <w:style w:type="paragraph" w:styleId="Kommentaremne">
    <w:name w:val="annotation subject"/>
    <w:basedOn w:val="Kommentartekst"/>
    <w:next w:val="Kommentartekst"/>
    <w:link w:val="KommentaremneTegn"/>
    <w:uiPriority w:val="99"/>
    <w:semiHidden/>
    <w:unhideWhenUsed/>
    <w:rsid w:val="00DD003F"/>
    <w:rPr>
      <w:b/>
      <w:bCs/>
    </w:rPr>
  </w:style>
  <w:style w:type="character" w:customStyle="1" w:styleId="KommentaremneTegn">
    <w:name w:val="Kommentaremne Tegn"/>
    <w:basedOn w:val="KommentartekstTegn"/>
    <w:link w:val="Kommentaremne"/>
    <w:uiPriority w:val="99"/>
    <w:semiHidden/>
    <w:rsid w:val="00DD003F"/>
    <w:rPr>
      <w:b/>
      <w:bCs/>
      <w:sz w:val="20"/>
      <w:szCs w:val="20"/>
    </w:rPr>
  </w:style>
  <w:style w:type="paragraph" w:styleId="Markeringsbobletekst">
    <w:name w:val="Balloon Text"/>
    <w:basedOn w:val="Normal"/>
    <w:link w:val="MarkeringsbobletekstTegn"/>
    <w:uiPriority w:val="99"/>
    <w:semiHidden/>
    <w:unhideWhenUsed/>
    <w:rsid w:val="00DD003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D0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a.org/performance/metrics/20130915" TargetMode="External"/><Relationship Id="rId13" Type="http://schemas.openxmlformats.org/officeDocument/2006/relationships/hyperlink" Target="http://iana.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an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icann.org/display/gnsocwgdtstwrdshp/Letter+from+CCWG-Accountability+--+30+Janua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pages/viewpage.action?pageId=52232278" TargetMode="External"/><Relationship Id="rId4" Type="http://schemas.openxmlformats.org/officeDocument/2006/relationships/settings" Target="settings.xml"/><Relationship Id="rId9" Type="http://schemas.openxmlformats.org/officeDocument/2006/relationships/hyperlink" Target="https://community.icann.org/pages/viewpage.action?pageId=52232278" TargetMode="External"/><Relationship Id="rId14" Type="http://schemas.openxmlformats.org/officeDocument/2006/relationships/hyperlink" Target="http://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2437</Words>
  <Characters>13896</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Lise Katrine Fuhr</cp:lastModifiedBy>
  <cp:revision>5</cp:revision>
  <dcterms:created xsi:type="dcterms:W3CDTF">2015-03-01T17:33:00Z</dcterms:created>
  <dcterms:modified xsi:type="dcterms:W3CDTF">2015-03-01T20:09:00Z</dcterms:modified>
</cp:coreProperties>
</file>