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28" w:type="dxa"/>
        <w:tblLayout w:type="fixed"/>
        <w:tblLook w:val="04A0" w:firstRow="1" w:lastRow="0" w:firstColumn="1" w:lastColumn="0" w:noHBand="0" w:noVBand="1"/>
      </w:tblPr>
      <w:tblGrid>
        <w:gridCol w:w="6408"/>
        <w:gridCol w:w="1710"/>
        <w:gridCol w:w="6210"/>
      </w:tblGrid>
      <w:tr w:rsidR="0009311F" w:rsidRPr="000D5ACE" w14:paraId="5141C332" w14:textId="77777777" w:rsidTr="0009311F">
        <w:tc>
          <w:tcPr>
            <w:tcW w:w="6408" w:type="dxa"/>
            <w:shd w:val="clear" w:color="auto" w:fill="000000" w:themeFill="text1"/>
          </w:tcPr>
          <w:p w14:paraId="62F930E1" w14:textId="6B588B6E" w:rsidR="00B975C5" w:rsidRPr="000D5ACE" w:rsidRDefault="00B975C5" w:rsidP="00424D81">
            <w:pPr>
              <w:rPr>
                <w:rFonts w:ascii="Arial" w:hAnsi="Arial"/>
                <w:b/>
                <w:color w:val="FFFFFF" w:themeColor="background1"/>
              </w:rPr>
            </w:pPr>
            <w:r>
              <w:rPr>
                <w:rFonts w:ascii="Arial" w:hAnsi="Arial"/>
                <w:b/>
                <w:color w:val="FFFFFF" w:themeColor="background1"/>
              </w:rPr>
              <w:t>Question or Clarification Requested</w:t>
            </w:r>
          </w:p>
        </w:tc>
        <w:tc>
          <w:tcPr>
            <w:tcW w:w="1710" w:type="dxa"/>
            <w:shd w:val="clear" w:color="auto" w:fill="000000" w:themeFill="text1"/>
          </w:tcPr>
          <w:p w14:paraId="0CD524F2" w14:textId="2E41AF71" w:rsidR="00B975C5" w:rsidRPr="000D5ACE" w:rsidRDefault="00B975C5" w:rsidP="00424D81">
            <w:pPr>
              <w:rPr>
                <w:rFonts w:ascii="Arial" w:hAnsi="Arial"/>
                <w:b/>
                <w:color w:val="FFFFFF" w:themeColor="background1"/>
              </w:rPr>
            </w:pPr>
            <w:r>
              <w:rPr>
                <w:rFonts w:ascii="Arial" w:hAnsi="Arial"/>
                <w:b/>
                <w:color w:val="FFFFFF" w:themeColor="background1"/>
              </w:rPr>
              <w:t>Reference in the Bylaws</w:t>
            </w:r>
          </w:p>
        </w:tc>
        <w:tc>
          <w:tcPr>
            <w:tcW w:w="6210" w:type="dxa"/>
            <w:shd w:val="clear" w:color="auto" w:fill="000000" w:themeFill="text1"/>
          </w:tcPr>
          <w:p w14:paraId="0E7C4A79" w14:textId="3ACC8579" w:rsidR="00B975C5" w:rsidRPr="000D5ACE" w:rsidRDefault="00B975C5" w:rsidP="00424D81">
            <w:pPr>
              <w:rPr>
                <w:rFonts w:ascii="Arial" w:hAnsi="Arial"/>
                <w:b/>
                <w:color w:val="FFFFFF" w:themeColor="background1"/>
              </w:rPr>
            </w:pPr>
            <w:r>
              <w:rPr>
                <w:rFonts w:ascii="Arial" w:hAnsi="Arial"/>
                <w:b/>
                <w:color w:val="FFFFFF" w:themeColor="background1"/>
              </w:rPr>
              <w:t>R</w:t>
            </w:r>
            <w:r w:rsidRPr="000D5ACE">
              <w:rPr>
                <w:rFonts w:ascii="Arial" w:hAnsi="Arial"/>
                <w:b/>
                <w:color w:val="FFFFFF" w:themeColor="background1"/>
              </w:rPr>
              <w:t>esponse</w:t>
            </w:r>
            <w:r>
              <w:rPr>
                <w:rFonts w:ascii="Arial" w:hAnsi="Arial"/>
                <w:b/>
                <w:color w:val="FFFFFF" w:themeColor="background1"/>
              </w:rPr>
              <w:t xml:space="preserve"> </w:t>
            </w:r>
          </w:p>
        </w:tc>
      </w:tr>
      <w:tr w:rsidR="00B975C5" w:rsidRPr="00C9571E" w14:paraId="6960670A" w14:textId="77777777" w:rsidTr="00B975C5">
        <w:tc>
          <w:tcPr>
            <w:tcW w:w="14328" w:type="dxa"/>
            <w:gridSpan w:val="3"/>
            <w:shd w:val="clear" w:color="auto" w:fill="FDE9D9" w:themeFill="accent6" w:themeFillTint="33"/>
          </w:tcPr>
          <w:p w14:paraId="3EEB7125" w14:textId="1E35B668" w:rsidR="00B975C5" w:rsidRPr="00B975C5" w:rsidRDefault="00B975C5" w:rsidP="00804F42">
            <w:pPr>
              <w:rPr>
                <w:rFonts w:ascii="Arial" w:hAnsi="Arial"/>
                <w:b/>
                <w:sz w:val="28"/>
                <w:szCs w:val="28"/>
              </w:rPr>
            </w:pPr>
            <w:r w:rsidRPr="00B975C5">
              <w:rPr>
                <w:rFonts w:ascii="Arial" w:hAnsi="Arial"/>
                <w:b/>
                <w:sz w:val="28"/>
                <w:szCs w:val="28"/>
              </w:rPr>
              <w:t>CSC</w:t>
            </w:r>
            <w:r w:rsidR="007F4954">
              <w:rPr>
                <w:rFonts w:ascii="Arial" w:hAnsi="Arial"/>
                <w:b/>
                <w:sz w:val="28"/>
                <w:szCs w:val="28"/>
              </w:rPr>
              <w:t xml:space="preserve"> – </w:t>
            </w:r>
            <w:r w:rsidR="007F4954">
              <w:rPr>
                <w:rFonts w:ascii="Arial" w:hAnsi="Arial"/>
              </w:rPr>
              <w:t xml:space="preserve">Article 17, starting on page 84 </w:t>
            </w:r>
          </w:p>
        </w:tc>
      </w:tr>
      <w:tr w:rsidR="0009311F" w:rsidRPr="00C9571E" w14:paraId="64B30AEA" w14:textId="77777777" w:rsidTr="0009311F">
        <w:tc>
          <w:tcPr>
            <w:tcW w:w="6408" w:type="dxa"/>
          </w:tcPr>
          <w:p w14:paraId="5B1171FC" w14:textId="6CF22EBF" w:rsidR="00B975C5" w:rsidRPr="00C9571E" w:rsidRDefault="00B975C5" w:rsidP="00C9571E">
            <w:pPr>
              <w:rPr>
                <w:rFonts w:ascii="Arial" w:hAnsi="Arial"/>
              </w:rPr>
            </w:pPr>
            <w:r>
              <w:rPr>
                <w:rFonts w:ascii="Arial" w:hAnsi="Arial"/>
              </w:rPr>
              <w:t xml:space="preserve">8. </w:t>
            </w:r>
            <w:r w:rsidR="005E60FF" w:rsidRPr="005E60FF">
              <w:rPr>
                <w:rFonts w:ascii="Arial" w:hAnsi="Arial"/>
              </w:rPr>
              <w:t>Clarify whether “direct customers” and “primary customers” are the same thing or what the differences are, in the context of the CSC’s mission: “The mission of the CSC is to ensure continued satisfactory performance of the IANA naming function for the direct customers of the naming services. The primary customers of the naming services are top-level domain registry operators, but also include root server operators and other non-root zone functions.” [</w:t>
            </w:r>
            <w:r w:rsidR="005E60FF" w:rsidRPr="005E60FF">
              <w:rPr>
                <w:rFonts w:ascii="Arial" w:hAnsi="Arial"/>
                <w:i/>
              </w:rPr>
              <w:t>See Paragraphs 130 and 310 of the CWG Proposal</w:t>
            </w:r>
            <w:r w:rsidR="005E60FF" w:rsidRPr="005E60FF">
              <w:rPr>
                <w:rFonts w:ascii="Arial" w:hAnsi="Arial"/>
              </w:rPr>
              <w:t>.]</w:t>
            </w:r>
          </w:p>
        </w:tc>
        <w:tc>
          <w:tcPr>
            <w:tcW w:w="1710" w:type="dxa"/>
          </w:tcPr>
          <w:p w14:paraId="377E3A70" w14:textId="77777777" w:rsidR="00B975C5" w:rsidRDefault="004F18C3">
            <w:pPr>
              <w:rPr>
                <w:rFonts w:ascii="Arial" w:hAnsi="Arial"/>
              </w:rPr>
            </w:pPr>
            <w:r>
              <w:rPr>
                <w:rFonts w:ascii="Arial" w:hAnsi="Arial"/>
              </w:rPr>
              <w:t>Article 17.1</w:t>
            </w:r>
          </w:p>
          <w:p w14:paraId="63B91265" w14:textId="77777777" w:rsidR="004F18C3" w:rsidRDefault="004F18C3">
            <w:pPr>
              <w:rPr>
                <w:rFonts w:ascii="Arial" w:hAnsi="Arial"/>
              </w:rPr>
            </w:pPr>
            <w:r>
              <w:rPr>
                <w:rFonts w:ascii="Arial" w:hAnsi="Arial"/>
              </w:rPr>
              <w:t>Page 84</w:t>
            </w:r>
          </w:p>
          <w:p w14:paraId="474ECA61" w14:textId="0DA36A8F" w:rsidR="004F18C3" w:rsidRPr="00C9571E" w:rsidRDefault="004F18C3">
            <w:pPr>
              <w:rPr>
                <w:rFonts w:ascii="Arial" w:hAnsi="Arial"/>
              </w:rPr>
            </w:pPr>
          </w:p>
        </w:tc>
        <w:tc>
          <w:tcPr>
            <w:tcW w:w="6210" w:type="dxa"/>
          </w:tcPr>
          <w:p w14:paraId="26221448" w14:textId="35761D65" w:rsidR="00B975C5" w:rsidRDefault="00635BD2" w:rsidP="00804F42">
            <w:pPr>
              <w:rPr>
                <w:rFonts w:ascii="Arial" w:hAnsi="Arial"/>
              </w:rPr>
            </w:pPr>
            <w:r>
              <w:rPr>
                <w:rFonts w:ascii="Arial" w:hAnsi="Arial"/>
              </w:rPr>
              <w:t xml:space="preserve">Yes they are the same thing, I’m surprised this is the first time this has been picked up given how many times we’ve reviewed the Charter </w:t>
            </w:r>
            <w:r w:rsidRPr="00635BD2">
              <w:rPr>
                <w:rFonts w:ascii="Arial" w:hAnsi="Arial"/>
              </w:rPr>
              <w:sym w:font="Wingdings" w:char="F04A"/>
            </w:r>
          </w:p>
          <w:p w14:paraId="0470DE09" w14:textId="77777777" w:rsidR="00635BD2" w:rsidRDefault="00635BD2" w:rsidP="00804F42">
            <w:pPr>
              <w:rPr>
                <w:rFonts w:ascii="Arial" w:hAnsi="Arial"/>
              </w:rPr>
            </w:pPr>
          </w:p>
          <w:p w14:paraId="00F901C5" w14:textId="77777777" w:rsidR="00635BD2" w:rsidRDefault="00635BD2" w:rsidP="00635BD2">
            <w:pPr>
              <w:rPr>
                <w:rFonts w:ascii="Arial" w:hAnsi="Arial"/>
              </w:rPr>
            </w:pPr>
            <w:r>
              <w:rPr>
                <w:rFonts w:ascii="Arial" w:hAnsi="Arial"/>
              </w:rPr>
              <w:t>The NTIA announcement of 14 March, refers to directly affected parties, which included top level domain name operators.</w:t>
            </w:r>
          </w:p>
          <w:p w14:paraId="13AFF17A" w14:textId="77777777" w:rsidR="00635BD2" w:rsidRDefault="00635BD2" w:rsidP="00635BD2">
            <w:pPr>
              <w:rPr>
                <w:rFonts w:ascii="Arial" w:hAnsi="Arial"/>
              </w:rPr>
            </w:pPr>
          </w:p>
          <w:p w14:paraId="21F8499A" w14:textId="77777777" w:rsidR="00635BD2" w:rsidRDefault="00635BD2" w:rsidP="00635BD2">
            <w:pPr>
              <w:rPr>
                <w:rFonts w:ascii="Arial" w:hAnsi="Arial"/>
              </w:rPr>
            </w:pPr>
            <w:r>
              <w:rPr>
                <w:rFonts w:ascii="Arial" w:hAnsi="Arial"/>
              </w:rPr>
              <w:t xml:space="preserve">No strong preference, but probably lean towards using ‘direct customers’. </w:t>
            </w:r>
          </w:p>
          <w:p w14:paraId="34B6D26A" w14:textId="06E30210" w:rsidR="0009311F" w:rsidRDefault="0009311F" w:rsidP="00635BD2">
            <w:pPr>
              <w:rPr>
                <w:rFonts w:ascii="Arial" w:hAnsi="Arial"/>
              </w:rPr>
            </w:pPr>
          </w:p>
        </w:tc>
      </w:tr>
      <w:tr w:rsidR="0009311F" w:rsidRPr="00C9571E" w14:paraId="41FD9DDE" w14:textId="77777777" w:rsidTr="0009311F">
        <w:tc>
          <w:tcPr>
            <w:tcW w:w="6408" w:type="dxa"/>
          </w:tcPr>
          <w:p w14:paraId="58BFB56A" w14:textId="6BC585EE" w:rsidR="005E60FF" w:rsidRPr="005E60FF" w:rsidRDefault="00B975C5" w:rsidP="005E60FF">
            <w:pPr>
              <w:rPr>
                <w:rFonts w:ascii="Arial" w:hAnsi="Arial"/>
              </w:rPr>
            </w:pPr>
            <w:r>
              <w:rPr>
                <w:rFonts w:ascii="Arial" w:hAnsi="Arial"/>
              </w:rPr>
              <w:t xml:space="preserve">9. </w:t>
            </w:r>
            <w:r w:rsidR="005E60FF" w:rsidRPr="005E60FF">
              <w:rPr>
                <w:rFonts w:ascii="Arial" w:hAnsi="Arial"/>
              </w:rPr>
              <w:t xml:space="preserve">Confirm that the appointment of a liaison to the CSC by the GNSO is intended to come from the Registrars Stakeholder Group or the Non-Contracted Parties House. </w:t>
            </w:r>
          </w:p>
          <w:p w14:paraId="43B6AE1D" w14:textId="52327FF6" w:rsidR="005E60FF" w:rsidRPr="00C9571E" w:rsidRDefault="005E60FF" w:rsidP="005E60FF">
            <w:pPr>
              <w:rPr>
                <w:rFonts w:ascii="Arial" w:hAnsi="Arial"/>
              </w:rPr>
            </w:pPr>
          </w:p>
        </w:tc>
        <w:tc>
          <w:tcPr>
            <w:tcW w:w="1710" w:type="dxa"/>
          </w:tcPr>
          <w:p w14:paraId="23BA6651" w14:textId="76DB2682" w:rsidR="004F18C3" w:rsidRDefault="004F18C3" w:rsidP="004F18C3">
            <w:pPr>
              <w:rPr>
                <w:rFonts w:ascii="Arial" w:hAnsi="Arial"/>
              </w:rPr>
            </w:pPr>
            <w:r>
              <w:rPr>
                <w:rFonts w:ascii="Arial" w:hAnsi="Arial"/>
              </w:rPr>
              <w:t>Article 17.2, Section a</w:t>
            </w:r>
          </w:p>
          <w:p w14:paraId="40F3FED4" w14:textId="3BD5EF6A" w:rsidR="004F18C3" w:rsidRDefault="004F18C3" w:rsidP="004F18C3">
            <w:pPr>
              <w:rPr>
                <w:rFonts w:ascii="Arial" w:hAnsi="Arial"/>
              </w:rPr>
            </w:pPr>
            <w:r>
              <w:rPr>
                <w:rFonts w:ascii="Arial" w:hAnsi="Arial"/>
              </w:rPr>
              <w:t>Page 85</w:t>
            </w:r>
          </w:p>
          <w:p w14:paraId="52427915" w14:textId="77777777" w:rsidR="00B975C5" w:rsidRPr="00C9571E" w:rsidRDefault="00B975C5">
            <w:pPr>
              <w:rPr>
                <w:rFonts w:ascii="Arial" w:hAnsi="Arial"/>
              </w:rPr>
            </w:pPr>
          </w:p>
        </w:tc>
        <w:tc>
          <w:tcPr>
            <w:tcW w:w="6210" w:type="dxa"/>
          </w:tcPr>
          <w:p w14:paraId="06CADD73" w14:textId="425B9697" w:rsidR="00B975C5" w:rsidRDefault="00635BD2" w:rsidP="00804F42">
            <w:pPr>
              <w:rPr>
                <w:rFonts w:ascii="Arial" w:hAnsi="Arial"/>
              </w:rPr>
            </w:pPr>
            <w:r>
              <w:rPr>
                <w:rFonts w:ascii="Arial" w:hAnsi="Arial"/>
              </w:rPr>
              <w:t xml:space="preserve">No. The only restriction is that it not </w:t>
            </w:r>
            <w:r w:rsidR="00A44081">
              <w:rPr>
                <w:rFonts w:ascii="Arial" w:hAnsi="Arial"/>
              </w:rPr>
              <w:t xml:space="preserve">be </w:t>
            </w:r>
            <w:r>
              <w:rPr>
                <w:rFonts w:ascii="Arial" w:hAnsi="Arial"/>
              </w:rPr>
              <w:t>from a registry.</w:t>
            </w:r>
          </w:p>
          <w:p w14:paraId="6567D5B2" w14:textId="77777777" w:rsidR="00635BD2" w:rsidRDefault="00635BD2" w:rsidP="00804F42">
            <w:pPr>
              <w:rPr>
                <w:rFonts w:ascii="Arial" w:hAnsi="Arial"/>
              </w:rPr>
            </w:pPr>
          </w:p>
          <w:p w14:paraId="4D2C684B" w14:textId="77777777" w:rsidR="00635BD2" w:rsidRDefault="00635BD2" w:rsidP="00804F42">
            <w:pPr>
              <w:rPr>
                <w:rFonts w:ascii="Arial" w:hAnsi="Arial"/>
              </w:rPr>
            </w:pPr>
            <w:r>
              <w:rPr>
                <w:rFonts w:ascii="Arial" w:hAnsi="Arial"/>
              </w:rPr>
              <w:t xml:space="preserve">There were discussions about providing the opportunity for registrar participation on the CSC and this is one avenue, but there is no restriction. If there is interest from </w:t>
            </w:r>
            <w:r w:rsidR="00F06BBA">
              <w:rPr>
                <w:rFonts w:ascii="Arial" w:hAnsi="Arial"/>
              </w:rPr>
              <w:t xml:space="preserve">someone on </w:t>
            </w:r>
            <w:r>
              <w:rPr>
                <w:rFonts w:ascii="Arial" w:hAnsi="Arial"/>
              </w:rPr>
              <w:t xml:space="preserve">the Non-Contracted Parties side of the house they would be considered. </w:t>
            </w:r>
            <w:r w:rsidR="00A44081">
              <w:rPr>
                <w:rFonts w:ascii="Arial" w:hAnsi="Arial"/>
              </w:rPr>
              <w:t>It would be for the GNSO to decide.</w:t>
            </w:r>
          </w:p>
          <w:p w14:paraId="5B2BFFB5" w14:textId="1A316A8D" w:rsidR="0009311F" w:rsidRDefault="0009311F" w:rsidP="00804F42">
            <w:pPr>
              <w:rPr>
                <w:rFonts w:ascii="Arial" w:hAnsi="Arial"/>
              </w:rPr>
            </w:pPr>
          </w:p>
        </w:tc>
      </w:tr>
      <w:tr w:rsidR="0009311F" w:rsidRPr="00C9571E" w14:paraId="1A109C12" w14:textId="77777777" w:rsidTr="0009311F">
        <w:trPr>
          <w:trHeight w:val="305"/>
        </w:trPr>
        <w:tc>
          <w:tcPr>
            <w:tcW w:w="6408" w:type="dxa"/>
          </w:tcPr>
          <w:p w14:paraId="5C3F0FFB" w14:textId="2F9E4272" w:rsidR="005E60FF" w:rsidRPr="005E60FF" w:rsidRDefault="00B975C5" w:rsidP="005E60FF">
            <w:pPr>
              <w:rPr>
                <w:rFonts w:ascii="Arial" w:hAnsi="Arial"/>
              </w:rPr>
            </w:pPr>
            <w:r>
              <w:rPr>
                <w:rFonts w:ascii="Arial" w:hAnsi="Arial"/>
              </w:rPr>
              <w:t xml:space="preserve">10. </w:t>
            </w:r>
            <w:r w:rsidR="005E60FF" w:rsidRPr="005E60FF">
              <w:rPr>
                <w:rFonts w:ascii="Arial" w:hAnsi="Arial"/>
              </w:rPr>
              <w:t xml:space="preserve">Confirm that we can add a Bylaw that requires appointing organizations to use reasonable efforts to fill vacancies on the CSC within a month and, if so, whether the ccNSO and GNSO (which are required to approve each annual slate of CSC members) are required to approve the filling of vacancies. </w:t>
            </w:r>
          </w:p>
          <w:p w14:paraId="399E22B1" w14:textId="7663CFDD" w:rsidR="00B975C5" w:rsidRPr="00C9571E" w:rsidRDefault="00B975C5" w:rsidP="005E60FF">
            <w:pPr>
              <w:rPr>
                <w:rFonts w:ascii="Arial" w:hAnsi="Arial"/>
              </w:rPr>
            </w:pPr>
          </w:p>
        </w:tc>
        <w:tc>
          <w:tcPr>
            <w:tcW w:w="1710" w:type="dxa"/>
          </w:tcPr>
          <w:p w14:paraId="1FBF5A62" w14:textId="506130B4" w:rsidR="004F18C3" w:rsidRDefault="004F18C3" w:rsidP="004F18C3">
            <w:pPr>
              <w:rPr>
                <w:rFonts w:ascii="Arial" w:hAnsi="Arial"/>
              </w:rPr>
            </w:pPr>
            <w:r>
              <w:rPr>
                <w:rFonts w:ascii="Arial" w:hAnsi="Arial"/>
              </w:rPr>
              <w:t>Article 17.2, Section h</w:t>
            </w:r>
          </w:p>
          <w:p w14:paraId="0AFB1887" w14:textId="421AE48C" w:rsidR="004F18C3" w:rsidRDefault="004F18C3" w:rsidP="004F18C3">
            <w:pPr>
              <w:rPr>
                <w:rFonts w:ascii="Arial" w:hAnsi="Arial"/>
              </w:rPr>
            </w:pPr>
            <w:r>
              <w:rPr>
                <w:rFonts w:ascii="Arial" w:hAnsi="Arial"/>
              </w:rPr>
              <w:t>Page 86</w:t>
            </w:r>
          </w:p>
          <w:p w14:paraId="02A5C05D" w14:textId="77777777" w:rsidR="00B975C5" w:rsidRPr="00C9571E" w:rsidRDefault="00B975C5">
            <w:pPr>
              <w:rPr>
                <w:rFonts w:ascii="Arial" w:hAnsi="Arial"/>
              </w:rPr>
            </w:pPr>
          </w:p>
        </w:tc>
        <w:tc>
          <w:tcPr>
            <w:tcW w:w="6210" w:type="dxa"/>
          </w:tcPr>
          <w:p w14:paraId="23CBD962" w14:textId="4CBA17D7" w:rsidR="00B975C5" w:rsidRDefault="00DE4622" w:rsidP="00804F42">
            <w:pPr>
              <w:rPr>
                <w:rFonts w:ascii="Arial" w:hAnsi="Arial"/>
              </w:rPr>
            </w:pPr>
            <w:r>
              <w:rPr>
                <w:rFonts w:ascii="Arial" w:hAnsi="Arial"/>
              </w:rPr>
              <w:t>A</w:t>
            </w:r>
            <w:r w:rsidR="00F06BBA">
              <w:rPr>
                <w:rFonts w:ascii="Arial" w:hAnsi="Arial"/>
              </w:rPr>
              <w:t>gree to include the use of reasonable efforts to fill vacancy.</w:t>
            </w:r>
          </w:p>
          <w:p w14:paraId="0B7AA072" w14:textId="77777777" w:rsidR="00F06BBA" w:rsidRDefault="00F06BBA" w:rsidP="00804F42">
            <w:pPr>
              <w:rPr>
                <w:rFonts w:ascii="Arial" w:hAnsi="Arial"/>
              </w:rPr>
            </w:pPr>
          </w:p>
          <w:p w14:paraId="3BA9ECCC" w14:textId="77777777" w:rsidR="00F06BBA" w:rsidRDefault="00F06BBA" w:rsidP="00F06BBA">
            <w:pPr>
              <w:rPr>
                <w:rFonts w:ascii="Arial" w:hAnsi="Arial"/>
              </w:rPr>
            </w:pPr>
            <w:r>
              <w:rPr>
                <w:rFonts w:ascii="Arial" w:hAnsi="Arial"/>
              </w:rPr>
              <w:t xml:space="preserve">Rather than making it a requirement for the ccNSO and GNSO to approve a one off vacancy replacement, it may make sense to include that the appointing organization also give due consideration to the overall composition of the CSC and make best efforts to fill any vacancy with a person with a similar skillset and </w:t>
            </w:r>
            <w:r>
              <w:rPr>
                <w:rFonts w:ascii="Arial" w:hAnsi="Arial"/>
              </w:rPr>
              <w:lastRenderedPageBreak/>
              <w:t>diversity.</w:t>
            </w:r>
          </w:p>
          <w:p w14:paraId="2BD15E04" w14:textId="24855A8E" w:rsidR="0009311F" w:rsidRDefault="0009311F" w:rsidP="00F06BBA">
            <w:pPr>
              <w:rPr>
                <w:rFonts w:ascii="Arial" w:hAnsi="Arial"/>
              </w:rPr>
            </w:pPr>
          </w:p>
        </w:tc>
      </w:tr>
      <w:tr w:rsidR="0009311F" w:rsidRPr="00C9571E" w14:paraId="5631F0D4" w14:textId="77777777" w:rsidTr="0009311F">
        <w:tc>
          <w:tcPr>
            <w:tcW w:w="6408" w:type="dxa"/>
          </w:tcPr>
          <w:p w14:paraId="7CC223B3" w14:textId="5E5F5CDE" w:rsidR="005E60FF" w:rsidRPr="005E60FF" w:rsidRDefault="00B975C5" w:rsidP="005E60FF">
            <w:pPr>
              <w:rPr>
                <w:rFonts w:ascii="Arial" w:hAnsi="Arial"/>
              </w:rPr>
            </w:pPr>
            <w:r>
              <w:rPr>
                <w:rFonts w:ascii="Arial" w:hAnsi="Arial"/>
              </w:rPr>
              <w:lastRenderedPageBreak/>
              <w:t xml:space="preserve">11. </w:t>
            </w:r>
            <w:r w:rsidR="005E60FF" w:rsidRPr="005E60FF">
              <w:rPr>
                <w:rFonts w:ascii="Arial" w:hAnsi="Arial"/>
              </w:rPr>
              <w:t>Clarify which organization selects the representatives from the ccNSO and the Registries Stakeholder Group who will review the CSC Charter – is it the ccNSO and the Registries Stakeholder Group?  [</w:t>
            </w:r>
            <w:r w:rsidR="005E60FF" w:rsidRPr="005E60FF">
              <w:rPr>
                <w:rFonts w:ascii="Arial" w:hAnsi="Arial"/>
                <w:i/>
              </w:rPr>
              <w:t>Paragraph 357 of the CWG Proposal provides that the “Charter will initially be reviewed by a committee of representatives from the ccNSO and the RySG one year after the first meeting of the CSC.”</w:t>
            </w:r>
            <w:r w:rsidR="005E60FF" w:rsidRPr="005E60FF">
              <w:rPr>
                <w:rFonts w:ascii="Arial" w:hAnsi="Arial"/>
              </w:rPr>
              <w:t xml:space="preserve">] </w:t>
            </w:r>
          </w:p>
          <w:p w14:paraId="0A401624" w14:textId="6E2A46C5" w:rsidR="00B975C5" w:rsidRPr="00C9571E" w:rsidRDefault="00B975C5" w:rsidP="00C9571E">
            <w:pPr>
              <w:rPr>
                <w:rFonts w:ascii="Arial" w:hAnsi="Arial"/>
              </w:rPr>
            </w:pPr>
          </w:p>
        </w:tc>
        <w:tc>
          <w:tcPr>
            <w:tcW w:w="1710" w:type="dxa"/>
          </w:tcPr>
          <w:p w14:paraId="579E0E03" w14:textId="77777777" w:rsidR="00B975C5" w:rsidRPr="00C9571E" w:rsidRDefault="00B975C5">
            <w:pPr>
              <w:rPr>
                <w:rFonts w:ascii="Arial" w:hAnsi="Arial"/>
              </w:rPr>
            </w:pPr>
          </w:p>
        </w:tc>
        <w:tc>
          <w:tcPr>
            <w:tcW w:w="6210" w:type="dxa"/>
          </w:tcPr>
          <w:p w14:paraId="5D0557A9" w14:textId="77777777" w:rsidR="00A44081" w:rsidRDefault="00A44081" w:rsidP="00804F42">
            <w:pPr>
              <w:rPr>
                <w:rFonts w:ascii="Arial" w:hAnsi="Arial"/>
              </w:rPr>
            </w:pPr>
            <w:r>
              <w:rPr>
                <w:rFonts w:ascii="Arial" w:hAnsi="Arial"/>
              </w:rPr>
              <w:t xml:space="preserve">Yes, the ccNSO and the RySG would select representatives from their own groups to form a committee to review the CSC Charter. </w:t>
            </w:r>
          </w:p>
          <w:p w14:paraId="05E93028" w14:textId="77777777" w:rsidR="00A44081" w:rsidRDefault="00A44081" w:rsidP="00804F42">
            <w:pPr>
              <w:rPr>
                <w:rFonts w:ascii="Arial" w:hAnsi="Arial"/>
              </w:rPr>
            </w:pPr>
          </w:p>
          <w:p w14:paraId="658C6600" w14:textId="293AA740" w:rsidR="00B975C5" w:rsidRDefault="00A44081" w:rsidP="00A44081">
            <w:pPr>
              <w:rPr>
                <w:rFonts w:ascii="Arial" w:hAnsi="Arial"/>
              </w:rPr>
            </w:pPr>
            <w:r>
              <w:rPr>
                <w:rFonts w:ascii="Arial" w:hAnsi="Arial"/>
              </w:rPr>
              <w:t xml:space="preserve">It may be appropriate for the </w:t>
            </w:r>
            <w:proofErr w:type="spellStart"/>
            <w:r>
              <w:rPr>
                <w:rFonts w:ascii="Arial" w:hAnsi="Arial"/>
              </w:rPr>
              <w:t>ccNSO</w:t>
            </w:r>
            <w:proofErr w:type="spellEnd"/>
            <w:r>
              <w:rPr>
                <w:rFonts w:ascii="Arial" w:hAnsi="Arial"/>
              </w:rPr>
              <w:t xml:space="preserve"> [Council] and </w:t>
            </w:r>
            <w:proofErr w:type="spellStart"/>
            <w:r>
              <w:rPr>
                <w:rFonts w:ascii="Arial" w:hAnsi="Arial"/>
              </w:rPr>
              <w:t>RySG</w:t>
            </w:r>
            <w:proofErr w:type="spellEnd"/>
            <w:r>
              <w:rPr>
                <w:rFonts w:ascii="Arial" w:hAnsi="Arial"/>
              </w:rPr>
              <w:t xml:space="preserve"> [</w:t>
            </w:r>
            <w:proofErr w:type="spellStart"/>
            <w:r>
              <w:rPr>
                <w:rFonts w:ascii="Arial" w:hAnsi="Arial"/>
              </w:rPr>
              <w:t>Excom</w:t>
            </w:r>
            <w:proofErr w:type="spellEnd"/>
            <w:r>
              <w:rPr>
                <w:rFonts w:ascii="Arial" w:hAnsi="Arial"/>
              </w:rPr>
              <w:t>] to collaborate to develop a process for the review, including a selection process.</w:t>
            </w:r>
          </w:p>
        </w:tc>
      </w:tr>
      <w:tr w:rsidR="0009311F" w:rsidRPr="00C9571E" w14:paraId="3D1F0A81" w14:textId="77777777" w:rsidTr="0009311F">
        <w:tc>
          <w:tcPr>
            <w:tcW w:w="6408" w:type="dxa"/>
          </w:tcPr>
          <w:p w14:paraId="23C09B78" w14:textId="77777777" w:rsidR="005E60FF" w:rsidRPr="005E60FF" w:rsidRDefault="00B975C5" w:rsidP="005E60FF">
            <w:pPr>
              <w:rPr>
                <w:rFonts w:ascii="Arial" w:hAnsi="Arial"/>
              </w:rPr>
            </w:pPr>
            <w:r>
              <w:rPr>
                <w:rFonts w:ascii="Arial" w:hAnsi="Arial"/>
              </w:rPr>
              <w:t xml:space="preserve">12. </w:t>
            </w:r>
            <w:r w:rsidR="005E60FF" w:rsidRPr="005E60FF">
              <w:rPr>
                <w:rFonts w:ascii="Arial" w:hAnsi="Arial"/>
              </w:rPr>
              <w:t>Given that there will not be regularly scheduled reviews of the CSC Charter (beyond the first review), should the Board be one of the entities that can call for a review of the CSC Charter? [</w:t>
            </w:r>
            <w:r w:rsidR="005E60FF" w:rsidRPr="005E60FF">
              <w:rPr>
                <w:rFonts w:ascii="Arial" w:hAnsi="Arial"/>
                <w:i/>
              </w:rPr>
              <w:t>Paragraph 358 of the CWG Proposal provides that “the Charter will be reviewed at the request of the CSC, ccNSO or GNSO and may also be reviewed in connection with the IANA Function Review.”</w:t>
            </w:r>
            <w:r w:rsidR="005E60FF" w:rsidRPr="005E60FF">
              <w:rPr>
                <w:rFonts w:ascii="Arial" w:hAnsi="Arial"/>
              </w:rPr>
              <w:t>]</w:t>
            </w:r>
          </w:p>
          <w:p w14:paraId="54F0E542" w14:textId="66E9EC93" w:rsidR="00B975C5" w:rsidRPr="00C9571E" w:rsidRDefault="00B975C5" w:rsidP="00C9571E">
            <w:pPr>
              <w:rPr>
                <w:rFonts w:ascii="Arial" w:hAnsi="Arial"/>
              </w:rPr>
            </w:pPr>
          </w:p>
        </w:tc>
        <w:tc>
          <w:tcPr>
            <w:tcW w:w="1710" w:type="dxa"/>
          </w:tcPr>
          <w:p w14:paraId="3897F290" w14:textId="77777777" w:rsidR="00B975C5" w:rsidRPr="00C9571E" w:rsidRDefault="00B975C5">
            <w:pPr>
              <w:rPr>
                <w:rFonts w:ascii="Arial" w:hAnsi="Arial"/>
              </w:rPr>
            </w:pPr>
          </w:p>
        </w:tc>
        <w:tc>
          <w:tcPr>
            <w:tcW w:w="6210" w:type="dxa"/>
          </w:tcPr>
          <w:p w14:paraId="38415322" w14:textId="310CAEE4" w:rsidR="00B975C5" w:rsidRDefault="00DE4622" w:rsidP="00DE4622">
            <w:pPr>
              <w:rPr>
                <w:rFonts w:ascii="Arial" w:hAnsi="Arial"/>
              </w:rPr>
            </w:pPr>
            <w:r>
              <w:rPr>
                <w:rFonts w:ascii="Arial" w:hAnsi="Arial"/>
              </w:rPr>
              <w:t>No objection to the ICANN Board being able to request a review of the Charter, also no objection to the PTI Board being able to request a review of the Charter, provided that the ccNSO and RySG conduct the review and any recommended changes are ratified by the ccNSO and the GNSO.</w:t>
            </w:r>
          </w:p>
        </w:tc>
      </w:tr>
      <w:tr w:rsidR="00B975C5" w:rsidRPr="00C9571E" w14:paraId="4D589240" w14:textId="77777777" w:rsidTr="00B975C5">
        <w:tc>
          <w:tcPr>
            <w:tcW w:w="14328" w:type="dxa"/>
            <w:gridSpan w:val="3"/>
            <w:shd w:val="clear" w:color="auto" w:fill="FDE9D9" w:themeFill="accent6" w:themeFillTint="33"/>
          </w:tcPr>
          <w:p w14:paraId="5C6C99E3" w14:textId="75317CA7" w:rsidR="00B975C5" w:rsidRPr="00B975C5" w:rsidRDefault="00B975C5" w:rsidP="007F4954">
            <w:pPr>
              <w:rPr>
                <w:rFonts w:ascii="Arial" w:hAnsi="Arial"/>
                <w:b/>
                <w:sz w:val="28"/>
                <w:szCs w:val="28"/>
              </w:rPr>
            </w:pPr>
            <w:r w:rsidRPr="00B975C5">
              <w:rPr>
                <w:rFonts w:ascii="Arial" w:hAnsi="Arial"/>
                <w:b/>
                <w:sz w:val="28"/>
                <w:szCs w:val="28"/>
              </w:rPr>
              <w:t>IFR</w:t>
            </w:r>
            <w:r w:rsidR="007F4954">
              <w:rPr>
                <w:rFonts w:ascii="Arial" w:hAnsi="Arial"/>
                <w:b/>
                <w:sz w:val="28"/>
                <w:szCs w:val="28"/>
              </w:rPr>
              <w:t xml:space="preserve"> – </w:t>
            </w:r>
            <w:r w:rsidR="007F4954">
              <w:rPr>
                <w:rFonts w:ascii="Arial" w:hAnsi="Arial"/>
              </w:rPr>
              <w:t>Article 18, starting on page 87</w:t>
            </w:r>
          </w:p>
        </w:tc>
      </w:tr>
      <w:tr w:rsidR="0009311F" w:rsidRPr="00C9571E" w14:paraId="40CE6221" w14:textId="77777777" w:rsidTr="0009311F">
        <w:tc>
          <w:tcPr>
            <w:tcW w:w="6408" w:type="dxa"/>
          </w:tcPr>
          <w:p w14:paraId="0EA958C8" w14:textId="5D8D32F5" w:rsidR="005E60FF" w:rsidRDefault="00B975C5" w:rsidP="00C9571E">
            <w:pPr>
              <w:rPr>
                <w:rFonts w:ascii="Arial" w:hAnsi="Arial"/>
              </w:rPr>
            </w:pPr>
            <w:r>
              <w:rPr>
                <w:rFonts w:ascii="Arial" w:hAnsi="Arial"/>
              </w:rPr>
              <w:t xml:space="preserve">13. </w:t>
            </w:r>
            <w:r w:rsidR="005E60FF" w:rsidRPr="005E60FF">
              <w:rPr>
                <w:rFonts w:ascii="Arial" w:hAnsi="Arial"/>
              </w:rPr>
              <w:t>Clarify whether the gTLD and ccTLD registry operators are the same as the “consumers of the IANA naming functions” whose needs must be considered by the IFRT (Paragraph 276 of the CWG Proposal).</w:t>
            </w:r>
          </w:p>
          <w:p w14:paraId="325DD93A" w14:textId="3B138DEB" w:rsidR="005E60FF" w:rsidRPr="00C9571E" w:rsidRDefault="005E60FF" w:rsidP="00C9571E">
            <w:pPr>
              <w:rPr>
                <w:rFonts w:ascii="Arial" w:hAnsi="Arial"/>
              </w:rPr>
            </w:pPr>
          </w:p>
        </w:tc>
        <w:tc>
          <w:tcPr>
            <w:tcW w:w="1710" w:type="dxa"/>
          </w:tcPr>
          <w:p w14:paraId="556363CE" w14:textId="77777777" w:rsidR="00B975C5" w:rsidRPr="00C9571E" w:rsidRDefault="00B975C5">
            <w:pPr>
              <w:rPr>
                <w:rFonts w:ascii="Arial" w:hAnsi="Arial"/>
              </w:rPr>
            </w:pPr>
          </w:p>
        </w:tc>
        <w:tc>
          <w:tcPr>
            <w:tcW w:w="6210" w:type="dxa"/>
          </w:tcPr>
          <w:p w14:paraId="50ACF58D" w14:textId="77777777" w:rsidR="00CE0DF0" w:rsidRPr="00CE0DF0" w:rsidRDefault="00CE0DF0" w:rsidP="00CE0DF0">
            <w:pPr>
              <w:rPr>
                <w:rFonts w:ascii="Times New Roman" w:eastAsia="Times New Roman" w:hAnsi="Times New Roman" w:cs="Times New Roman"/>
              </w:rPr>
            </w:pPr>
            <w:r w:rsidRPr="00CE0DF0">
              <w:rPr>
                <w:rFonts w:ascii="Arial" w:eastAsia="Times New Roman" w:hAnsi="Arial" w:cs="Arial"/>
                <w:color w:val="000000"/>
                <w:sz w:val="22"/>
                <w:szCs w:val="22"/>
              </w:rPr>
              <w:t xml:space="preserve">While the Registries are defined as the direct customers, the GNSO and </w:t>
            </w:r>
            <w:proofErr w:type="spellStart"/>
            <w:r w:rsidRPr="00CE0DF0">
              <w:rPr>
                <w:rFonts w:ascii="Arial" w:eastAsia="Times New Roman" w:hAnsi="Arial" w:cs="Arial"/>
                <w:color w:val="000000"/>
                <w:sz w:val="22"/>
                <w:szCs w:val="22"/>
              </w:rPr>
              <w:t>ccNSO</w:t>
            </w:r>
            <w:proofErr w:type="spellEnd"/>
            <w:r w:rsidRPr="00CE0DF0">
              <w:rPr>
                <w:rFonts w:ascii="Arial" w:eastAsia="Times New Roman" w:hAnsi="Arial" w:cs="Arial"/>
                <w:color w:val="000000"/>
                <w:sz w:val="22"/>
                <w:szCs w:val="22"/>
              </w:rPr>
              <w:t xml:space="preserve"> are the customers given their policy recommending authority. </w:t>
            </w:r>
            <w:commentRangeStart w:id="0"/>
            <w:r w:rsidRPr="00CE0DF0">
              <w:rPr>
                <w:rFonts w:ascii="Arial" w:eastAsia="Times New Roman" w:hAnsi="Arial" w:cs="Arial"/>
                <w:color w:val="000000"/>
                <w:sz w:val="22"/>
                <w:szCs w:val="22"/>
              </w:rPr>
              <w:t>One can also argue</w:t>
            </w:r>
            <w:commentRangeEnd w:id="0"/>
            <w:r>
              <w:rPr>
                <w:rStyle w:val="CommentReference"/>
              </w:rPr>
              <w:commentReference w:id="0"/>
            </w:r>
            <w:r w:rsidRPr="00CE0DF0">
              <w:rPr>
                <w:rFonts w:ascii="Arial" w:eastAsia="Times New Roman" w:hAnsi="Arial" w:cs="Arial"/>
                <w:color w:val="000000"/>
                <w:sz w:val="22"/>
                <w:szCs w:val="22"/>
              </w:rPr>
              <w:t xml:space="preserve"> that all users of the DNS are consumers of the IANA naming functions.</w:t>
            </w:r>
          </w:p>
          <w:p w14:paraId="60F8B897" w14:textId="77777777" w:rsidR="00B975C5" w:rsidRDefault="00B975C5" w:rsidP="00804F42">
            <w:pPr>
              <w:rPr>
                <w:rFonts w:ascii="Arial" w:hAnsi="Arial"/>
              </w:rPr>
            </w:pPr>
          </w:p>
        </w:tc>
      </w:tr>
      <w:tr w:rsidR="0009311F" w:rsidRPr="00C9571E" w14:paraId="40B8BE2E" w14:textId="77777777" w:rsidTr="0009311F">
        <w:tc>
          <w:tcPr>
            <w:tcW w:w="6408" w:type="dxa"/>
          </w:tcPr>
          <w:p w14:paraId="25A7864F" w14:textId="77777777" w:rsidR="005E60FF" w:rsidRPr="005E60FF" w:rsidRDefault="00B975C5" w:rsidP="005E60FF">
            <w:pPr>
              <w:rPr>
                <w:rFonts w:ascii="Arial" w:hAnsi="Arial"/>
              </w:rPr>
            </w:pPr>
            <w:r>
              <w:rPr>
                <w:rFonts w:ascii="Arial" w:hAnsi="Arial"/>
              </w:rPr>
              <w:t xml:space="preserve">14. </w:t>
            </w:r>
            <w:r w:rsidR="005E60FF" w:rsidRPr="005E60FF">
              <w:rPr>
                <w:rFonts w:ascii="Arial" w:hAnsi="Arial"/>
              </w:rPr>
              <w:t xml:space="preserve">Is it appropriate for language to be added to try to align some of the review process to the AoC reviews?  A proposed inclusion is: “Any IFRT recommendations should identify improvements that are supported by data and associated analysis about existing deficiencies and how they could be addressed. Each recommendation of the IFRT shall include proposed remedial procedures and </w:t>
            </w:r>
            <w:r w:rsidR="005E60FF" w:rsidRPr="005E60FF">
              <w:rPr>
                <w:rFonts w:ascii="Arial" w:hAnsi="Arial"/>
              </w:rPr>
              <w:lastRenderedPageBreak/>
              <w:t>describe how those procedures are expected to address such issues. The IFRT’s report shall also propose timelines for implementing the IFRT’s recommendations. The IFRT shall attempt to prioritize each of its recommendations and provide a rationale for such prioritization.”</w:t>
            </w:r>
          </w:p>
          <w:p w14:paraId="48976DB2" w14:textId="78383CDF" w:rsidR="00B975C5" w:rsidRPr="00C9571E" w:rsidRDefault="00B975C5" w:rsidP="00C9571E">
            <w:pPr>
              <w:rPr>
                <w:rFonts w:ascii="Arial" w:hAnsi="Arial"/>
              </w:rPr>
            </w:pPr>
          </w:p>
        </w:tc>
        <w:tc>
          <w:tcPr>
            <w:tcW w:w="1710" w:type="dxa"/>
          </w:tcPr>
          <w:p w14:paraId="74581A1B" w14:textId="77777777" w:rsidR="00B975C5" w:rsidRPr="00C9571E" w:rsidRDefault="00B975C5">
            <w:pPr>
              <w:rPr>
                <w:rFonts w:ascii="Arial" w:hAnsi="Arial"/>
              </w:rPr>
            </w:pPr>
          </w:p>
        </w:tc>
        <w:tc>
          <w:tcPr>
            <w:tcW w:w="6210" w:type="dxa"/>
          </w:tcPr>
          <w:p w14:paraId="72EE72D8" w14:textId="1BA54358" w:rsidR="00B975C5" w:rsidRPr="00CE0DF0" w:rsidRDefault="00CE0DF0" w:rsidP="00804F42">
            <w:pPr>
              <w:rPr>
                <w:rFonts w:ascii="Times New Roman" w:eastAsia="Times New Roman" w:hAnsi="Times New Roman" w:cs="Times New Roman"/>
              </w:rPr>
            </w:pPr>
            <w:r w:rsidRPr="00CE0DF0">
              <w:rPr>
                <w:rFonts w:ascii="Arial" w:eastAsia="Times New Roman" w:hAnsi="Arial" w:cs="Arial"/>
                <w:color w:val="000000"/>
                <w:sz w:val="22"/>
                <w:szCs w:val="22"/>
              </w:rPr>
              <w:t>Yes agree seems to make sense although it would be useful to know where the proposed language is being drawn from specifically</w:t>
            </w:r>
          </w:p>
        </w:tc>
      </w:tr>
      <w:tr w:rsidR="0009311F" w:rsidRPr="00C9571E" w14:paraId="3EC3DFAA" w14:textId="77777777" w:rsidTr="0009311F">
        <w:tc>
          <w:tcPr>
            <w:tcW w:w="6408" w:type="dxa"/>
          </w:tcPr>
          <w:p w14:paraId="5B11F713" w14:textId="77777777" w:rsidR="00B975C5" w:rsidRDefault="00B975C5" w:rsidP="00C9571E">
            <w:pPr>
              <w:rPr>
                <w:rFonts w:ascii="Arial" w:hAnsi="Arial"/>
              </w:rPr>
            </w:pPr>
            <w:r>
              <w:rPr>
                <w:rFonts w:ascii="Arial" w:hAnsi="Arial"/>
              </w:rPr>
              <w:lastRenderedPageBreak/>
              <w:t xml:space="preserve">15. </w:t>
            </w:r>
            <w:r w:rsidR="005E60FF" w:rsidRPr="005E60FF">
              <w:rPr>
                <w:rFonts w:ascii="Arial" w:hAnsi="Arial"/>
              </w:rPr>
              <w:t>Confirm that we can add a Bylaw that requires appointing organizations to use reasonable efforts to fill vacancies on the IFRT within a month.</w:t>
            </w:r>
          </w:p>
          <w:p w14:paraId="0A64D257" w14:textId="0646FE43" w:rsidR="005E60FF" w:rsidRPr="00C9571E" w:rsidRDefault="005E60FF" w:rsidP="00C9571E">
            <w:pPr>
              <w:rPr>
                <w:rFonts w:ascii="Arial" w:hAnsi="Arial"/>
              </w:rPr>
            </w:pPr>
          </w:p>
        </w:tc>
        <w:tc>
          <w:tcPr>
            <w:tcW w:w="1710" w:type="dxa"/>
          </w:tcPr>
          <w:p w14:paraId="58E60F19" w14:textId="77777777" w:rsidR="00B975C5" w:rsidRPr="00C9571E" w:rsidRDefault="00B975C5">
            <w:pPr>
              <w:rPr>
                <w:rFonts w:ascii="Arial" w:hAnsi="Arial"/>
              </w:rPr>
            </w:pPr>
          </w:p>
        </w:tc>
        <w:tc>
          <w:tcPr>
            <w:tcW w:w="6210" w:type="dxa"/>
          </w:tcPr>
          <w:p w14:paraId="0CDE1477" w14:textId="2E154F33" w:rsidR="00B975C5" w:rsidRDefault="00CE0DF0" w:rsidP="00804F42">
            <w:pPr>
              <w:rPr>
                <w:rFonts w:ascii="Arial" w:hAnsi="Arial"/>
              </w:rPr>
            </w:pPr>
            <w:r>
              <w:rPr>
                <w:rFonts w:ascii="Arial" w:hAnsi="Arial"/>
              </w:rPr>
              <w:t>Yes.</w:t>
            </w:r>
          </w:p>
        </w:tc>
      </w:tr>
      <w:tr w:rsidR="00B975C5" w:rsidRPr="00C9571E" w14:paraId="1BA5D9A4" w14:textId="77777777" w:rsidTr="00B975C5">
        <w:tc>
          <w:tcPr>
            <w:tcW w:w="14328" w:type="dxa"/>
            <w:gridSpan w:val="3"/>
            <w:shd w:val="clear" w:color="auto" w:fill="FDE9D9" w:themeFill="accent6" w:themeFillTint="33"/>
          </w:tcPr>
          <w:p w14:paraId="7F87E695" w14:textId="49B005ED" w:rsidR="00B975C5" w:rsidRPr="00B975C5" w:rsidRDefault="00B975C5" w:rsidP="00804F42">
            <w:pPr>
              <w:rPr>
                <w:rFonts w:ascii="Arial" w:hAnsi="Arial"/>
                <w:b/>
                <w:sz w:val="28"/>
                <w:szCs w:val="28"/>
              </w:rPr>
            </w:pPr>
            <w:r w:rsidRPr="00B975C5">
              <w:rPr>
                <w:rFonts w:ascii="Arial" w:hAnsi="Arial"/>
                <w:b/>
                <w:sz w:val="28"/>
                <w:szCs w:val="28"/>
              </w:rPr>
              <w:t>Special IFR</w:t>
            </w:r>
            <w:r w:rsidR="007F4954">
              <w:rPr>
                <w:rFonts w:ascii="Arial" w:hAnsi="Arial"/>
                <w:b/>
                <w:sz w:val="28"/>
                <w:szCs w:val="28"/>
              </w:rPr>
              <w:t xml:space="preserve"> – </w:t>
            </w:r>
            <w:r w:rsidR="007F4954">
              <w:rPr>
                <w:rFonts w:ascii="Arial" w:hAnsi="Arial"/>
              </w:rPr>
              <w:t>Article 18, starting on page 87</w:t>
            </w:r>
          </w:p>
        </w:tc>
      </w:tr>
      <w:tr w:rsidR="0009311F" w:rsidRPr="00C9571E" w14:paraId="605D027D" w14:textId="77777777" w:rsidTr="0009311F">
        <w:tc>
          <w:tcPr>
            <w:tcW w:w="6408" w:type="dxa"/>
          </w:tcPr>
          <w:p w14:paraId="449B37A1" w14:textId="4556E922" w:rsidR="005E60FF" w:rsidRPr="00C9571E" w:rsidRDefault="00B975C5" w:rsidP="00C9571E">
            <w:pPr>
              <w:rPr>
                <w:rFonts w:ascii="Arial" w:hAnsi="Arial"/>
              </w:rPr>
            </w:pPr>
            <w:r>
              <w:rPr>
                <w:rFonts w:ascii="Arial" w:hAnsi="Arial"/>
              </w:rPr>
              <w:t xml:space="preserve">16. </w:t>
            </w:r>
            <w:r w:rsidR="005E60FF" w:rsidRPr="005E60FF">
              <w:rPr>
                <w:rFonts w:ascii="Arial" w:hAnsi="Arial"/>
              </w:rPr>
              <w:t>The CWG response chart provided on March 10, 2016 stated the following in response to a question around the method of consultation between SOs and ACs when determining whether or not to initiate a Special IFR: “CWG-Stewardship has chosen to reference the mechanisms developed by the CCWG-Accountability, and these can be cross-referenced as part of implementation.”  The CCWG Final Proposal contemplates a community forum mechanism, as well as optional conference calls; clarify which consultation mechanism CWG expects SOs/ACs to follow and whether such mechanism is to be referred to in the Bylaws or left to implementation outside of the Bylaws.</w:t>
            </w:r>
          </w:p>
        </w:tc>
        <w:tc>
          <w:tcPr>
            <w:tcW w:w="1710" w:type="dxa"/>
          </w:tcPr>
          <w:p w14:paraId="11B1E72B" w14:textId="77777777" w:rsidR="00B975C5" w:rsidRPr="00C9571E" w:rsidRDefault="00B975C5">
            <w:pPr>
              <w:rPr>
                <w:rFonts w:ascii="Arial" w:hAnsi="Arial"/>
              </w:rPr>
            </w:pPr>
          </w:p>
        </w:tc>
        <w:tc>
          <w:tcPr>
            <w:tcW w:w="6210" w:type="dxa"/>
          </w:tcPr>
          <w:p w14:paraId="0C81449A" w14:textId="77777777" w:rsidR="00CE0DF0" w:rsidRPr="00CE0DF0" w:rsidRDefault="00CE0DF0" w:rsidP="00CE0DF0">
            <w:pPr>
              <w:rPr>
                <w:rFonts w:ascii="Times New Roman" w:eastAsia="Times New Roman" w:hAnsi="Times New Roman" w:cs="Times New Roman"/>
              </w:rPr>
            </w:pPr>
            <w:r w:rsidRPr="00CE0DF0">
              <w:rPr>
                <w:rFonts w:ascii="Arial" w:eastAsia="Times New Roman" w:hAnsi="Arial" w:cs="Arial"/>
                <w:color w:val="000000"/>
                <w:sz w:val="22"/>
                <w:szCs w:val="22"/>
              </w:rPr>
              <w:t>Why would this be any different from the IFR?  The only intended difference between the two is the manner of initiation.</w:t>
            </w:r>
          </w:p>
          <w:p w14:paraId="70FE21A1" w14:textId="77777777" w:rsidR="00B975C5" w:rsidRDefault="00B975C5" w:rsidP="00804F42">
            <w:pPr>
              <w:rPr>
                <w:rFonts w:ascii="Arial" w:hAnsi="Arial"/>
              </w:rPr>
            </w:pPr>
          </w:p>
        </w:tc>
      </w:tr>
      <w:tr w:rsidR="0009311F" w:rsidRPr="00C9571E" w14:paraId="028719E5" w14:textId="77777777" w:rsidTr="0009311F">
        <w:tc>
          <w:tcPr>
            <w:tcW w:w="6408" w:type="dxa"/>
          </w:tcPr>
          <w:p w14:paraId="258EB186" w14:textId="39747FC8" w:rsidR="00B975C5" w:rsidRDefault="00B975C5" w:rsidP="00C9571E">
            <w:pPr>
              <w:rPr>
                <w:rFonts w:ascii="Arial" w:hAnsi="Arial"/>
              </w:rPr>
            </w:pPr>
            <w:r>
              <w:rPr>
                <w:rFonts w:ascii="Arial" w:hAnsi="Arial"/>
              </w:rPr>
              <w:t xml:space="preserve">17. </w:t>
            </w:r>
            <w:r w:rsidR="005E60FF" w:rsidRPr="005E60FF">
              <w:rPr>
                <w:rFonts w:ascii="Arial" w:hAnsi="Arial"/>
              </w:rPr>
              <w:t xml:space="preserve">Confirm that the following insertion is acceptable, that would require each recommendation of the IFRT to be </w:t>
            </w:r>
            <w:bookmarkStart w:id="1" w:name="_cp_text_4_223"/>
            <w:r w:rsidR="005E60FF" w:rsidRPr="005E60FF">
              <w:rPr>
                <w:rFonts w:ascii="Arial" w:hAnsi="Arial"/>
              </w:rPr>
              <w:t xml:space="preserve">“directly related and limited to remediating the PTI Performance Issue.”  The CWG Proposal provides that there </w:t>
            </w:r>
            <w:bookmarkStart w:id="2" w:name="_cp_text_1_224"/>
            <w:bookmarkEnd w:id="1"/>
            <w:r w:rsidR="005E60FF" w:rsidRPr="005E60FF">
              <w:rPr>
                <w:rFonts w:ascii="Arial" w:hAnsi="Arial"/>
              </w:rPr>
              <w:t xml:space="preserve">is </w:t>
            </w:r>
            <w:bookmarkStart w:id="3" w:name="_cp_text_4_225"/>
            <w:bookmarkEnd w:id="2"/>
            <w:r w:rsidR="005E60FF" w:rsidRPr="005E60FF">
              <w:rPr>
                <w:rFonts w:ascii="Arial" w:hAnsi="Arial"/>
              </w:rPr>
              <w:t>no prescribed outcome for an IFR (Paragraph 126).]</w:t>
            </w:r>
            <w:bookmarkEnd w:id="3"/>
            <w:r w:rsidR="005E60FF" w:rsidRPr="005E60FF">
              <w:rPr>
                <w:rFonts w:ascii="Arial" w:hAnsi="Arial"/>
              </w:rPr>
              <w:t xml:space="preserve">  </w:t>
            </w:r>
          </w:p>
        </w:tc>
        <w:tc>
          <w:tcPr>
            <w:tcW w:w="1710" w:type="dxa"/>
          </w:tcPr>
          <w:p w14:paraId="6E3D385F" w14:textId="77777777" w:rsidR="00B975C5" w:rsidRPr="00C9571E" w:rsidRDefault="00B975C5">
            <w:pPr>
              <w:rPr>
                <w:rFonts w:ascii="Arial" w:hAnsi="Arial"/>
              </w:rPr>
            </w:pPr>
          </w:p>
        </w:tc>
        <w:tc>
          <w:tcPr>
            <w:tcW w:w="6210" w:type="dxa"/>
          </w:tcPr>
          <w:p w14:paraId="5E17285E" w14:textId="77777777" w:rsidR="00CE0DF0" w:rsidRPr="00CE0DF0" w:rsidRDefault="00CE0DF0" w:rsidP="00CE0DF0">
            <w:pPr>
              <w:rPr>
                <w:rFonts w:ascii="Times New Roman" w:eastAsia="Times New Roman" w:hAnsi="Times New Roman" w:cs="Times New Roman"/>
              </w:rPr>
            </w:pPr>
            <w:proofErr w:type="gramStart"/>
            <w:r w:rsidRPr="00CE0DF0">
              <w:rPr>
                <w:rFonts w:ascii="Arial" w:eastAsia="Times New Roman" w:hAnsi="Arial" w:cs="Arial"/>
                <w:color w:val="000000"/>
                <w:sz w:val="22"/>
                <w:szCs w:val="22"/>
              </w:rPr>
              <w:t>Yes</w:t>
            </w:r>
            <w:proofErr w:type="gramEnd"/>
            <w:r w:rsidRPr="00CE0DF0">
              <w:rPr>
                <w:rFonts w:ascii="Arial" w:eastAsia="Times New Roman" w:hAnsi="Arial" w:cs="Arial"/>
                <w:color w:val="000000"/>
                <w:sz w:val="22"/>
                <w:szCs w:val="22"/>
              </w:rPr>
              <w:t xml:space="preserve"> although suggest an insertion that qualifies the use of the word performance by noting the IFRT’s responsibilities as listed in section 18.3. a - k</w:t>
            </w:r>
          </w:p>
          <w:p w14:paraId="3DA8746C" w14:textId="77777777" w:rsidR="00B975C5" w:rsidRDefault="00B975C5" w:rsidP="00804F42">
            <w:pPr>
              <w:rPr>
                <w:rFonts w:ascii="Arial" w:hAnsi="Arial"/>
              </w:rPr>
            </w:pPr>
          </w:p>
        </w:tc>
      </w:tr>
      <w:tr w:rsidR="00B975C5" w:rsidRPr="00C9571E" w14:paraId="6A4DDA0B" w14:textId="77777777" w:rsidTr="00B975C5">
        <w:tc>
          <w:tcPr>
            <w:tcW w:w="14328" w:type="dxa"/>
            <w:gridSpan w:val="3"/>
            <w:shd w:val="clear" w:color="auto" w:fill="FDE9D9" w:themeFill="accent6" w:themeFillTint="33"/>
          </w:tcPr>
          <w:p w14:paraId="3C60D811" w14:textId="04FCA672" w:rsidR="00B975C5" w:rsidRPr="00B975C5" w:rsidRDefault="00B975C5" w:rsidP="007F4954">
            <w:pPr>
              <w:rPr>
                <w:rFonts w:ascii="Arial" w:hAnsi="Arial"/>
                <w:b/>
                <w:sz w:val="28"/>
                <w:szCs w:val="28"/>
              </w:rPr>
            </w:pPr>
            <w:r w:rsidRPr="00B975C5">
              <w:rPr>
                <w:rFonts w:ascii="Arial" w:hAnsi="Arial"/>
                <w:b/>
                <w:sz w:val="28"/>
                <w:szCs w:val="28"/>
              </w:rPr>
              <w:t>SCWG</w:t>
            </w:r>
            <w:r w:rsidR="007F4954">
              <w:rPr>
                <w:rFonts w:ascii="Arial" w:hAnsi="Arial"/>
                <w:b/>
                <w:sz w:val="28"/>
                <w:szCs w:val="28"/>
              </w:rPr>
              <w:t xml:space="preserve"> – </w:t>
            </w:r>
            <w:r w:rsidR="007F4954">
              <w:rPr>
                <w:rFonts w:ascii="Arial" w:hAnsi="Arial"/>
              </w:rPr>
              <w:t>Article 19, starting on page 98</w:t>
            </w:r>
          </w:p>
        </w:tc>
      </w:tr>
      <w:tr w:rsidR="0009311F" w:rsidRPr="00C9571E" w14:paraId="016D9569" w14:textId="77777777" w:rsidTr="0009311F">
        <w:tc>
          <w:tcPr>
            <w:tcW w:w="6408" w:type="dxa"/>
          </w:tcPr>
          <w:p w14:paraId="3630B65F" w14:textId="77777777" w:rsidR="005E60FF" w:rsidRPr="005E60FF" w:rsidRDefault="00B975C5" w:rsidP="005E60FF">
            <w:pPr>
              <w:rPr>
                <w:rFonts w:ascii="Arial" w:hAnsi="Arial"/>
              </w:rPr>
            </w:pPr>
            <w:r>
              <w:rPr>
                <w:rFonts w:ascii="Arial" w:hAnsi="Arial"/>
              </w:rPr>
              <w:lastRenderedPageBreak/>
              <w:t xml:space="preserve">18. </w:t>
            </w:r>
            <w:r w:rsidR="005E60FF" w:rsidRPr="005E60FF">
              <w:rPr>
                <w:rFonts w:ascii="Arial" w:hAnsi="Arial"/>
              </w:rPr>
              <w:t xml:space="preserve">On a decision to create an SCWG, confirm that the EC functions as a reconsideration of the Board decision (meaning that if the Board rejects the creation of the SCWG, the EC can reject that decision and escalate). </w:t>
            </w:r>
          </w:p>
          <w:p w14:paraId="47B2B7FB" w14:textId="1A29B484" w:rsidR="00B975C5" w:rsidRDefault="00B975C5" w:rsidP="005E60FF">
            <w:pPr>
              <w:rPr>
                <w:rFonts w:ascii="Arial" w:hAnsi="Arial"/>
              </w:rPr>
            </w:pPr>
          </w:p>
        </w:tc>
        <w:tc>
          <w:tcPr>
            <w:tcW w:w="1710" w:type="dxa"/>
          </w:tcPr>
          <w:p w14:paraId="2E48E5D0" w14:textId="77777777" w:rsidR="00B975C5" w:rsidRPr="00C9571E" w:rsidRDefault="00B975C5">
            <w:pPr>
              <w:rPr>
                <w:rFonts w:ascii="Arial" w:hAnsi="Arial"/>
              </w:rPr>
            </w:pPr>
          </w:p>
        </w:tc>
        <w:tc>
          <w:tcPr>
            <w:tcW w:w="6210" w:type="dxa"/>
          </w:tcPr>
          <w:p w14:paraId="3DA516EF" w14:textId="323A9026" w:rsidR="00B975C5" w:rsidRDefault="00CE0DF0" w:rsidP="00804F42">
            <w:pPr>
              <w:rPr>
                <w:rFonts w:ascii="Arial" w:hAnsi="Arial"/>
              </w:rPr>
            </w:pPr>
            <w:r>
              <w:rPr>
                <w:rFonts w:ascii="Arial" w:hAnsi="Arial"/>
              </w:rPr>
              <w:t>Yes</w:t>
            </w:r>
          </w:p>
        </w:tc>
      </w:tr>
      <w:tr w:rsidR="0009311F" w:rsidRPr="00C9571E" w14:paraId="1E36FDDF" w14:textId="77777777" w:rsidTr="0009311F">
        <w:tc>
          <w:tcPr>
            <w:tcW w:w="6408" w:type="dxa"/>
          </w:tcPr>
          <w:p w14:paraId="606C02EE" w14:textId="77777777" w:rsidR="005E60FF" w:rsidRPr="005E60FF" w:rsidRDefault="00B975C5" w:rsidP="005E60FF">
            <w:pPr>
              <w:rPr>
                <w:rFonts w:ascii="Arial" w:hAnsi="Arial"/>
              </w:rPr>
            </w:pPr>
            <w:r>
              <w:rPr>
                <w:rFonts w:ascii="Arial" w:hAnsi="Arial"/>
              </w:rPr>
              <w:t xml:space="preserve">19. </w:t>
            </w:r>
            <w:r w:rsidR="005E60FF" w:rsidRPr="005E60FF">
              <w:rPr>
                <w:rFonts w:ascii="Arial" w:hAnsi="Arial"/>
              </w:rPr>
              <w:t>Given that the Board liaison is a role that is becoming instituted in Cross-Community Working Group practices, is it appropriate for the Board be able to appoint a liaison to a SCWG.  This is not contemplated in the CWG Proposal.</w:t>
            </w:r>
          </w:p>
          <w:p w14:paraId="640994AA" w14:textId="7B0F11DB" w:rsidR="00B975C5" w:rsidRDefault="00B975C5" w:rsidP="00C9571E">
            <w:pPr>
              <w:rPr>
                <w:rFonts w:ascii="Arial" w:hAnsi="Arial"/>
              </w:rPr>
            </w:pPr>
          </w:p>
        </w:tc>
        <w:tc>
          <w:tcPr>
            <w:tcW w:w="1710" w:type="dxa"/>
          </w:tcPr>
          <w:p w14:paraId="5E992E73" w14:textId="77777777" w:rsidR="00B975C5" w:rsidRPr="00C9571E" w:rsidRDefault="00B975C5">
            <w:pPr>
              <w:rPr>
                <w:rFonts w:ascii="Arial" w:hAnsi="Arial"/>
              </w:rPr>
            </w:pPr>
          </w:p>
        </w:tc>
        <w:tc>
          <w:tcPr>
            <w:tcW w:w="6210" w:type="dxa"/>
          </w:tcPr>
          <w:p w14:paraId="3597DE46" w14:textId="0BB8D0A2" w:rsidR="00B975C5" w:rsidRDefault="00CE0DF0" w:rsidP="00804F42">
            <w:pPr>
              <w:rPr>
                <w:rFonts w:ascii="Arial" w:hAnsi="Arial"/>
              </w:rPr>
            </w:pPr>
            <w:r>
              <w:rPr>
                <w:rFonts w:ascii="Arial" w:hAnsi="Arial"/>
              </w:rPr>
              <w:t>Yes</w:t>
            </w:r>
          </w:p>
        </w:tc>
      </w:tr>
      <w:tr w:rsidR="0009311F" w:rsidRPr="00C9571E" w14:paraId="634691FB" w14:textId="77777777" w:rsidTr="0009311F">
        <w:tc>
          <w:tcPr>
            <w:tcW w:w="6408" w:type="dxa"/>
          </w:tcPr>
          <w:p w14:paraId="64C28554" w14:textId="77777777" w:rsidR="005E60FF" w:rsidRPr="005E60FF" w:rsidRDefault="00B975C5" w:rsidP="005E60FF">
            <w:pPr>
              <w:rPr>
                <w:rFonts w:ascii="Arial" w:hAnsi="Arial"/>
              </w:rPr>
            </w:pPr>
            <w:r>
              <w:rPr>
                <w:rFonts w:ascii="Arial" w:hAnsi="Arial"/>
              </w:rPr>
              <w:t xml:space="preserve">20. </w:t>
            </w:r>
            <w:r w:rsidR="005E60FF" w:rsidRPr="005E60FF">
              <w:rPr>
                <w:rFonts w:ascii="Arial" w:hAnsi="Arial"/>
              </w:rPr>
              <w:t>Clarify whether every member of the SCWG should have experience managing an RFP process, or whether a minimum number of SCWG members (</w:t>
            </w:r>
            <w:proofErr w:type="spellStart"/>
            <w:proofErr w:type="gramStart"/>
            <w:r w:rsidR="005E60FF" w:rsidRPr="005E60FF">
              <w:rPr>
                <w:rFonts w:ascii="Arial" w:hAnsi="Arial"/>
              </w:rPr>
              <w:t>e.g</w:t>
            </w:r>
            <w:proofErr w:type="spellEnd"/>
            <w:r w:rsidR="005E60FF" w:rsidRPr="005E60FF">
              <w:rPr>
                <w:rFonts w:ascii="Arial" w:hAnsi="Arial"/>
              </w:rPr>
              <w:t>,.</w:t>
            </w:r>
            <w:proofErr w:type="gramEnd"/>
            <w:r w:rsidR="005E60FF" w:rsidRPr="005E60FF">
              <w:rPr>
                <w:rFonts w:ascii="Arial" w:hAnsi="Arial"/>
              </w:rPr>
              <w:t xml:space="preserve"> four) with experience managing or participating in an RFP process would suffice. [</w:t>
            </w:r>
            <w:r w:rsidR="005E60FF" w:rsidRPr="005E60FF">
              <w:rPr>
                <w:rFonts w:ascii="Arial" w:hAnsi="Arial"/>
                <w:i/>
              </w:rPr>
              <w:t>Paragraph 396 of the CWG Proposal provides that “To the extent possible, it is recommended that individuals with experience managing an RFP process be appointed to the SCWG.”</w:t>
            </w:r>
            <w:r w:rsidR="005E60FF" w:rsidRPr="005E60FF">
              <w:rPr>
                <w:rFonts w:ascii="Arial" w:hAnsi="Arial"/>
              </w:rPr>
              <w:t>]</w:t>
            </w:r>
          </w:p>
          <w:p w14:paraId="3EB610B4" w14:textId="0C2CEBA8" w:rsidR="00B975C5" w:rsidRDefault="00B975C5" w:rsidP="00C9571E">
            <w:pPr>
              <w:rPr>
                <w:rFonts w:ascii="Arial" w:hAnsi="Arial"/>
              </w:rPr>
            </w:pPr>
          </w:p>
        </w:tc>
        <w:tc>
          <w:tcPr>
            <w:tcW w:w="1710" w:type="dxa"/>
          </w:tcPr>
          <w:p w14:paraId="69ABA82C" w14:textId="77777777" w:rsidR="00B975C5" w:rsidRPr="00C9571E" w:rsidRDefault="00B975C5">
            <w:pPr>
              <w:rPr>
                <w:rFonts w:ascii="Arial" w:hAnsi="Arial"/>
              </w:rPr>
            </w:pPr>
          </w:p>
        </w:tc>
        <w:tc>
          <w:tcPr>
            <w:tcW w:w="6210" w:type="dxa"/>
          </w:tcPr>
          <w:p w14:paraId="6F2534A7" w14:textId="77777777" w:rsidR="00CE0DF0" w:rsidRPr="00CE0DF0" w:rsidRDefault="00CE0DF0" w:rsidP="00CE0DF0">
            <w:pPr>
              <w:rPr>
                <w:rFonts w:ascii="Times New Roman" w:eastAsia="Times New Roman" w:hAnsi="Times New Roman" w:cs="Times New Roman"/>
              </w:rPr>
            </w:pPr>
            <w:r w:rsidRPr="00CE0DF0">
              <w:rPr>
                <w:rFonts w:ascii="Arial" w:eastAsia="Times New Roman" w:hAnsi="Arial" w:cs="Arial"/>
                <w:color w:val="000000"/>
                <w:sz w:val="22"/>
                <w:szCs w:val="22"/>
              </w:rPr>
              <w:t xml:space="preserve">A specific number is not required, especially since there is no certainty that a RFP will be created.  If any number if included, suggest </w:t>
            </w:r>
            <w:proofErr w:type="gramStart"/>
            <w:r w:rsidRPr="00CE0DF0">
              <w:rPr>
                <w:rFonts w:ascii="Arial" w:eastAsia="Times New Roman" w:hAnsi="Arial" w:cs="Arial"/>
                <w:color w:val="000000"/>
                <w:sz w:val="22"/>
                <w:szCs w:val="22"/>
              </w:rPr>
              <w:t>“ there</w:t>
            </w:r>
            <w:proofErr w:type="gramEnd"/>
            <w:r w:rsidRPr="00CE0DF0">
              <w:rPr>
                <w:rFonts w:ascii="Arial" w:eastAsia="Times New Roman" w:hAnsi="Arial" w:cs="Arial"/>
                <w:color w:val="000000"/>
                <w:sz w:val="22"/>
                <w:szCs w:val="22"/>
              </w:rPr>
              <w:t xml:space="preserve"> should be at least 1 member experienced in managing an RFP”. Maybe 2.</w:t>
            </w:r>
          </w:p>
          <w:p w14:paraId="795F9791" w14:textId="77777777" w:rsidR="00B975C5" w:rsidRDefault="00B975C5" w:rsidP="00804F42">
            <w:pPr>
              <w:rPr>
                <w:rFonts w:ascii="Arial" w:hAnsi="Arial"/>
              </w:rPr>
            </w:pPr>
          </w:p>
        </w:tc>
      </w:tr>
      <w:tr w:rsidR="0009311F" w:rsidRPr="00C9571E" w14:paraId="0282C369" w14:textId="77777777" w:rsidTr="0009311F">
        <w:tc>
          <w:tcPr>
            <w:tcW w:w="6408" w:type="dxa"/>
          </w:tcPr>
          <w:p w14:paraId="19CF4FE3" w14:textId="77777777" w:rsidR="005E60FF" w:rsidRPr="005E60FF" w:rsidRDefault="00B975C5" w:rsidP="005E60FF">
            <w:pPr>
              <w:rPr>
                <w:rFonts w:ascii="Arial" w:hAnsi="Arial"/>
              </w:rPr>
            </w:pPr>
            <w:r>
              <w:rPr>
                <w:rFonts w:ascii="Arial" w:hAnsi="Arial"/>
              </w:rPr>
              <w:t>21.</w:t>
            </w:r>
            <w:r w:rsidR="005E60FF">
              <w:rPr>
                <w:rFonts w:ascii="Arial" w:hAnsi="Arial"/>
              </w:rPr>
              <w:t xml:space="preserve"> </w:t>
            </w:r>
            <w:r w:rsidR="005E60FF" w:rsidRPr="005E60FF">
              <w:rPr>
                <w:rFonts w:ascii="Arial" w:hAnsi="Arial"/>
              </w:rPr>
              <w:t>Confirm that we can add a Bylaw that requires appointing organizations to use reasonable efforts to fill vacancies on the SCWG within a month.</w:t>
            </w:r>
          </w:p>
          <w:p w14:paraId="255B3136" w14:textId="4C2746AE" w:rsidR="00B975C5" w:rsidRDefault="00B975C5" w:rsidP="00C9571E">
            <w:pPr>
              <w:rPr>
                <w:rFonts w:ascii="Arial" w:hAnsi="Arial"/>
              </w:rPr>
            </w:pPr>
          </w:p>
        </w:tc>
        <w:tc>
          <w:tcPr>
            <w:tcW w:w="1710" w:type="dxa"/>
          </w:tcPr>
          <w:p w14:paraId="367BB517" w14:textId="77777777" w:rsidR="00B975C5" w:rsidRPr="00C9571E" w:rsidRDefault="00B975C5">
            <w:pPr>
              <w:rPr>
                <w:rFonts w:ascii="Arial" w:hAnsi="Arial"/>
              </w:rPr>
            </w:pPr>
          </w:p>
        </w:tc>
        <w:tc>
          <w:tcPr>
            <w:tcW w:w="6210" w:type="dxa"/>
          </w:tcPr>
          <w:p w14:paraId="42DF1057" w14:textId="20A52AFD" w:rsidR="00B975C5" w:rsidRDefault="00CE0DF0" w:rsidP="00804F42">
            <w:pPr>
              <w:rPr>
                <w:rFonts w:ascii="Arial" w:hAnsi="Arial"/>
              </w:rPr>
            </w:pPr>
            <w:r>
              <w:rPr>
                <w:rFonts w:ascii="Arial" w:hAnsi="Arial"/>
              </w:rPr>
              <w:t>Yes</w:t>
            </w:r>
          </w:p>
        </w:tc>
      </w:tr>
      <w:tr w:rsidR="0009311F" w:rsidRPr="00C9571E" w14:paraId="21C43689" w14:textId="77777777" w:rsidTr="0009311F">
        <w:tc>
          <w:tcPr>
            <w:tcW w:w="6408" w:type="dxa"/>
          </w:tcPr>
          <w:p w14:paraId="413886AA" w14:textId="77777777" w:rsidR="00B975C5" w:rsidRDefault="00B975C5" w:rsidP="00C9571E">
            <w:pPr>
              <w:rPr>
                <w:rFonts w:ascii="Arial" w:hAnsi="Arial"/>
              </w:rPr>
            </w:pPr>
            <w:r>
              <w:rPr>
                <w:rFonts w:ascii="Arial" w:hAnsi="Arial"/>
              </w:rPr>
              <w:t xml:space="preserve">22. </w:t>
            </w:r>
            <w:r w:rsidR="005E60FF" w:rsidRPr="005E60FF">
              <w:rPr>
                <w:rFonts w:ascii="Arial" w:hAnsi="Arial"/>
              </w:rPr>
              <w:t>Consider whether an absolute majority of SCWG members should be required in cases where consensus cannot be reached, which would ensure at least 50+1% are in favor of the recommendation.</w:t>
            </w:r>
          </w:p>
          <w:p w14:paraId="6D8F3289" w14:textId="4CFEDBFB" w:rsidR="005E60FF" w:rsidRDefault="005E60FF" w:rsidP="00C9571E">
            <w:pPr>
              <w:rPr>
                <w:rFonts w:ascii="Arial" w:hAnsi="Arial"/>
              </w:rPr>
            </w:pPr>
          </w:p>
        </w:tc>
        <w:tc>
          <w:tcPr>
            <w:tcW w:w="1710" w:type="dxa"/>
          </w:tcPr>
          <w:p w14:paraId="2992B619" w14:textId="77777777" w:rsidR="00B975C5" w:rsidRPr="00C9571E" w:rsidRDefault="00B975C5">
            <w:pPr>
              <w:rPr>
                <w:rFonts w:ascii="Arial" w:hAnsi="Arial"/>
              </w:rPr>
            </w:pPr>
          </w:p>
        </w:tc>
        <w:tc>
          <w:tcPr>
            <w:tcW w:w="6210" w:type="dxa"/>
          </w:tcPr>
          <w:p w14:paraId="7C609F17" w14:textId="0161D140" w:rsidR="00B975C5" w:rsidRDefault="00CE0DF0" w:rsidP="00804F42">
            <w:pPr>
              <w:rPr>
                <w:rFonts w:ascii="Arial" w:hAnsi="Arial"/>
              </w:rPr>
            </w:pPr>
            <w:commentRangeStart w:id="4"/>
            <w:r>
              <w:rPr>
                <w:rFonts w:ascii="Arial" w:hAnsi="Arial"/>
              </w:rPr>
              <w:t>Yes</w:t>
            </w:r>
            <w:commentRangeEnd w:id="4"/>
            <w:r>
              <w:rPr>
                <w:rStyle w:val="CommentReference"/>
              </w:rPr>
              <w:commentReference w:id="4"/>
            </w:r>
          </w:p>
        </w:tc>
      </w:tr>
      <w:tr w:rsidR="00B975C5" w:rsidRPr="00C9571E" w14:paraId="5AA140FB" w14:textId="77777777" w:rsidTr="00B975C5">
        <w:tc>
          <w:tcPr>
            <w:tcW w:w="14328" w:type="dxa"/>
            <w:gridSpan w:val="3"/>
            <w:shd w:val="clear" w:color="auto" w:fill="FDE9D9" w:themeFill="accent6" w:themeFillTint="33"/>
          </w:tcPr>
          <w:p w14:paraId="4C97122E" w14:textId="1C22DF56" w:rsidR="00B975C5" w:rsidRPr="00B975C5" w:rsidRDefault="00B975C5" w:rsidP="00804F42">
            <w:pPr>
              <w:rPr>
                <w:rFonts w:ascii="Arial" w:hAnsi="Arial"/>
                <w:b/>
                <w:sz w:val="28"/>
                <w:szCs w:val="28"/>
              </w:rPr>
            </w:pPr>
            <w:r w:rsidRPr="00B975C5">
              <w:rPr>
                <w:rFonts w:ascii="Arial" w:hAnsi="Arial"/>
                <w:b/>
                <w:sz w:val="28"/>
                <w:szCs w:val="28"/>
              </w:rPr>
              <w:t>Budget</w:t>
            </w:r>
          </w:p>
        </w:tc>
      </w:tr>
      <w:tr w:rsidR="0009311F" w:rsidRPr="00C9571E" w14:paraId="74DC4C9D" w14:textId="77777777" w:rsidTr="0009311F">
        <w:trPr>
          <w:trHeight w:val="3005"/>
        </w:trPr>
        <w:tc>
          <w:tcPr>
            <w:tcW w:w="6408" w:type="dxa"/>
          </w:tcPr>
          <w:p w14:paraId="7746C7F4" w14:textId="63CFA8F3" w:rsidR="00B975C5" w:rsidRPr="005E60FF" w:rsidRDefault="00B975C5" w:rsidP="005E60FF">
            <w:pPr>
              <w:widowControl w:val="0"/>
              <w:autoSpaceDE w:val="0"/>
              <w:autoSpaceDN w:val="0"/>
              <w:adjustRightInd w:val="0"/>
              <w:rPr>
                <w:rFonts w:ascii="Arial" w:eastAsia="Times New Roman" w:hAnsi="Arial" w:cs="Arial"/>
              </w:rPr>
            </w:pPr>
            <w:r w:rsidRPr="005E60FF">
              <w:rPr>
                <w:rFonts w:ascii="Arial" w:hAnsi="Arial" w:cs="Arial"/>
              </w:rPr>
              <w:lastRenderedPageBreak/>
              <w:t xml:space="preserve">24. </w:t>
            </w:r>
            <w:r w:rsidR="005E60FF" w:rsidRPr="005E60FF">
              <w:rPr>
                <w:rFonts w:ascii="Arial" w:hAnsi="Arial" w:cs="Arial"/>
              </w:rPr>
              <w:t>Proposed language has been inserted as a first attempt to address the recent determination by the CWG to ask for a continued IANA functions funding commitment in the Bylaws.  The provision reads</w:t>
            </w:r>
            <w:proofErr w:type="gramStart"/>
            <w:r w:rsidR="005E60FF" w:rsidRPr="005E60FF">
              <w:rPr>
                <w:rFonts w:ascii="Arial" w:hAnsi="Arial" w:cs="Arial"/>
              </w:rPr>
              <w:t>:</w:t>
            </w:r>
            <w:r w:rsidR="005E60FF" w:rsidRPr="005E60FF">
              <w:rPr>
                <w:rFonts w:ascii="Arial" w:hAnsi="Arial" w:cs="Arial"/>
                <w:b/>
              </w:rPr>
              <w:t xml:space="preserve">  “</w:t>
            </w:r>
            <w:proofErr w:type="gramEnd"/>
            <w:r w:rsidR="005E60FF" w:rsidRPr="005E60FF">
              <w:rPr>
                <w:rFonts w:ascii="Arial" w:eastAsia="Times New Roman" w:hAnsi="Arial" w:cs="Arial"/>
              </w:rPr>
              <w:t>To maintain ongoing operational excellence and financial stability of the IANA functions (so long as they are performed by ICANN or pursuant to contract with ICANN), ICANN shall be required to plan for and allocate funds sufficient for the future expens</w:t>
            </w:r>
            <w:r w:rsidR="0009311F">
              <w:rPr>
                <w:rFonts w:ascii="Arial" w:eastAsia="Times New Roman" w:hAnsi="Arial" w:cs="Arial"/>
              </w:rPr>
              <w:t xml:space="preserve">es and contingencies reasonably </w:t>
            </w:r>
            <w:r w:rsidR="005E60FF" w:rsidRPr="005E60FF">
              <w:rPr>
                <w:rFonts w:ascii="Arial" w:eastAsia="Times New Roman" w:hAnsi="Arial" w:cs="Arial"/>
              </w:rPr>
              <w:t>related to the performance of those functions.”.  The placement may change (currently in Section 21.4(f)).</w:t>
            </w:r>
          </w:p>
        </w:tc>
        <w:tc>
          <w:tcPr>
            <w:tcW w:w="1710" w:type="dxa"/>
          </w:tcPr>
          <w:p w14:paraId="7171D59F" w14:textId="77777777" w:rsidR="00B975C5" w:rsidRPr="00C9571E" w:rsidRDefault="00B975C5">
            <w:pPr>
              <w:rPr>
                <w:rFonts w:ascii="Arial" w:hAnsi="Arial"/>
              </w:rPr>
            </w:pPr>
          </w:p>
        </w:tc>
        <w:tc>
          <w:tcPr>
            <w:tcW w:w="6210" w:type="dxa"/>
          </w:tcPr>
          <w:p w14:paraId="30916631" w14:textId="77777777" w:rsidR="0009311F" w:rsidRDefault="0009311F" w:rsidP="0009311F">
            <w:pPr>
              <w:rPr>
                <w:rFonts w:ascii="Arial" w:hAnsi="Arial"/>
              </w:rPr>
            </w:pPr>
            <w:r>
              <w:rPr>
                <w:rFonts w:ascii="Arial" w:hAnsi="Arial"/>
              </w:rPr>
              <w:t>The</w:t>
            </w:r>
            <w:r w:rsidR="007B1192">
              <w:rPr>
                <w:rFonts w:ascii="Arial" w:hAnsi="Arial"/>
              </w:rPr>
              <w:t xml:space="preserve"> wording </w:t>
            </w:r>
            <w:r>
              <w:rPr>
                <w:rFonts w:ascii="Arial" w:hAnsi="Arial"/>
              </w:rPr>
              <w:t>recommended</w:t>
            </w:r>
            <w:r w:rsidR="007B1192">
              <w:rPr>
                <w:rFonts w:ascii="Arial" w:hAnsi="Arial"/>
              </w:rPr>
              <w:t xml:space="preserve"> </w:t>
            </w:r>
            <w:r>
              <w:rPr>
                <w:rFonts w:ascii="Arial" w:hAnsi="Arial"/>
              </w:rPr>
              <w:t>is</w:t>
            </w:r>
            <w:r w:rsidR="007B1192">
              <w:rPr>
                <w:rFonts w:ascii="Arial" w:hAnsi="Arial"/>
              </w:rPr>
              <w:t xml:space="preserve"> the following (with edits highlighted: </w:t>
            </w:r>
          </w:p>
          <w:p w14:paraId="05356862" w14:textId="77777777" w:rsidR="0009311F" w:rsidRDefault="0009311F" w:rsidP="0009311F">
            <w:pPr>
              <w:rPr>
                <w:rFonts w:ascii="Arial" w:hAnsi="Arial"/>
              </w:rPr>
            </w:pPr>
          </w:p>
          <w:p w14:paraId="371D29E0" w14:textId="550A3F90" w:rsidR="00B975C5" w:rsidRDefault="007B1192" w:rsidP="0009311F">
            <w:pPr>
              <w:rPr>
                <w:rFonts w:ascii="Arial" w:hAnsi="Arial"/>
              </w:rPr>
            </w:pPr>
            <w:r>
              <w:rPr>
                <w:rFonts w:ascii="Arial" w:hAnsi="Arial"/>
              </w:rPr>
              <w:t>“</w:t>
            </w:r>
            <w:r w:rsidRPr="007B1192">
              <w:rPr>
                <w:rFonts w:ascii="Arial" w:hAnsi="Arial" w:cs="Arial"/>
                <w:i/>
                <w:iCs/>
                <w:lang w:val="en-IE"/>
              </w:rPr>
              <w:t xml:space="preserve">To maintain ongoing operational excellence and financial stability of the IANA functions (so long as they are performed by ICANN or pursuant to contract with ICANN) </w:t>
            </w:r>
            <w:r w:rsidRPr="007B1192">
              <w:rPr>
                <w:rFonts w:ascii="Arial" w:hAnsi="Arial" w:cs="Arial"/>
                <w:i/>
                <w:iCs/>
                <w:shd w:val="clear" w:color="auto" w:fill="FFFF00"/>
                <w:lang w:val="en-IE"/>
              </w:rPr>
              <w:t>and PTI</w:t>
            </w:r>
            <w:r w:rsidRPr="007B1192">
              <w:rPr>
                <w:rFonts w:ascii="Arial" w:hAnsi="Arial" w:cs="Arial"/>
                <w:i/>
                <w:iCs/>
                <w:lang w:val="en-IE"/>
              </w:rPr>
              <w:t xml:space="preserve">, ICANN shall be required to plan for and </w:t>
            </w:r>
            <w:r w:rsidRPr="007B1192">
              <w:rPr>
                <w:rFonts w:ascii="Arial" w:hAnsi="Arial" w:cs="Arial"/>
                <w:i/>
                <w:iCs/>
                <w:shd w:val="clear" w:color="auto" w:fill="FFFF00"/>
                <w:lang w:val="en-IE"/>
              </w:rPr>
              <w:t xml:space="preserve">allocate funds to the IANA functions and PTI </w:t>
            </w:r>
            <w:r w:rsidRPr="007B1192">
              <w:rPr>
                <w:rFonts w:ascii="Arial" w:hAnsi="Arial" w:cs="Arial"/>
                <w:i/>
                <w:iCs/>
                <w:highlight w:val="magenta"/>
                <w:shd w:val="clear" w:color="auto" w:fill="FFFF00"/>
                <w:lang w:val="en-IE"/>
              </w:rPr>
              <w:t>as applicable</w:t>
            </w:r>
            <w:r w:rsidRPr="007B1192">
              <w:rPr>
                <w:rFonts w:ascii="Arial" w:hAnsi="Arial" w:cs="Arial"/>
                <w:i/>
                <w:iCs/>
                <w:shd w:val="clear" w:color="auto" w:fill="FFFF00"/>
                <w:lang w:val="en-IE"/>
              </w:rPr>
              <w:t xml:space="preserve"> that are sufficient to cover</w:t>
            </w:r>
            <w:r w:rsidRPr="007B1192">
              <w:rPr>
                <w:rFonts w:ascii="Arial" w:hAnsi="Arial" w:cs="Arial"/>
                <w:i/>
                <w:iCs/>
                <w:lang w:val="en-IE"/>
              </w:rPr>
              <w:t xml:space="preserve"> the future expenses and contingencies to ensure uninterrupted performance of those IANA functions </w:t>
            </w:r>
            <w:r w:rsidRPr="007B1192">
              <w:rPr>
                <w:rFonts w:ascii="Arial" w:hAnsi="Arial" w:cs="Arial"/>
                <w:i/>
                <w:iCs/>
                <w:shd w:val="clear" w:color="auto" w:fill="FFFF00"/>
                <w:lang w:val="en-IE"/>
              </w:rPr>
              <w:t>and PTI</w:t>
            </w:r>
            <w:r w:rsidRPr="007B1192">
              <w:rPr>
                <w:rFonts w:ascii="Arial" w:hAnsi="Arial" w:cs="Arial"/>
                <w:i/>
                <w:iCs/>
                <w:lang w:val="en-IE"/>
              </w:rPr>
              <w:t xml:space="preserve"> </w:t>
            </w:r>
            <w:r w:rsidRPr="007B1192">
              <w:rPr>
                <w:rFonts w:ascii="Arial" w:hAnsi="Arial" w:cs="Arial"/>
                <w:i/>
                <w:iCs/>
                <w:highlight w:val="cyan"/>
                <w:lang w:val="en-IE"/>
              </w:rPr>
              <w:t>in the future</w:t>
            </w:r>
            <w:r w:rsidRPr="007B1192">
              <w:rPr>
                <w:rFonts w:ascii="Arial" w:hAnsi="Arial" w:cs="Arial"/>
                <w:lang w:val="en-IE"/>
              </w:rPr>
              <w:t>.</w:t>
            </w:r>
            <w:r w:rsidRPr="007B1192">
              <w:rPr>
                <w:rFonts w:ascii="Arial" w:hAnsi="Arial" w:cs="Arial"/>
              </w:rPr>
              <w:t>”</w:t>
            </w:r>
          </w:p>
        </w:tc>
      </w:tr>
    </w:tbl>
    <w:p w14:paraId="4A394362" w14:textId="77777777" w:rsidR="007E6FEA" w:rsidRDefault="007E6FEA" w:rsidP="005E60FF"/>
    <w:p w14:paraId="0ADA324A" w14:textId="6FC7F09C" w:rsidR="00A611BC" w:rsidRDefault="00A611BC" w:rsidP="005E60FF">
      <w:pPr>
        <w:rPr>
          <w:rFonts w:ascii="Arial" w:hAnsi="Arial" w:cs="Arial"/>
        </w:rPr>
      </w:pPr>
      <w:r w:rsidRPr="00A611BC">
        <w:rPr>
          <w:rFonts w:ascii="Arial" w:hAnsi="Arial" w:cs="Arial"/>
        </w:rPr>
        <w:t>Other comments</w:t>
      </w:r>
    </w:p>
    <w:p w14:paraId="6466858F" w14:textId="77777777" w:rsidR="00A611BC" w:rsidRDefault="00A611BC" w:rsidP="005E60FF">
      <w:pPr>
        <w:rPr>
          <w:rFonts w:ascii="Arial" w:hAnsi="Arial" w:cs="Arial"/>
        </w:rPr>
      </w:pPr>
    </w:p>
    <w:p w14:paraId="18302F28" w14:textId="77777777" w:rsidR="00A611BC" w:rsidRPr="00A611BC" w:rsidRDefault="00A611BC" w:rsidP="00A611BC">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971"/>
        <w:gridCol w:w="12198"/>
      </w:tblGrid>
      <w:tr w:rsidR="00A611BC" w:rsidRPr="00A611BC" w14:paraId="2258EF8D" w14:textId="77777777" w:rsidTr="00A611B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8DDC3D" w14:textId="77777777" w:rsidR="00A611BC" w:rsidRPr="00A611BC" w:rsidRDefault="00A611BC" w:rsidP="00A611BC">
            <w:pPr>
              <w:rPr>
                <w:rFonts w:ascii="Times New Roman" w:hAnsi="Times New Roman" w:cs="Times New Roman"/>
                <w:b/>
              </w:rPr>
            </w:pPr>
            <w:r w:rsidRPr="00A611BC">
              <w:rPr>
                <w:rFonts w:ascii="Arial" w:hAnsi="Arial" w:cs="Arial"/>
                <w:b/>
                <w:color w:val="000000"/>
                <w:sz w:val="22"/>
                <w:szCs w:val="22"/>
              </w:rPr>
              <w:t>Reference Article and section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46C74E" w14:textId="77777777" w:rsidR="00A611BC" w:rsidRPr="00A611BC" w:rsidRDefault="00A611BC" w:rsidP="00A611BC">
            <w:pPr>
              <w:rPr>
                <w:rFonts w:ascii="Times New Roman" w:hAnsi="Times New Roman" w:cs="Times New Roman"/>
                <w:b/>
              </w:rPr>
            </w:pPr>
            <w:r w:rsidRPr="00A611BC">
              <w:rPr>
                <w:rFonts w:ascii="Arial" w:hAnsi="Arial" w:cs="Arial"/>
                <w:b/>
                <w:color w:val="000000"/>
                <w:sz w:val="22"/>
                <w:szCs w:val="22"/>
              </w:rPr>
              <w:t>Comment</w:t>
            </w:r>
            <w:bookmarkStart w:id="5" w:name="_GoBack"/>
            <w:bookmarkEnd w:id="5"/>
          </w:p>
        </w:tc>
      </w:tr>
      <w:tr w:rsidR="00A611BC" w:rsidRPr="00A611BC" w14:paraId="4179D4DA" w14:textId="77777777" w:rsidTr="00A611B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EAC37F"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18.2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5ABFB7"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And IFR should be delayed until one year after the end of the SIFR.  Does not make sense to hold both an IFR and SIFR at the same time</w:t>
            </w:r>
          </w:p>
        </w:tc>
      </w:tr>
      <w:tr w:rsidR="00A611BC" w:rsidRPr="00A611BC" w14:paraId="0C9DA02A" w14:textId="77777777" w:rsidTr="00A611B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E79552"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18.4 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585ABB"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“as reasonably determined by the IFRT” is repeated.  Does it need to be said twice?</w:t>
            </w:r>
          </w:p>
        </w:tc>
      </w:tr>
      <w:tr w:rsidR="00A611BC" w:rsidRPr="00A611BC" w14:paraId="1691EB67" w14:textId="77777777" w:rsidTr="00A611B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1611C6"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18.4 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B49A57"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 xml:space="preserve">Has the same redaction problem we find in other </w:t>
            </w:r>
            <w:proofErr w:type="gramStart"/>
            <w:r w:rsidRPr="00A611BC">
              <w:rPr>
                <w:rFonts w:ascii="Arial" w:hAnsi="Arial" w:cs="Arial"/>
                <w:color w:val="000000"/>
                <w:sz w:val="22"/>
                <w:szCs w:val="22"/>
              </w:rPr>
              <w:t>reviews.</w:t>
            </w:r>
            <w:proofErr w:type="gramEnd"/>
            <w:r w:rsidRPr="00A611BC">
              <w:rPr>
                <w:rFonts w:ascii="Arial" w:hAnsi="Arial" w:cs="Arial"/>
                <w:color w:val="000000"/>
                <w:sz w:val="22"/>
                <w:szCs w:val="22"/>
              </w:rPr>
              <w:t xml:space="preserve">  This should be treated in the same way as confidential information is treated in ATRT, i.e. signature of NDA (ref </w:t>
            </w:r>
            <w:r w:rsidRPr="00A611BC">
              <w:rPr>
                <w:rFonts w:ascii="Arial" w:hAnsi="Arial" w:cs="Arial"/>
                <w:color w:val="000000"/>
              </w:rPr>
              <w:t>Confidential Disclosure to Review Teams 4.6.a.vi)</w:t>
            </w:r>
            <w:r w:rsidRPr="00A611BC">
              <w:rPr>
                <w:rFonts w:ascii="Arial" w:hAnsi="Arial" w:cs="Arial"/>
                <w:color w:val="000000"/>
                <w:sz w:val="22"/>
                <w:szCs w:val="22"/>
              </w:rPr>
              <w:t xml:space="preserve">.  May need to refer to EC right of inspection as appeal mechanism </w:t>
            </w:r>
            <w:proofErr w:type="spellStart"/>
            <w:r w:rsidRPr="00A611BC">
              <w:rPr>
                <w:rFonts w:ascii="Arial" w:hAnsi="Arial" w:cs="Arial"/>
                <w:color w:val="000000"/>
                <w:sz w:val="22"/>
                <w:szCs w:val="22"/>
              </w:rPr>
              <w:t>iif</w:t>
            </w:r>
            <w:proofErr w:type="spellEnd"/>
            <w:r w:rsidRPr="00A611BC">
              <w:rPr>
                <w:rFonts w:ascii="Arial" w:hAnsi="Arial" w:cs="Arial"/>
                <w:color w:val="000000"/>
                <w:sz w:val="22"/>
                <w:szCs w:val="22"/>
              </w:rPr>
              <w:t xml:space="preserve"> NDA is not a possible solution.</w:t>
            </w:r>
          </w:p>
        </w:tc>
      </w:tr>
      <w:tr w:rsidR="00A611BC" w:rsidRPr="00A611BC" w14:paraId="41154263" w14:textId="77777777" w:rsidTr="00A611B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008231"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18.8c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8F7F58"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 xml:space="preserve">Why are the liaisons involved in selecting the </w:t>
            </w:r>
            <w:proofErr w:type="gramStart"/>
            <w:r w:rsidRPr="00A611BC">
              <w:rPr>
                <w:rFonts w:ascii="Arial" w:hAnsi="Arial" w:cs="Arial"/>
                <w:color w:val="000000"/>
                <w:sz w:val="22"/>
                <w:szCs w:val="22"/>
              </w:rPr>
              <w:t>IFRT.</w:t>
            </w:r>
            <w:proofErr w:type="gramEnd"/>
            <w:r w:rsidRPr="00A611BC">
              <w:rPr>
                <w:rFonts w:ascii="Arial" w:hAnsi="Arial" w:cs="Arial"/>
                <w:color w:val="000000"/>
                <w:sz w:val="22"/>
                <w:szCs w:val="22"/>
              </w:rPr>
              <w:t xml:space="preserve">  Does not seem appropriate.</w:t>
            </w:r>
          </w:p>
        </w:tc>
      </w:tr>
      <w:tr w:rsidR="00A611BC" w:rsidRPr="00A611BC" w14:paraId="25F776F7" w14:textId="77777777" w:rsidTr="00A611B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A0ADA0"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18.6.c.i</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31AEEA"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The language in this state machine is very difficult to parse.</w:t>
            </w:r>
          </w:p>
          <w:p w14:paraId="7F100E09"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 xml:space="preserve">Same comment applies to 18.12.c.i, 19.1.c.i and 19.4.c.i. </w:t>
            </w:r>
          </w:p>
        </w:tc>
      </w:tr>
      <w:tr w:rsidR="00A611BC" w:rsidRPr="00A611BC" w14:paraId="27E9AF22" w14:textId="77777777" w:rsidTr="00A611B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9BB9C6"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lastRenderedPageBreak/>
              <w:t>18.9 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32A4D0"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“which is where a small minority disagrees, but most agree.”  This almost makes it seem like at least one must disagree for consensus.  Could ‘disagree’ be changed to ‘may disagree’</w:t>
            </w:r>
          </w:p>
        </w:tc>
      </w:tr>
      <w:tr w:rsidR="00A611BC" w:rsidRPr="00A611BC" w14:paraId="0C33F74F" w14:textId="77777777" w:rsidTr="00A611B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F070A9"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18.9 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1EDDE9" w14:textId="77777777" w:rsidR="00A611BC" w:rsidRPr="00A611BC" w:rsidRDefault="00A611BC" w:rsidP="00A611BC">
            <w:pPr>
              <w:rPr>
                <w:rFonts w:ascii="Times New Roman" w:hAnsi="Times New Roman" w:cs="Times New Roman"/>
              </w:rPr>
            </w:pPr>
            <w:proofErr w:type="gramStart"/>
            <w:r w:rsidRPr="00A611BC">
              <w:rPr>
                <w:rFonts w:ascii="Arial" w:hAnsi="Arial" w:cs="Arial"/>
                <w:color w:val="000000"/>
                <w:sz w:val="22"/>
                <w:szCs w:val="22"/>
              </w:rPr>
              <w:t>“ If</w:t>
            </w:r>
            <w:proofErr w:type="gramEnd"/>
            <w:r w:rsidRPr="00A611BC">
              <w:rPr>
                <w:rFonts w:ascii="Arial" w:hAnsi="Arial" w:cs="Arial"/>
                <w:color w:val="000000"/>
                <w:sz w:val="22"/>
                <w:szCs w:val="22"/>
              </w:rPr>
              <w:t xml:space="preserve"> consensus cannot be reached with respect to a particular issue, actions by the majority of all of the members of the IFRT.”  Clause seems to be missing a verb, for example “actions may be taken by”</w:t>
            </w:r>
          </w:p>
        </w:tc>
      </w:tr>
      <w:tr w:rsidR="00A611BC" w:rsidRPr="00A611BC" w14:paraId="5AB1A300" w14:textId="77777777" w:rsidTr="00A611B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A34600"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19.5.xvi d iii</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2C13F99"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Why 4 with RFP experience.  Why is at least one not sufficient. Or maybe two.</w:t>
            </w:r>
          </w:p>
        </w:tc>
      </w:tr>
    </w:tbl>
    <w:p w14:paraId="4C1EA693" w14:textId="77777777" w:rsidR="00A611BC" w:rsidRPr="00A611BC" w:rsidRDefault="00A611BC" w:rsidP="005E60FF">
      <w:pPr>
        <w:rPr>
          <w:rFonts w:ascii="Arial" w:hAnsi="Arial" w:cs="Arial"/>
        </w:rPr>
      </w:pPr>
    </w:p>
    <w:sectPr w:rsidR="00A611BC" w:rsidRPr="00A611BC" w:rsidSect="00C973EB">
      <w:headerReference w:type="even" r:id="rId10"/>
      <w:headerReference w:type="default" r:id="rId11"/>
      <w:footerReference w:type="even" r:id="rId12"/>
      <w:footerReference w:type="default" r:id="rId13"/>
      <w:pgSz w:w="16839" w:h="11907" w:orient="landscape" w:code="9"/>
      <w:pgMar w:top="1440" w:right="1440" w:bottom="1440" w:left="1440" w:header="720" w:footer="720" w:gutter="0"/>
      <w:cols w:space="720"/>
      <w:noEndnote/>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race Abuhamad" w:date="2016-04-09T07:31:00Z" w:initials="GA">
    <w:p w14:paraId="5847E19A" w14:textId="1D3096F0" w:rsidR="00CE0DF0" w:rsidRPr="00CE0DF0" w:rsidRDefault="00CE0DF0" w:rsidP="00CE0DF0">
      <w:pPr>
        <w:rPr>
          <w:rFonts w:ascii="Times New Roman" w:eastAsia="Times New Roman" w:hAnsi="Times New Roman" w:cs="Times New Roman"/>
        </w:rPr>
      </w:pPr>
      <w:r>
        <w:rPr>
          <w:rStyle w:val="CommentReference"/>
        </w:rPr>
        <w:annotationRef/>
      </w:r>
      <w:r w:rsidRPr="00CE0DF0">
        <w:rPr>
          <w:rFonts w:ascii="Arial" w:eastAsia="Times New Roman" w:hAnsi="Arial" w:cs="Arial"/>
          <w:color w:val="333333"/>
          <w:sz w:val="20"/>
          <w:szCs w:val="20"/>
          <w:shd w:val="clear" w:color="auto" w:fill="FFFFFF"/>
        </w:rPr>
        <w:t xml:space="preserve">I don't think we should use this phrase. The exact response is what I believe should be provided as there is no need for argument. Direct consumers </w:t>
      </w:r>
      <w:proofErr w:type="gramStart"/>
      <w:r w:rsidRPr="00CE0DF0">
        <w:rPr>
          <w:rFonts w:ascii="Arial" w:eastAsia="Times New Roman" w:hAnsi="Arial" w:cs="Arial"/>
          <w:color w:val="333333"/>
          <w:sz w:val="20"/>
          <w:szCs w:val="20"/>
          <w:shd w:val="clear" w:color="auto" w:fill="FFFFFF"/>
        </w:rPr>
        <w:t>has</w:t>
      </w:r>
      <w:proofErr w:type="gramEnd"/>
      <w:r w:rsidRPr="00CE0DF0">
        <w:rPr>
          <w:rFonts w:ascii="Arial" w:eastAsia="Times New Roman" w:hAnsi="Arial" w:cs="Arial"/>
          <w:color w:val="333333"/>
          <w:sz w:val="20"/>
          <w:szCs w:val="20"/>
          <w:shd w:val="clear" w:color="auto" w:fill="FFFFFF"/>
        </w:rPr>
        <w:t xml:space="preserve"> been defined and the subsequent one is description of IANA consumers which you have rightly mentioned to the users of DNS</w:t>
      </w:r>
    </w:p>
  </w:comment>
  <w:comment w:id="4" w:author="Grace Abuhamad" w:date="2016-04-09T07:33:00Z" w:initials="GA">
    <w:p w14:paraId="7B6F023A" w14:textId="4554C483" w:rsidR="00CE0DF0" w:rsidRPr="00CE0DF0" w:rsidRDefault="00CE0DF0" w:rsidP="00CE0DF0">
      <w:pPr>
        <w:rPr>
          <w:rFonts w:ascii="Times New Roman" w:eastAsia="Times New Roman" w:hAnsi="Times New Roman" w:cs="Times New Roman"/>
        </w:rPr>
      </w:pPr>
      <w:r>
        <w:rPr>
          <w:rStyle w:val="CommentReference"/>
        </w:rPr>
        <w:annotationRef/>
      </w:r>
      <w:r w:rsidRPr="00CE0DF0">
        <w:rPr>
          <w:rFonts w:ascii="Arial" w:eastAsia="Times New Roman" w:hAnsi="Arial" w:cs="Arial"/>
          <w:color w:val="333333"/>
          <w:sz w:val="20"/>
          <w:szCs w:val="20"/>
          <w:shd w:val="clear" w:color="auto" w:fill="FFFFFF"/>
        </w:rPr>
        <w:t>Is this response based on the premise that it's according to the CWG proposal? Could not find that reference in our proposal. Could you consider referencing this.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47E19A" w15:done="0"/>
  <w15:commentEx w15:paraId="7B6F023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A5225" w14:textId="77777777" w:rsidR="00666951" w:rsidRDefault="00666951" w:rsidP="00805206">
      <w:r>
        <w:separator/>
      </w:r>
    </w:p>
  </w:endnote>
  <w:endnote w:type="continuationSeparator" w:id="0">
    <w:p w14:paraId="630733B0" w14:textId="77777777" w:rsidR="00666951" w:rsidRDefault="00666951" w:rsidP="0080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6DF0D" w14:textId="77777777" w:rsidR="00166C04" w:rsidRDefault="00166C04" w:rsidP="008359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D5E48" w14:textId="77777777" w:rsidR="00166C04" w:rsidRDefault="00166C04" w:rsidP="00F03A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F6EB5" w14:textId="77777777" w:rsidR="00166C04" w:rsidRDefault="00166C04" w:rsidP="00F03A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11BC">
      <w:rPr>
        <w:rStyle w:val="PageNumber"/>
        <w:noProof/>
      </w:rPr>
      <w:t>1</w:t>
    </w:r>
    <w:r>
      <w:rPr>
        <w:rStyle w:val="PageNumber"/>
      </w:rPr>
      <w:fldChar w:fldCharType="end"/>
    </w:r>
  </w:p>
  <w:p w14:paraId="2CC5A45E" w14:textId="77777777" w:rsidR="00166C04" w:rsidRDefault="00166C04" w:rsidP="00F03A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C4B9E" w14:textId="77777777" w:rsidR="00666951" w:rsidRDefault="00666951" w:rsidP="00805206">
      <w:r>
        <w:separator/>
      </w:r>
    </w:p>
  </w:footnote>
  <w:footnote w:type="continuationSeparator" w:id="0">
    <w:p w14:paraId="3BDC18A7" w14:textId="77777777" w:rsidR="00666951" w:rsidRDefault="00666951" w:rsidP="008052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0D19B" w14:textId="77777777" w:rsidR="00166C04" w:rsidRDefault="00666951">
    <w:pPr>
      <w:pStyle w:val="Header"/>
    </w:pPr>
    <w:sdt>
      <w:sdtPr>
        <w:id w:val="171999623"/>
        <w:placeholder>
          <w:docPart w:val="652947A10EB3AD4EB987327E2B2FD385"/>
        </w:placeholder>
        <w:temporary/>
        <w:showingPlcHdr/>
      </w:sdtPr>
      <w:sdtEndPr/>
      <w:sdtContent>
        <w:r w:rsidR="00166C04">
          <w:t>[Type text]</w:t>
        </w:r>
      </w:sdtContent>
    </w:sdt>
    <w:r w:rsidR="00166C04">
      <w:ptab w:relativeTo="margin" w:alignment="center" w:leader="none"/>
    </w:r>
    <w:sdt>
      <w:sdtPr>
        <w:id w:val="171999624"/>
        <w:placeholder>
          <w:docPart w:val="7BE88FC144771B4F967418E130893A52"/>
        </w:placeholder>
        <w:temporary/>
        <w:showingPlcHdr/>
      </w:sdtPr>
      <w:sdtEndPr/>
      <w:sdtContent>
        <w:r w:rsidR="00166C04">
          <w:t>[Type text]</w:t>
        </w:r>
      </w:sdtContent>
    </w:sdt>
    <w:r w:rsidR="00166C04">
      <w:ptab w:relativeTo="margin" w:alignment="right" w:leader="none"/>
    </w:r>
    <w:sdt>
      <w:sdtPr>
        <w:id w:val="171999625"/>
        <w:placeholder>
          <w:docPart w:val="FD8D4CD6B48C484AB8490D04BC2CCE41"/>
        </w:placeholder>
        <w:temporary/>
        <w:showingPlcHdr/>
      </w:sdtPr>
      <w:sdtEndPr/>
      <w:sdtContent>
        <w:r w:rsidR="00166C04">
          <w:t>[Type text]</w:t>
        </w:r>
      </w:sdtContent>
    </w:sdt>
  </w:p>
  <w:p w14:paraId="1049C4F9" w14:textId="77777777" w:rsidR="00166C04" w:rsidRDefault="00166C0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6739E" w14:textId="074E63A2" w:rsidR="00166C04" w:rsidRPr="00805206" w:rsidRDefault="00166C04">
    <w:pPr>
      <w:pStyle w:val="Header"/>
      <w:rPr>
        <w:rFonts w:ascii="Arial" w:hAnsi="Arial" w:cs="Arial"/>
      </w:rPr>
    </w:pPr>
    <w:r w:rsidRPr="00805206">
      <w:rPr>
        <w:rFonts w:ascii="Arial" w:hAnsi="Arial" w:cs="Arial"/>
        <w:i/>
        <w:color w:val="FF0000"/>
      </w:rPr>
      <w:t>Draft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975C5">
      <w:rPr>
        <w:rFonts w:ascii="Arial" w:hAnsi="Arial" w:cs="Arial"/>
      </w:rPr>
      <w:t>4 April</w:t>
    </w:r>
    <w:r>
      <w:rPr>
        <w:rFonts w:ascii="Arial" w:hAnsi="Arial" w:cs="Arial"/>
      </w:rPr>
      <w:t xml:space="preserve"> 2016</w:t>
    </w:r>
  </w:p>
  <w:p w14:paraId="6497BB8E" w14:textId="77777777" w:rsidR="00166C04" w:rsidRDefault="00166C0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A105FB"/>
    <w:multiLevelType w:val="hybridMultilevel"/>
    <w:tmpl w:val="F7E6C6A2"/>
    <w:lvl w:ilvl="0" w:tplc="BA025B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1F0054"/>
    <w:multiLevelType w:val="hybridMultilevel"/>
    <w:tmpl w:val="74D0C8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3CB369D3"/>
    <w:multiLevelType w:val="hybridMultilevel"/>
    <w:tmpl w:val="0D40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576475"/>
    <w:multiLevelType w:val="hybridMultilevel"/>
    <w:tmpl w:val="355C723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466011B1"/>
    <w:multiLevelType w:val="hybridMultilevel"/>
    <w:tmpl w:val="FAB0DECA"/>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0A6105"/>
    <w:multiLevelType w:val="hybridMultilevel"/>
    <w:tmpl w:val="F7E6C6A2"/>
    <w:name w:val="zzmpARTACAP||ARTICLE A CAP|2|1|1|3|2|41||3|2|41||1|0|0||1|0|0||3|2|0||1|0|0||1|0|0||1|0|0||1|0|0||"/>
    <w:lvl w:ilvl="0" w:tplc="BA025B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EE3B75"/>
    <w:multiLevelType w:val="hybridMultilevel"/>
    <w:tmpl w:val="FADC69FE"/>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5F3A9B"/>
    <w:multiLevelType w:val="hybridMultilevel"/>
    <w:tmpl w:val="FB1AAD9E"/>
    <w:lvl w:ilvl="0" w:tplc="0B8AF586">
      <w:start w:val="1"/>
      <w:numFmt w:val="decimalZero"/>
      <w:pStyle w:val="NoSpacing"/>
      <w:lvlText w:val="%1"/>
      <w:lvlJc w:val="left"/>
      <w:pPr>
        <w:ind w:left="720" w:hanging="72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740A73C8"/>
    <w:multiLevelType w:val="hybridMultilevel"/>
    <w:tmpl w:val="43906B2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3"/>
  </w:num>
  <w:num w:numId="5">
    <w:abstractNumId w:val="1"/>
  </w:num>
  <w:num w:numId="6">
    <w:abstractNumId w:val="8"/>
  </w:num>
  <w:num w:numId="7">
    <w:abstractNumId w:val="2"/>
  </w:num>
  <w:num w:numId="8">
    <w:abstractNumId w:val="5"/>
  </w:num>
  <w:num w:numId="9">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ce Abuhamad">
    <w15:presenceInfo w15:providerId="None" w15:userId="Grace Abuha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1E"/>
    <w:rsid w:val="0001545C"/>
    <w:rsid w:val="00082BCA"/>
    <w:rsid w:val="0009311F"/>
    <w:rsid w:val="000A4D51"/>
    <w:rsid w:val="000B7F10"/>
    <w:rsid w:val="000D5ACE"/>
    <w:rsid w:val="00101393"/>
    <w:rsid w:val="00101725"/>
    <w:rsid w:val="00113F6E"/>
    <w:rsid w:val="001558EE"/>
    <w:rsid w:val="00166C04"/>
    <w:rsid w:val="00197598"/>
    <w:rsid w:val="001D2452"/>
    <w:rsid w:val="001E3051"/>
    <w:rsid w:val="002507DB"/>
    <w:rsid w:val="00282238"/>
    <w:rsid w:val="002825A1"/>
    <w:rsid w:val="00293A16"/>
    <w:rsid w:val="002C293C"/>
    <w:rsid w:val="002E7B66"/>
    <w:rsid w:val="002F28CE"/>
    <w:rsid w:val="002F4E6F"/>
    <w:rsid w:val="003007A0"/>
    <w:rsid w:val="0038099A"/>
    <w:rsid w:val="003C1D80"/>
    <w:rsid w:val="004077AD"/>
    <w:rsid w:val="00424D81"/>
    <w:rsid w:val="00425CAF"/>
    <w:rsid w:val="00441117"/>
    <w:rsid w:val="00452017"/>
    <w:rsid w:val="00455A17"/>
    <w:rsid w:val="004578B0"/>
    <w:rsid w:val="004842B2"/>
    <w:rsid w:val="004C06AC"/>
    <w:rsid w:val="004D524B"/>
    <w:rsid w:val="004F18C3"/>
    <w:rsid w:val="004F5028"/>
    <w:rsid w:val="0050332F"/>
    <w:rsid w:val="00507982"/>
    <w:rsid w:val="00522CE9"/>
    <w:rsid w:val="005238F2"/>
    <w:rsid w:val="005849D6"/>
    <w:rsid w:val="005B317F"/>
    <w:rsid w:val="005E60FF"/>
    <w:rsid w:val="00635BD2"/>
    <w:rsid w:val="006519D0"/>
    <w:rsid w:val="00666951"/>
    <w:rsid w:val="00675F9A"/>
    <w:rsid w:val="00696C90"/>
    <w:rsid w:val="0069758E"/>
    <w:rsid w:val="006B2B77"/>
    <w:rsid w:val="006E4C3F"/>
    <w:rsid w:val="006E4ED4"/>
    <w:rsid w:val="00716D22"/>
    <w:rsid w:val="007A4207"/>
    <w:rsid w:val="007B1192"/>
    <w:rsid w:val="007E6FEA"/>
    <w:rsid w:val="007F4954"/>
    <w:rsid w:val="00804F42"/>
    <w:rsid w:val="00805206"/>
    <w:rsid w:val="00835944"/>
    <w:rsid w:val="00842915"/>
    <w:rsid w:val="00843CC6"/>
    <w:rsid w:val="00847D03"/>
    <w:rsid w:val="008B4283"/>
    <w:rsid w:val="008C6736"/>
    <w:rsid w:val="0095158E"/>
    <w:rsid w:val="00952449"/>
    <w:rsid w:val="00955829"/>
    <w:rsid w:val="00987C07"/>
    <w:rsid w:val="00996E51"/>
    <w:rsid w:val="00A02403"/>
    <w:rsid w:val="00A22667"/>
    <w:rsid w:val="00A41B71"/>
    <w:rsid w:val="00A44081"/>
    <w:rsid w:val="00A611BC"/>
    <w:rsid w:val="00A841AD"/>
    <w:rsid w:val="00A92E90"/>
    <w:rsid w:val="00AB1CE3"/>
    <w:rsid w:val="00AE49A8"/>
    <w:rsid w:val="00B259EE"/>
    <w:rsid w:val="00B41D46"/>
    <w:rsid w:val="00B633E8"/>
    <w:rsid w:val="00B7557B"/>
    <w:rsid w:val="00B827E5"/>
    <w:rsid w:val="00B90C4F"/>
    <w:rsid w:val="00B975C5"/>
    <w:rsid w:val="00BB1D3F"/>
    <w:rsid w:val="00BC7793"/>
    <w:rsid w:val="00BF7B86"/>
    <w:rsid w:val="00C00D73"/>
    <w:rsid w:val="00C110C6"/>
    <w:rsid w:val="00C52696"/>
    <w:rsid w:val="00C80573"/>
    <w:rsid w:val="00C9061C"/>
    <w:rsid w:val="00C9571E"/>
    <w:rsid w:val="00C96025"/>
    <w:rsid w:val="00C973EB"/>
    <w:rsid w:val="00CA2487"/>
    <w:rsid w:val="00CD6080"/>
    <w:rsid w:val="00CE0DF0"/>
    <w:rsid w:val="00CE5828"/>
    <w:rsid w:val="00D22B09"/>
    <w:rsid w:val="00D244DC"/>
    <w:rsid w:val="00D256B3"/>
    <w:rsid w:val="00D32BE4"/>
    <w:rsid w:val="00D454E2"/>
    <w:rsid w:val="00D64CE2"/>
    <w:rsid w:val="00D835F2"/>
    <w:rsid w:val="00DB786C"/>
    <w:rsid w:val="00DE4622"/>
    <w:rsid w:val="00E44E68"/>
    <w:rsid w:val="00E47701"/>
    <w:rsid w:val="00E50B2B"/>
    <w:rsid w:val="00E51A59"/>
    <w:rsid w:val="00E60EE6"/>
    <w:rsid w:val="00E84799"/>
    <w:rsid w:val="00ED7CA1"/>
    <w:rsid w:val="00F03AFC"/>
    <w:rsid w:val="00F06BBA"/>
    <w:rsid w:val="00F17190"/>
    <w:rsid w:val="00F25EC5"/>
    <w:rsid w:val="00F2671F"/>
    <w:rsid w:val="00F31FEF"/>
    <w:rsid w:val="00F37D81"/>
    <w:rsid w:val="00F45B14"/>
    <w:rsid w:val="00F63341"/>
    <w:rsid w:val="00F771B4"/>
    <w:rsid w:val="00F8608E"/>
    <w:rsid w:val="00F9151C"/>
    <w:rsid w:val="00F94CAA"/>
    <w:rsid w:val="00FA7DF0"/>
    <w:rsid w:val="00FB6B04"/>
    <w:rsid w:val="00FE21C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7922D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206"/>
    <w:pPr>
      <w:tabs>
        <w:tab w:val="center" w:pos="4320"/>
        <w:tab w:val="right" w:pos="8640"/>
      </w:tabs>
    </w:pPr>
  </w:style>
  <w:style w:type="character" w:customStyle="1" w:styleId="HeaderChar">
    <w:name w:val="Header Char"/>
    <w:basedOn w:val="DefaultParagraphFont"/>
    <w:link w:val="Header"/>
    <w:uiPriority w:val="99"/>
    <w:rsid w:val="00805206"/>
  </w:style>
  <w:style w:type="paragraph" w:styleId="Footer">
    <w:name w:val="footer"/>
    <w:basedOn w:val="Normal"/>
    <w:link w:val="FooterChar"/>
    <w:uiPriority w:val="99"/>
    <w:unhideWhenUsed/>
    <w:rsid w:val="00805206"/>
    <w:pPr>
      <w:tabs>
        <w:tab w:val="center" w:pos="4320"/>
        <w:tab w:val="right" w:pos="8640"/>
      </w:tabs>
    </w:pPr>
  </w:style>
  <w:style w:type="character" w:customStyle="1" w:styleId="FooterChar">
    <w:name w:val="Footer Char"/>
    <w:basedOn w:val="DefaultParagraphFont"/>
    <w:link w:val="Footer"/>
    <w:uiPriority w:val="99"/>
    <w:rsid w:val="00805206"/>
  </w:style>
  <w:style w:type="paragraph" w:styleId="NoSpacing">
    <w:name w:val="No Spacing"/>
    <w:aliases w:val="Paragraph Numbering"/>
    <w:uiPriority w:val="1"/>
    <w:qFormat/>
    <w:rsid w:val="00D256B3"/>
    <w:pPr>
      <w:numPr>
        <w:numId w:val="1"/>
      </w:numPr>
      <w:spacing w:before="120" w:after="240"/>
    </w:pPr>
    <w:rPr>
      <w:rFonts w:ascii="Helvetica" w:eastAsia="MS Mincho" w:hAnsi="Helvetica" w:cs="Times New Roman"/>
      <w:color w:val="000000"/>
      <w:sz w:val="22"/>
      <w:szCs w:val="22"/>
      <w:lang w:val="en-CA" w:eastAsia="en-CA"/>
    </w:rPr>
  </w:style>
  <w:style w:type="character" w:styleId="CommentReference">
    <w:name w:val="annotation reference"/>
    <w:basedOn w:val="DefaultParagraphFont"/>
    <w:uiPriority w:val="99"/>
    <w:semiHidden/>
    <w:unhideWhenUsed/>
    <w:rsid w:val="00507982"/>
    <w:rPr>
      <w:sz w:val="16"/>
      <w:szCs w:val="16"/>
    </w:rPr>
  </w:style>
  <w:style w:type="paragraph" w:styleId="CommentText">
    <w:name w:val="annotation text"/>
    <w:basedOn w:val="Normal"/>
    <w:link w:val="CommentTextChar"/>
    <w:uiPriority w:val="99"/>
    <w:semiHidden/>
    <w:unhideWhenUsed/>
    <w:rsid w:val="00507982"/>
    <w:rPr>
      <w:sz w:val="20"/>
      <w:szCs w:val="20"/>
    </w:rPr>
  </w:style>
  <w:style w:type="character" w:customStyle="1" w:styleId="CommentTextChar">
    <w:name w:val="Comment Text Char"/>
    <w:basedOn w:val="DefaultParagraphFont"/>
    <w:link w:val="CommentText"/>
    <w:uiPriority w:val="99"/>
    <w:semiHidden/>
    <w:rsid w:val="00507982"/>
    <w:rPr>
      <w:sz w:val="20"/>
      <w:szCs w:val="20"/>
    </w:rPr>
  </w:style>
  <w:style w:type="paragraph" w:styleId="CommentSubject">
    <w:name w:val="annotation subject"/>
    <w:basedOn w:val="CommentText"/>
    <w:next w:val="CommentText"/>
    <w:link w:val="CommentSubjectChar"/>
    <w:uiPriority w:val="99"/>
    <w:semiHidden/>
    <w:unhideWhenUsed/>
    <w:rsid w:val="00507982"/>
    <w:rPr>
      <w:b/>
      <w:bCs/>
    </w:rPr>
  </w:style>
  <w:style w:type="character" w:customStyle="1" w:styleId="CommentSubjectChar">
    <w:name w:val="Comment Subject Char"/>
    <w:basedOn w:val="CommentTextChar"/>
    <w:link w:val="CommentSubject"/>
    <w:uiPriority w:val="99"/>
    <w:semiHidden/>
    <w:rsid w:val="00507982"/>
    <w:rPr>
      <w:b/>
      <w:bCs/>
      <w:sz w:val="20"/>
      <w:szCs w:val="20"/>
    </w:rPr>
  </w:style>
  <w:style w:type="paragraph" w:styleId="BalloonText">
    <w:name w:val="Balloon Text"/>
    <w:basedOn w:val="Normal"/>
    <w:link w:val="BalloonTextChar"/>
    <w:uiPriority w:val="99"/>
    <w:semiHidden/>
    <w:unhideWhenUsed/>
    <w:rsid w:val="00507982"/>
    <w:rPr>
      <w:rFonts w:ascii="Tahoma" w:hAnsi="Tahoma" w:cs="Tahoma"/>
      <w:sz w:val="16"/>
      <w:szCs w:val="16"/>
    </w:rPr>
  </w:style>
  <w:style w:type="character" w:customStyle="1" w:styleId="BalloonTextChar">
    <w:name w:val="Balloon Text Char"/>
    <w:basedOn w:val="DefaultParagraphFont"/>
    <w:link w:val="BalloonText"/>
    <w:uiPriority w:val="99"/>
    <w:semiHidden/>
    <w:rsid w:val="00507982"/>
    <w:rPr>
      <w:rFonts w:ascii="Tahoma" w:hAnsi="Tahoma" w:cs="Tahoma"/>
      <w:sz w:val="16"/>
      <w:szCs w:val="16"/>
    </w:rPr>
  </w:style>
  <w:style w:type="paragraph" w:styleId="ListParagraph">
    <w:name w:val="List Paragraph"/>
    <w:basedOn w:val="Normal"/>
    <w:uiPriority w:val="34"/>
    <w:qFormat/>
    <w:rsid w:val="0095158E"/>
    <w:pPr>
      <w:spacing w:after="200" w:line="276" w:lineRule="auto"/>
      <w:ind w:left="720"/>
      <w:contextualSpacing/>
    </w:pPr>
    <w:rPr>
      <w:rFonts w:eastAsiaTheme="minorHAnsi"/>
      <w:sz w:val="22"/>
      <w:szCs w:val="22"/>
    </w:rPr>
  </w:style>
  <w:style w:type="paragraph" w:styleId="Revision">
    <w:name w:val="Revision"/>
    <w:hidden/>
    <w:uiPriority w:val="99"/>
    <w:semiHidden/>
    <w:rsid w:val="002E7B66"/>
  </w:style>
  <w:style w:type="character" w:styleId="PageNumber">
    <w:name w:val="page number"/>
    <w:basedOn w:val="DefaultParagraphFont"/>
    <w:uiPriority w:val="99"/>
    <w:semiHidden/>
    <w:unhideWhenUsed/>
    <w:rsid w:val="00F03AFC"/>
  </w:style>
  <w:style w:type="paragraph" w:styleId="BodyText">
    <w:name w:val="Body Text"/>
    <w:basedOn w:val="Normal"/>
    <w:link w:val="BodyTextChar"/>
    <w:uiPriority w:val="99"/>
    <w:semiHidden/>
    <w:unhideWhenUsed/>
    <w:rsid w:val="005E60FF"/>
    <w:pPr>
      <w:spacing w:after="120"/>
    </w:pPr>
  </w:style>
  <w:style w:type="character" w:customStyle="1" w:styleId="BodyTextChar">
    <w:name w:val="Body Text Char"/>
    <w:basedOn w:val="DefaultParagraphFont"/>
    <w:link w:val="BodyText"/>
    <w:uiPriority w:val="99"/>
    <w:semiHidden/>
    <w:rsid w:val="005E60FF"/>
  </w:style>
  <w:style w:type="paragraph" w:styleId="NormalWeb">
    <w:name w:val="Normal (Web)"/>
    <w:basedOn w:val="Normal"/>
    <w:uiPriority w:val="99"/>
    <w:semiHidden/>
    <w:unhideWhenUsed/>
    <w:rsid w:val="00A611BC"/>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8432">
      <w:bodyDiv w:val="1"/>
      <w:marLeft w:val="0"/>
      <w:marRight w:val="0"/>
      <w:marTop w:val="0"/>
      <w:marBottom w:val="0"/>
      <w:divBdr>
        <w:top w:val="none" w:sz="0" w:space="0" w:color="auto"/>
        <w:left w:val="none" w:sz="0" w:space="0" w:color="auto"/>
        <w:bottom w:val="none" w:sz="0" w:space="0" w:color="auto"/>
        <w:right w:val="none" w:sz="0" w:space="0" w:color="auto"/>
      </w:divBdr>
      <w:divsChild>
        <w:div w:id="1548685376">
          <w:marLeft w:val="0"/>
          <w:marRight w:val="0"/>
          <w:marTop w:val="0"/>
          <w:marBottom w:val="0"/>
          <w:divBdr>
            <w:top w:val="none" w:sz="0" w:space="0" w:color="auto"/>
            <w:left w:val="none" w:sz="0" w:space="0" w:color="auto"/>
            <w:bottom w:val="none" w:sz="0" w:space="0" w:color="auto"/>
            <w:right w:val="none" w:sz="0" w:space="0" w:color="auto"/>
          </w:divBdr>
        </w:div>
      </w:divsChild>
    </w:div>
    <w:div w:id="198053678">
      <w:bodyDiv w:val="1"/>
      <w:marLeft w:val="0"/>
      <w:marRight w:val="0"/>
      <w:marTop w:val="0"/>
      <w:marBottom w:val="0"/>
      <w:divBdr>
        <w:top w:val="none" w:sz="0" w:space="0" w:color="auto"/>
        <w:left w:val="none" w:sz="0" w:space="0" w:color="auto"/>
        <w:bottom w:val="none" w:sz="0" w:space="0" w:color="auto"/>
        <w:right w:val="none" w:sz="0" w:space="0" w:color="auto"/>
      </w:divBdr>
    </w:div>
    <w:div w:id="587931636">
      <w:bodyDiv w:val="1"/>
      <w:marLeft w:val="0"/>
      <w:marRight w:val="0"/>
      <w:marTop w:val="0"/>
      <w:marBottom w:val="0"/>
      <w:divBdr>
        <w:top w:val="none" w:sz="0" w:space="0" w:color="auto"/>
        <w:left w:val="none" w:sz="0" w:space="0" w:color="auto"/>
        <w:bottom w:val="none" w:sz="0" w:space="0" w:color="auto"/>
        <w:right w:val="none" w:sz="0" w:space="0" w:color="auto"/>
      </w:divBdr>
    </w:div>
    <w:div w:id="1240360836">
      <w:bodyDiv w:val="1"/>
      <w:marLeft w:val="0"/>
      <w:marRight w:val="0"/>
      <w:marTop w:val="0"/>
      <w:marBottom w:val="0"/>
      <w:divBdr>
        <w:top w:val="none" w:sz="0" w:space="0" w:color="auto"/>
        <w:left w:val="none" w:sz="0" w:space="0" w:color="auto"/>
        <w:bottom w:val="none" w:sz="0" w:space="0" w:color="auto"/>
        <w:right w:val="none" w:sz="0" w:space="0" w:color="auto"/>
      </w:divBdr>
    </w:div>
    <w:div w:id="1366177217">
      <w:bodyDiv w:val="1"/>
      <w:marLeft w:val="0"/>
      <w:marRight w:val="0"/>
      <w:marTop w:val="0"/>
      <w:marBottom w:val="0"/>
      <w:divBdr>
        <w:top w:val="none" w:sz="0" w:space="0" w:color="auto"/>
        <w:left w:val="none" w:sz="0" w:space="0" w:color="auto"/>
        <w:bottom w:val="none" w:sz="0" w:space="0" w:color="auto"/>
        <w:right w:val="none" w:sz="0" w:space="0" w:color="auto"/>
      </w:divBdr>
    </w:div>
    <w:div w:id="1552810852">
      <w:bodyDiv w:val="1"/>
      <w:marLeft w:val="0"/>
      <w:marRight w:val="0"/>
      <w:marTop w:val="0"/>
      <w:marBottom w:val="0"/>
      <w:divBdr>
        <w:top w:val="none" w:sz="0" w:space="0" w:color="auto"/>
        <w:left w:val="none" w:sz="0" w:space="0" w:color="auto"/>
        <w:bottom w:val="none" w:sz="0" w:space="0" w:color="auto"/>
        <w:right w:val="none" w:sz="0" w:space="0" w:color="auto"/>
      </w:divBdr>
    </w:div>
    <w:div w:id="1741172086">
      <w:bodyDiv w:val="1"/>
      <w:marLeft w:val="0"/>
      <w:marRight w:val="0"/>
      <w:marTop w:val="0"/>
      <w:marBottom w:val="0"/>
      <w:divBdr>
        <w:top w:val="none" w:sz="0" w:space="0" w:color="auto"/>
        <w:left w:val="none" w:sz="0" w:space="0" w:color="auto"/>
        <w:bottom w:val="none" w:sz="0" w:space="0" w:color="auto"/>
        <w:right w:val="none" w:sz="0" w:space="0" w:color="auto"/>
      </w:divBdr>
    </w:div>
    <w:div w:id="18567706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2947A10EB3AD4EB987327E2B2FD385"/>
        <w:category>
          <w:name w:val="General"/>
          <w:gallery w:val="placeholder"/>
        </w:category>
        <w:types>
          <w:type w:val="bbPlcHdr"/>
        </w:types>
        <w:behaviors>
          <w:behavior w:val="content"/>
        </w:behaviors>
        <w:guid w:val="{AB6F534E-2E5A-434D-9F30-A582633EA374}"/>
      </w:docPartPr>
      <w:docPartBody>
        <w:p w:rsidR="007876A9" w:rsidRDefault="00F803C7" w:rsidP="00F803C7">
          <w:pPr>
            <w:pStyle w:val="652947A10EB3AD4EB987327E2B2FD385"/>
          </w:pPr>
          <w:r>
            <w:t>[Type text]</w:t>
          </w:r>
        </w:p>
      </w:docPartBody>
    </w:docPart>
    <w:docPart>
      <w:docPartPr>
        <w:name w:val="7BE88FC144771B4F967418E130893A52"/>
        <w:category>
          <w:name w:val="General"/>
          <w:gallery w:val="placeholder"/>
        </w:category>
        <w:types>
          <w:type w:val="bbPlcHdr"/>
        </w:types>
        <w:behaviors>
          <w:behavior w:val="content"/>
        </w:behaviors>
        <w:guid w:val="{6DF2E12F-F5FC-1C40-BA08-1BDDB0749289}"/>
      </w:docPartPr>
      <w:docPartBody>
        <w:p w:rsidR="007876A9" w:rsidRDefault="00F803C7" w:rsidP="00F803C7">
          <w:pPr>
            <w:pStyle w:val="7BE88FC144771B4F967418E130893A52"/>
          </w:pPr>
          <w:r>
            <w:t>[Type text]</w:t>
          </w:r>
        </w:p>
      </w:docPartBody>
    </w:docPart>
    <w:docPart>
      <w:docPartPr>
        <w:name w:val="FD8D4CD6B48C484AB8490D04BC2CCE41"/>
        <w:category>
          <w:name w:val="General"/>
          <w:gallery w:val="placeholder"/>
        </w:category>
        <w:types>
          <w:type w:val="bbPlcHdr"/>
        </w:types>
        <w:behaviors>
          <w:behavior w:val="content"/>
        </w:behaviors>
        <w:guid w:val="{AF80378A-41D4-454E-B464-A494B8270BDC}"/>
      </w:docPartPr>
      <w:docPartBody>
        <w:p w:rsidR="007876A9" w:rsidRDefault="00F803C7" w:rsidP="00F803C7">
          <w:pPr>
            <w:pStyle w:val="FD8D4CD6B48C484AB8490D04BC2CCE4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C7"/>
    <w:rsid w:val="00131258"/>
    <w:rsid w:val="00151428"/>
    <w:rsid w:val="001E6648"/>
    <w:rsid w:val="004056E3"/>
    <w:rsid w:val="00460F1D"/>
    <w:rsid w:val="005575C8"/>
    <w:rsid w:val="00573D1A"/>
    <w:rsid w:val="005C7D46"/>
    <w:rsid w:val="00685F21"/>
    <w:rsid w:val="007876A9"/>
    <w:rsid w:val="00B340DD"/>
    <w:rsid w:val="00D227DE"/>
    <w:rsid w:val="00E0685A"/>
    <w:rsid w:val="00F803C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47A10EB3AD4EB987327E2B2FD385">
    <w:name w:val="652947A10EB3AD4EB987327E2B2FD385"/>
    <w:rsid w:val="00F803C7"/>
  </w:style>
  <w:style w:type="paragraph" w:customStyle="1" w:styleId="7BE88FC144771B4F967418E130893A52">
    <w:name w:val="7BE88FC144771B4F967418E130893A52"/>
    <w:rsid w:val="00F803C7"/>
  </w:style>
  <w:style w:type="paragraph" w:customStyle="1" w:styleId="FD8D4CD6B48C484AB8490D04BC2CCE41">
    <w:name w:val="FD8D4CD6B48C484AB8490D04BC2CCE41"/>
    <w:rsid w:val="00F803C7"/>
  </w:style>
  <w:style w:type="paragraph" w:customStyle="1" w:styleId="EABD40A463EF85449179CAF57EF1820A">
    <w:name w:val="EABD40A463EF85449179CAF57EF1820A"/>
    <w:rsid w:val="00F803C7"/>
  </w:style>
  <w:style w:type="paragraph" w:customStyle="1" w:styleId="AAEAC68FC52E9443AAB2973E956B5FA7">
    <w:name w:val="AAEAC68FC52E9443AAB2973E956B5FA7"/>
    <w:rsid w:val="00F803C7"/>
  </w:style>
  <w:style w:type="paragraph" w:customStyle="1" w:styleId="68D5E4A58352C649A0AE9372A7AFC157">
    <w:name w:val="68D5E4A58352C649A0AE9372A7AFC157"/>
    <w:rsid w:val="00F80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A7C07-F4C2-9145-8DBF-4C9AC4F97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1520</Words>
  <Characters>8669</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10169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Abuhamad</dc:creator>
  <cp:lastModifiedBy>Grace Abuhamad</cp:lastModifiedBy>
  <cp:revision>5</cp:revision>
  <cp:lastPrinted>2016-02-03T09:38:00Z</cp:lastPrinted>
  <dcterms:created xsi:type="dcterms:W3CDTF">2016-04-09T11:24:00Z</dcterms:created>
  <dcterms:modified xsi:type="dcterms:W3CDTF">2016-04-09T11:34:00Z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-163627844</vt:i4>
  </property>
  <property fmtid="{D5CDD505-2E9C-101B-9397-08002B2CF9AE}" pid="4" name="_EmailSubject">
    <vt:lpwstr>Responding to CWG Bylaw Questions</vt:lpwstr>
  </property>
  <property fmtid="{D5CDD505-2E9C-101B-9397-08002B2CF9AE}" pid="5" name="_AuthorEmail">
    <vt:lpwstr>cgomes@verisign.com</vt:lpwstr>
  </property>
  <property fmtid="{D5CDD505-2E9C-101B-9397-08002B2CF9AE}" pid="6" name="_AuthorEmailDisplayName">
    <vt:lpwstr>Gomes, Chuck</vt:lpwstr>
  </property>
</Properties>
</file>