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jc w:val="center"/>
        <w:rPr>
          <w:b/>
          <w:sz w:val="22"/>
          <w:szCs w:val="22"/>
          <w:u w:val="single"/>
        </w:rPr>
      </w:pPr>
      <w:r>
        <w:rPr>
          <w:b/>
          <w:sz w:val="22"/>
          <w:szCs w:val="22"/>
          <w:u w:val="single"/>
        </w:rPr>
        <w:t>Proposed PTI Articles and Bylaws – Open Items</w:t>
      </w:r>
    </w:p>
    <w:tbl>
      <w:tblPr>
        <w:tblStyle w:val="TableGrid"/>
        <w:tblW w:w="14432" w:type="dxa"/>
        <w:jc w:val="center"/>
        <w:tblInd w:w="-998" w:type="dxa"/>
        <w:tblLook w:val="04A0"/>
      </w:tblPr>
      <w:tblGrid>
        <w:gridCol w:w="662"/>
        <w:gridCol w:w="1800"/>
        <w:gridCol w:w="3420"/>
        <w:gridCol w:w="2594"/>
        <w:gridCol w:w="3494"/>
        <w:gridCol w:w="2462"/>
      </w:tblGrid>
      <w:tr>
        <w:trPr>
          <w:tblHeader/>
          <w:jc w:val="center"/>
        </w:trPr>
        <w:tc>
          <w:tcPr>
            <w:tcW w:w="14432" w:type="dxa"/>
            <w:gridSpan w:val="6"/>
            <w:shd w:val="clear" w:color="auto" w:fill="FFFFCC"/>
          </w:tcPr>
          <w:p>
            <w:pPr>
              <w:pStyle w:val="BodyText"/>
              <w:jc w:val="center"/>
              <w:rPr>
                <w:b/>
                <w:sz w:val="22"/>
                <w:szCs w:val="22"/>
              </w:rPr>
            </w:pPr>
            <w:r>
              <w:rPr>
                <w:b/>
                <w:sz w:val="22"/>
                <w:szCs w:val="22"/>
              </w:rPr>
              <w:t>Proposed PTI Articles (as posted for public comment on 1 July 2016)</w:t>
            </w:r>
          </w:p>
        </w:tc>
      </w:tr>
      <w:tr>
        <w:trPr>
          <w:tblHeader/>
          <w:jc w:val="center"/>
        </w:trPr>
        <w:tc>
          <w:tcPr>
            <w:tcW w:w="662" w:type="dxa"/>
            <w:shd w:val="clear" w:color="auto" w:fill="C6D9F1" w:themeFill="text2" w:themeFillTint="33"/>
          </w:tcPr>
          <w:p>
            <w:pPr>
              <w:pStyle w:val="BodyText"/>
              <w:jc w:val="center"/>
              <w:rPr>
                <w:b/>
                <w:sz w:val="22"/>
                <w:szCs w:val="22"/>
              </w:rPr>
            </w:pPr>
            <w:r>
              <w:rPr>
                <w:b/>
                <w:sz w:val="22"/>
                <w:szCs w:val="22"/>
              </w:rPr>
              <w:t>Row #</w:t>
            </w:r>
          </w:p>
        </w:tc>
        <w:tc>
          <w:tcPr>
            <w:tcW w:w="1800" w:type="dxa"/>
            <w:shd w:val="clear" w:color="auto" w:fill="C6D9F1" w:themeFill="text2" w:themeFillTint="33"/>
          </w:tcPr>
          <w:p>
            <w:pPr>
              <w:pStyle w:val="BodyText"/>
              <w:jc w:val="center"/>
              <w:rPr>
                <w:b/>
                <w:sz w:val="22"/>
                <w:szCs w:val="22"/>
              </w:rPr>
            </w:pPr>
            <w:r>
              <w:rPr>
                <w:b/>
                <w:sz w:val="22"/>
                <w:szCs w:val="22"/>
              </w:rPr>
              <w:t>Subject of PTI Articles</w:t>
            </w:r>
          </w:p>
        </w:tc>
        <w:tc>
          <w:tcPr>
            <w:tcW w:w="3420" w:type="dxa"/>
            <w:shd w:val="clear" w:color="auto" w:fill="C6D9F1" w:themeFill="text2" w:themeFillTint="33"/>
          </w:tcPr>
          <w:p>
            <w:pPr>
              <w:pStyle w:val="BodyText"/>
              <w:jc w:val="center"/>
              <w:rPr>
                <w:b/>
                <w:sz w:val="22"/>
                <w:szCs w:val="22"/>
              </w:rPr>
            </w:pPr>
            <w:r>
              <w:rPr>
                <w:b/>
                <w:sz w:val="22"/>
                <w:szCs w:val="22"/>
              </w:rPr>
              <w:t>ICANN Draft</w:t>
            </w:r>
          </w:p>
        </w:tc>
        <w:tc>
          <w:tcPr>
            <w:tcW w:w="2594" w:type="dxa"/>
            <w:shd w:val="clear" w:color="auto" w:fill="C6D9F1" w:themeFill="text2" w:themeFillTint="33"/>
          </w:tcPr>
          <w:p>
            <w:pPr>
              <w:pStyle w:val="BodyText"/>
              <w:jc w:val="center"/>
              <w:rPr>
                <w:b/>
                <w:sz w:val="22"/>
                <w:szCs w:val="22"/>
              </w:rPr>
            </w:pPr>
            <w:r>
              <w:rPr>
                <w:b/>
                <w:sz w:val="22"/>
                <w:szCs w:val="22"/>
              </w:rPr>
              <w:t>Flagged by ICANN in Governance Chart</w:t>
            </w:r>
            <w:r>
              <w:rPr>
                <w:rStyle w:val="FootnoteReference"/>
                <w:b/>
                <w:sz w:val="22"/>
                <w:szCs w:val="22"/>
              </w:rPr>
              <w:footnoteReference w:id="1"/>
            </w:r>
            <w:r>
              <w:rPr>
                <w:b/>
                <w:sz w:val="22"/>
                <w:szCs w:val="22"/>
              </w:rPr>
              <w:t xml:space="preserve"> </w:t>
            </w:r>
          </w:p>
        </w:tc>
        <w:tc>
          <w:tcPr>
            <w:tcW w:w="3494" w:type="dxa"/>
            <w:shd w:val="clear" w:color="auto" w:fill="C6D9F1" w:themeFill="text2" w:themeFillTint="33"/>
          </w:tcPr>
          <w:p>
            <w:pPr>
              <w:pStyle w:val="BodyText"/>
              <w:jc w:val="center"/>
              <w:rPr>
                <w:b/>
                <w:sz w:val="22"/>
                <w:szCs w:val="22"/>
              </w:rPr>
            </w:pPr>
            <w:r>
              <w:rPr>
                <w:b/>
                <w:sz w:val="22"/>
                <w:szCs w:val="22"/>
              </w:rPr>
              <w:t>Sidley Comments</w:t>
            </w:r>
          </w:p>
        </w:tc>
        <w:tc>
          <w:tcPr>
            <w:tcW w:w="2462" w:type="dxa"/>
            <w:shd w:val="clear" w:color="auto" w:fill="C6D9F1" w:themeFill="text2" w:themeFillTint="33"/>
          </w:tcPr>
          <w:p>
            <w:pPr>
              <w:pStyle w:val="BodyText"/>
              <w:jc w:val="center"/>
              <w:rPr>
                <w:b/>
                <w:sz w:val="22"/>
                <w:szCs w:val="22"/>
              </w:rPr>
            </w:pPr>
            <w:r>
              <w:rPr>
                <w:b/>
                <w:sz w:val="22"/>
                <w:szCs w:val="22"/>
              </w:rPr>
              <w:t>CWG Response</w:t>
            </w:r>
          </w:p>
        </w:tc>
      </w:tr>
      <w:tr>
        <w:trPr>
          <w:jc w:val="center"/>
        </w:trPr>
        <w:tc>
          <w:tcPr>
            <w:tcW w:w="662" w:type="dxa"/>
          </w:tcPr>
          <w:p>
            <w:pPr>
              <w:pStyle w:val="BodyText"/>
              <w:rPr>
                <w:sz w:val="22"/>
                <w:szCs w:val="22"/>
              </w:rPr>
            </w:pPr>
            <w:r>
              <w:rPr>
                <w:sz w:val="22"/>
                <w:szCs w:val="22"/>
              </w:rPr>
              <w:t>1</w:t>
            </w:r>
          </w:p>
        </w:tc>
        <w:tc>
          <w:tcPr>
            <w:tcW w:w="1800" w:type="dxa"/>
          </w:tcPr>
          <w:p>
            <w:pPr>
              <w:pStyle w:val="BodyText"/>
              <w:spacing w:after="240"/>
              <w:rPr>
                <w:b/>
                <w:i/>
                <w:sz w:val="22"/>
                <w:szCs w:val="22"/>
              </w:rPr>
            </w:pPr>
            <w:r>
              <w:rPr>
                <w:b/>
                <w:i/>
                <w:sz w:val="22"/>
                <w:szCs w:val="22"/>
              </w:rPr>
              <w:t xml:space="preserve">Purpose </w:t>
            </w:r>
            <w:r>
              <w:rPr>
                <w:b/>
                <w:i/>
                <w:sz w:val="22"/>
                <w:szCs w:val="22"/>
              </w:rPr>
              <w:br/>
            </w:r>
            <w:r>
              <w:rPr>
                <w:sz w:val="22"/>
                <w:szCs w:val="22"/>
              </w:rPr>
              <w:t xml:space="preserve">(Article 3) </w:t>
            </w:r>
          </w:p>
        </w:tc>
        <w:tc>
          <w:tcPr>
            <w:tcW w:w="3420" w:type="dxa"/>
          </w:tcPr>
          <w:p>
            <w:pPr>
              <w:pStyle w:val="BodyText"/>
              <w:rPr>
                <w:sz w:val="22"/>
                <w:szCs w:val="22"/>
              </w:rPr>
            </w:pPr>
            <w:r>
              <w:rPr>
                <w:sz w:val="22"/>
                <w:szCs w:val="22"/>
              </w:rPr>
              <w:t xml:space="preserve">Article 3 describes the “specific purpose” of PTI as follows: </w:t>
            </w:r>
          </w:p>
          <w:p>
            <w:pPr>
              <w:pStyle w:val="BodyText"/>
              <w:rPr>
                <w:sz w:val="22"/>
                <w:szCs w:val="22"/>
              </w:rPr>
            </w:pPr>
          </w:p>
          <w:p>
            <w:pPr>
              <w:pStyle w:val="BodyText"/>
              <w:rPr>
                <w:sz w:val="22"/>
                <w:szCs w:val="22"/>
              </w:rPr>
            </w:pPr>
            <w:r>
              <w:rPr>
                <w:sz w:val="22"/>
                <w:szCs w:val="22"/>
              </w:rPr>
              <w:t>“The specific purpose of the Corporation is to operate exclusively for the benefit of, to perform the functions of, and to carry out the purposes of the Internet Corporation for Assigned Names and Numbers, a California nonprofit public benefit corporation (“</w:t>
            </w:r>
            <w:r>
              <w:rPr>
                <w:b/>
                <w:sz w:val="22"/>
                <w:szCs w:val="22"/>
              </w:rPr>
              <w:t>ICANN</w:t>
            </w:r>
            <w:r>
              <w:rPr>
                <w:sz w:val="22"/>
                <w:szCs w:val="22"/>
              </w:rPr>
              <w:t>”).”</w:t>
            </w:r>
          </w:p>
          <w:p>
            <w:pPr>
              <w:pStyle w:val="BodyText"/>
              <w:rPr>
                <w:sz w:val="22"/>
                <w:szCs w:val="22"/>
              </w:rPr>
            </w:pPr>
          </w:p>
          <w:p>
            <w:pPr>
              <w:pStyle w:val="BodyText"/>
              <w:rPr>
                <w:sz w:val="22"/>
                <w:szCs w:val="22"/>
              </w:rPr>
            </w:pPr>
          </w:p>
        </w:tc>
        <w:tc>
          <w:tcPr>
            <w:tcW w:w="2594" w:type="dxa"/>
          </w:tcPr>
          <w:p>
            <w:pPr>
              <w:pStyle w:val="BodyText"/>
              <w:rPr>
                <w:sz w:val="22"/>
                <w:szCs w:val="22"/>
              </w:rPr>
            </w:pPr>
          </w:p>
        </w:tc>
        <w:tc>
          <w:tcPr>
            <w:tcW w:w="3494" w:type="dxa"/>
          </w:tcPr>
          <w:p>
            <w:pPr>
              <w:pStyle w:val="BodyText"/>
              <w:rPr>
                <w:sz w:val="22"/>
                <w:szCs w:val="22"/>
              </w:rPr>
            </w:pPr>
            <w:r>
              <w:rPr>
                <w:sz w:val="22"/>
                <w:szCs w:val="22"/>
              </w:rPr>
              <w:t xml:space="preserve">CWG has advised that the PTI purpose should be modified to be more closely tailored to the anticipated role of PTI.  We understand that CWG will propose language. </w:t>
            </w:r>
          </w:p>
          <w:p>
            <w:pPr>
              <w:pStyle w:val="BodyText"/>
              <w:rPr>
                <w:sz w:val="22"/>
                <w:szCs w:val="22"/>
              </w:rPr>
            </w:pPr>
            <w:r>
              <w:rPr>
                <w:sz w:val="22"/>
                <w:szCs w:val="22"/>
              </w:rPr>
              <w:t xml:space="preserve"> </w:t>
            </w:r>
          </w:p>
          <w:p>
            <w:pPr>
              <w:pStyle w:val="BodyText"/>
              <w:rPr>
                <w:sz w:val="22"/>
                <w:szCs w:val="22"/>
              </w:rPr>
            </w:pPr>
            <w:r>
              <w:rPr>
                <w:sz w:val="22"/>
                <w:szCs w:val="22"/>
              </w:rPr>
              <w:t xml:space="preserve">The current PTI purpose language should also be retained because these particular words are required in order for PTI to qualify as a tax-exempt entity under IRC §509(a)(3) as a “supporting organization.”  As a result, we would recommend that the CWG tailored language be included, followed by the required tax language (e.g., “[tailored PTI purpose inserted], in so doing, PTI shall be operated exclusively for the benefit of, to perform the functions of, and to carry out the purposes of ICANN”). </w:t>
            </w:r>
          </w:p>
          <w:p>
            <w:pPr>
              <w:pStyle w:val="BodyText"/>
              <w:ind w:left="201"/>
              <w:rPr>
                <w:sz w:val="22"/>
                <w:szCs w:val="22"/>
              </w:rPr>
            </w:pPr>
          </w:p>
        </w:tc>
        <w:tc>
          <w:tcPr>
            <w:tcW w:w="2462" w:type="dxa"/>
          </w:tcPr>
          <w:p>
            <w:pPr>
              <w:pStyle w:val="BodyText"/>
              <w:rPr>
                <w:sz w:val="22"/>
                <w:szCs w:val="22"/>
              </w:rPr>
            </w:pPr>
          </w:p>
        </w:tc>
      </w:tr>
      <w:tr>
        <w:trPr>
          <w:jc w:val="center"/>
        </w:trPr>
        <w:tc>
          <w:tcPr>
            <w:tcW w:w="662" w:type="dxa"/>
          </w:tcPr>
          <w:p>
            <w:pPr>
              <w:pStyle w:val="BodyText"/>
              <w:rPr>
                <w:sz w:val="22"/>
                <w:szCs w:val="22"/>
              </w:rPr>
            </w:pPr>
            <w:r>
              <w:rPr>
                <w:sz w:val="22"/>
                <w:szCs w:val="22"/>
              </w:rPr>
              <w:lastRenderedPageBreak/>
              <w:t>2</w:t>
            </w:r>
          </w:p>
        </w:tc>
        <w:tc>
          <w:tcPr>
            <w:tcW w:w="1800" w:type="dxa"/>
          </w:tcPr>
          <w:p>
            <w:pPr>
              <w:pStyle w:val="BodyText"/>
              <w:tabs>
                <w:tab w:val="center" w:pos="4680"/>
                <w:tab w:val="right" w:pos="9360"/>
              </w:tabs>
              <w:rPr>
                <w:b/>
                <w:i/>
                <w:sz w:val="22"/>
                <w:szCs w:val="22"/>
              </w:rPr>
            </w:pPr>
            <w:r>
              <w:rPr>
                <w:b/>
                <w:i/>
                <w:sz w:val="22"/>
                <w:szCs w:val="22"/>
              </w:rPr>
              <w:t>Amendments</w:t>
            </w:r>
          </w:p>
          <w:p>
            <w:pPr>
              <w:pStyle w:val="BodyText"/>
              <w:rPr>
                <w:sz w:val="22"/>
                <w:szCs w:val="22"/>
              </w:rPr>
            </w:pPr>
            <w:r>
              <w:rPr>
                <w:sz w:val="22"/>
                <w:szCs w:val="22"/>
              </w:rPr>
              <w:t xml:space="preserve">(Article 13) </w:t>
            </w:r>
          </w:p>
        </w:tc>
        <w:tc>
          <w:tcPr>
            <w:tcW w:w="3420" w:type="dxa"/>
          </w:tcPr>
          <w:p>
            <w:pPr>
              <w:pStyle w:val="BodyText"/>
              <w:rPr>
                <w:sz w:val="22"/>
                <w:szCs w:val="22"/>
              </w:rPr>
            </w:pPr>
            <w:r>
              <w:rPr>
                <w:sz w:val="22"/>
                <w:szCs w:val="22"/>
              </w:rPr>
              <w:t xml:space="preserve">Consistent with ICANN’s edits to the PTI Bylaws, ICANN has proposed adjusting the threshold of approval so that Articles amendments require approval by four-fifths (4/5) of the directors and the approval of ICANN, and ICANN has proposed deleting the requirement that the threshold include at least two ICANN Directors and two Nominating Committee Directors (or such lesser number of Nominating Committee Directors who are then in office and entitled to vote on the matter).    </w:t>
            </w:r>
          </w:p>
        </w:tc>
        <w:tc>
          <w:tcPr>
            <w:tcW w:w="2594" w:type="dxa"/>
          </w:tcPr>
          <w:p>
            <w:pPr>
              <w:pStyle w:val="BodyText"/>
              <w:rPr>
                <w:sz w:val="22"/>
                <w:szCs w:val="22"/>
              </w:rPr>
            </w:pPr>
            <w:r>
              <w:rPr>
                <w:sz w:val="22"/>
                <w:szCs w:val="22"/>
              </w:rPr>
              <w:t>This threshold requirement is also flagged in the governance chart (attached at footnote #1, above).</w:t>
            </w:r>
          </w:p>
        </w:tc>
        <w:tc>
          <w:tcPr>
            <w:tcW w:w="3494" w:type="dxa"/>
          </w:tcPr>
          <w:p>
            <w:pPr>
              <w:pStyle w:val="BodyText"/>
              <w:rPr>
                <w:sz w:val="22"/>
                <w:szCs w:val="22"/>
              </w:rPr>
            </w:pPr>
            <w:r>
              <w:rPr>
                <w:sz w:val="22"/>
                <w:szCs w:val="22"/>
              </w:rPr>
              <w:t xml:space="preserve">We recommended a higher threshold of four-fifths (4/5) of the directors, because this would require approval from at least one ICANN Director and at least one Nominating Committee Director.  We support removing the requirement that this threshold include both Nominating Committee Directors, because we believe it gives too much power to one Nominating Committee Director to block a vote.  </w:t>
            </w:r>
          </w:p>
          <w:p>
            <w:pPr>
              <w:pStyle w:val="BodyText"/>
              <w:rPr>
                <w:sz w:val="22"/>
                <w:szCs w:val="22"/>
              </w:rPr>
            </w:pPr>
          </w:p>
          <w:p>
            <w:pPr>
              <w:pStyle w:val="BodyText"/>
              <w:rPr>
                <w:sz w:val="22"/>
                <w:szCs w:val="22"/>
              </w:rPr>
            </w:pPr>
            <w:r>
              <w:rPr>
                <w:sz w:val="22"/>
                <w:szCs w:val="22"/>
              </w:rPr>
              <w:t>CWG further comment to change to 80% in lieu of 4/5.  We think either is workable so long as it is clear it is 80% of the full 5 director positions even if certain of those positions are vacant (i.e., 3 of 3 seated directors is not enough although 100% of the then seated directors).</w:t>
            </w:r>
          </w:p>
        </w:tc>
        <w:tc>
          <w:tcPr>
            <w:tcW w:w="2462" w:type="dxa"/>
          </w:tcPr>
          <w:p>
            <w:pPr>
              <w:pStyle w:val="BodyText"/>
              <w:rPr>
                <w:sz w:val="22"/>
                <w:szCs w:val="22"/>
              </w:rPr>
            </w:pPr>
          </w:p>
        </w:tc>
      </w:tr>
    </w:tbl>
    <w:p/>
    <w:tbl>
      <w:tblPr>
        <w:tblStyle w:val="TableGrid"/>
        <w:tblW w:w="14432" w:type="dxa"/>
        <w:jc w:val="center"/>
        <w:tblInd w:w="-998" w:type="dxa"/>
        <w:tblLook w:val="04A0"/>
      </w:tblPr>
      <w:tblGrid>
        <w:gridCol w:w="662"/>
        <w:gridCol w:w="1800"/>
        <w:gridCol w:w="3420"/>
        <w:gridCol w:w="2594"/>
        <w:gridCol w:w="3494"/>
        <w:gridCol w:w="2462"/>
      </w:tblGrid>
      <w:tr>
        <w:trPr>
          <w:tblHeader/>
          <w:jc w:val="center"/>
        </w:trPr>
        <w:tc>
          <w:tcPr>
            <w:tcW w:w="14432" w:type="dxa"/>
            <w:gridSpan w:val="6"/>
            <w:shd w:val="clear" w:color="auto" w:fill="FFFFCC"/>
          </w:tcPr>
          <w:p>
            <w:pPr>
              <w:pStyle w:val="BodyText"/>
              <w:jc w:val="center"/>
              <w:rPr>
                <w:b/>
                <w:sz w:val="22"/>
                <w:szCs w:val="22"/>
              </w:rPr>
            </w:pPr>
            <w:r>
              <w:rPr>
                <w:b/>
                <w:sz w:val="22"/>
                <w:szCs w:val="22"/>
              </w:rPr>
              <w:t>Proposed PTI Bylaws (as posted for public comment on 12 July 2016)</w:t>
            </w:r>
          </w:p>
        </w:tc>
      </w:tr>
      <w:tr>
        <w:trPr>
          <w:tblHeader/>
          <w:jc w:val="center"/>
        </w:trPr>
        <w:tc>
          <w:tcPr>
            <w:tcW w:w="662" w:type="dxa"/>
            <w:shd w:val="clear" w:color="auto" w:fill="C6D9F1" w:themeFill="text2" w:themeFillTint="33"/>
          </w:tcPr>
          <w:p>
            <w:pPr>
              <w:pStyle w:val="BodyText"/>
              <w:jc w:val="center"/>
              <w:rPr>
                <w:b/>
                <w:sz w:val="22"/>
                <w:szCs w:val="22"/>
              </w:rPr>
            </w:pPr>
            <w:r>
              <w:rPr>
                <w:b/>
                <w:sz w:val="22"/>
                <w:szCs w:val="22"/>
              </w:rPr>
              <w:t>Row #</w:t>
            </w:r>
          </w:p>
        </w:tc>
        <w:tc>
          <w:tcPr>
            <w:tcW w:w="1800" w:type="dxa"/>
            <w:shd w:val="clear" w:color="auto" w:fill="C6D9F1" w:themeFill="text2" w:themeFillTint="33"/>
          </w:tcPr>
          <w:p>
            <w:pPr>
              <w:pStyle w:val="BodyText"/>
              <w:jc w:val="center"/>
              <w:rPr>
                <w:b/>
                <w:sz w:val="22"/>
                <w:szCs w:val="22"/>
              </w:rPr>
            </w:pPr>
            <w:r>
              <w:rPr>
                <w:b/>
                <w:sz w:val="22"/>
                <w:szCs w:val="22"/>
              </w:rPr>
              <w:t>Subject of PTI Bylaws</w:t>
            </w:r>
          </w:p>
        </w:tc>
        <w:tc>
          <w:tcPr>
            <w:tcW w:w="3420" w:type="dxa"/>
            <w:shd w:val="clear" w:color="auto" w:fill="C6D9F1" w:themeFill="text2" w:themeFillTint="33"/>
          </w:tcPr>
          <w:p>
            <w:pPr>
              <w:pStyle w:val="BodyText"/>
              <w:jc w:val="center"/>
              <w:rPr>
                <w:b/>
                <w:sz w:val="22"/>
                <w:szCs w:val="22"/>
              </w:rPr>
            </w:pPr>
            <w:r>
              <w:rPr>
                <w:b/>
                <w:sz w:val="22"/>
                <w:szCs w:val="22"/>
              </w:rPr>
              <w:t>ICANN Draft</w:t>
            </w:r>
          </w:p>
        </w:tc>
        <w:tc>
          <w:tcPr>
            <w:tcW w:w="2594" w:type="dxa"/>
            <w:shd w:val="clear" w:color="auto" w:fill="C6D9F1" w:themeFill="text2" w:themeFillTint="33"/>
          </w:tcPr>
          <w:p>
            <w:pPr>
              <w:pStyle w:val="BodyText"/>
              <w:jc w:val="center"/>
              <w:rPr>
                <w:b/>
                <w:sz w:val="22"/>
                <w:szCs w:val="22"/>
              </w:rPr>
            </w:pPr>
            <w:r>
              <w:rPr>
                <w:b/>
                <w:sz w:val="22"/>
                <w:szCs w:val="22"/>
              </w:rPr>
              <w:t>Flagged by ICANN in Governance Chart</w:t>
            </w:r>
            <w:r>
              <w:rPr>
                <w:rFonts w:ascii="Times New Roman Bold" w:hAnsi="Times New Roman Bold"/>
                <w:b/>
                <w:sz w:val="22"/>
                <w:szCs w:val="22"/>
                <w:vertAlign w:val="superscript"/>
              </w:rPr>
              <w:t>1</w:t>
            </w:r>
            <w:r>
              <w:rPr>
                <w:b/>
                <w:sz w:val="22"/>
                <w:szCs w:val="22"/>
              </w:rPr>
              <w:t xml:space="preserve"> </w:t>
            </w:r>
          </w:p>
        </w:tc>
        <w:tc>
          <w:tcPr>
            <w:tcW w:w="3494" w:type="dxa"/>
            <w:shd w:val="clear" w:color="auto" w:fill="C6D9F1" w:themeFill="text2" w:themeFillTint="33"/>
          </w:tcPr>
          <w:p>
            <w:pPr>
              <w:pStyle w:val="BodyText"/>
              <w:jc w:val="center"/>
              <w:rPr>
                <w:b/>
                <w:sz w:val="22"/>
                <w:szCs w:val="22"/>
              </w:rPr>
            </w:pPr>
            <w:r>
              <w:rPr>
                <w:b/>
                <w:sz w:val="22"/>
                <w:szCs w:val="22"/>
              </w:rPr>
              <w:t>Sidley Comments</w:t>
            </w:r>
          </w:p>
        </w:tc>
        <w:tc>
          <w:tcPr>
            <w:tcW w:w="2462" w:type="dxa"/>
            <w:shd w:val="clear" w:color="auto" w:fill="C6D9F1" w:themeFill="text2" w:themeFillTint="33"/>
          </w:tcPr>
          <w:p>
            <w:pPr>
              <w:pStyle w:val="BodyText"/>
              <w:jc w:val="center"/>
              <w:rPr>
                <w:b/>
                <w:sz w:val="22"/>
                <w:szCs w:val="22"/>
              </w:rPr>
            </w:pPr>
            <w:r>
              <w:rPr>
                <w:b/>
                <w:sz w:val="22"/>
                <w:szCs w:val="22"/>
              </w:rPr>
              <w:t>CWG Response</w:t>
            </w:r>
          </w:p>
        </w:tc>
      </w:tr>
      <w:tr>
        <w:trPr>
          <w:jc w:val="center"/>
        </w:trPr>
        <w:tc>
          <w:tcPr>
            <w:tcW w:w="662" w:type="dxa"/>
          </w:tcPr>
          <w:p>
            <w:pPr>
              <w:pStyle w:val="BodyText"/>
              <w:rPr>
                <w:sz w:val="22"/>
                <w:szCs w:val="22"/>
              </w:rPr>
            </w:pPr>
            <w:r>
              <w:rPr>
                <w:sz w:val="22"/>
                <w:szCs w:val="22"/>
              </w:rPr>
              <w:t>1</w:t>
            </w:r>
          </w:p>
        </w:tc>
        <w:tc>
          <w:tcPr>
            <w:tcW w:w="1800" w:type="dxa"/>
          </w:tcPr>
          <w:p>
            <w:pPr>
              <w:pStyle w:val="BodyText"/>
              <w:rPr>
                <w:sz w:val="22"/>
                <w:szCs w:val="22"/>
              </w:rPr>
            </w:pPr>
            <w:r>
              <w:rPr>
                <w:b/>
                <w:i/>
                <w:sz w:val="22"/>
                <w:szCs w:val="22"/>
              </w:rPr>
              <w:t>Principal Office</w:t>
            </w:r>
            <w:r>
              <w:rPr>
                <w:sz w:val="22"/>
                <w:szCs w:val="22"/>
              </w:rPr>
              <w:t xml:space="preserve"> (Article 2)</w:t>
            </w:r>
          </w:p>
        </w:tc>
        <w:tc>
          <w:tcPr>
            <w:tcW w:w="3420" w:type="dxa"/>
          </w:tcPr>
          <w:p>
            <w:pPr>
              <w:pStyle w:val="BodyText"/>
              <w:rPr>
                <w:sz w:val="22"/>
                <w:szCs w:val="22"/>
              </w:rPr>
            </w:pPr>
            <w:r>
              <w:rPr>
                <w:sz w:val="22"/>
                <w:szCs w:val="22"/>
              </w:rPr>
              <w:t xml:space="preserve">With respect to PTI’s principal office, Article 2 provides:  </w:t>
            </w:r>
          </w:p>
          <w:p>
            <w:pPr>
              <w:pStyle w:val="BodyText"/>
              <w:rPr>
                <w:sz w:val="22"/>
                <w:szCs w:val="22"/>
              </w:rPr>
            </w:pPr>
          </w:p>
          <w:p>
            <w:pPr>
              <w:pStyle w:val="BodyText"/>
              <w:rPr>
                <w:sz w:val="22"/>
                <w:szCs w:val="22"/>
              </w:rPr>
            </w:pPr>
            <w:r>
              <w:rPr>
                <w:sz w:val="22"/>
                <w:szCs w:val="22"/>
              </w:rPr>
              <w:t xml:space="preserve">“The principal office for the transaction of the business of the Corporation may be established at any place or places within or </w:t>
            </w:r>
            <w:r>
              <w:rPr>
                <w:sz w:val="22"/>
                <w:szCs w:val="22"/>
              </w:rPr>
              <w:lastRenderedPageBreak/>
              <w:t>without the State of California by resolution of the Board.  The Board may at any time establish branch or subordinate offices at any place or places where the Corporation is qualified to transact business.”</w:t>
            </w:r>
          </w:p>
          <w:p>
            <w:pPr>
              <w:pStyle w:val="BodyText"/>
              <w:rPr>
                <w:sz w:val="22"/>
                <w:szCs w:val="22"/>
              </w:rPr>
            </w:pPr>
          </w:p>
          <w:p>
            <w:pPr>
              <w:pStyle w:val="BodyText"/>
              <w:rPr>
                <w:sz w:val="22"/>
                <w:szCs w:val="22"/>
              </w:rPr>
            </w:pPr>
            <w:r>
              <w:rPr>
                <w:sz w:val="22"/>
                <w:szCs w:val="22"/>
              </w:rPr>
              <w:t>ICANN did not make additional edits to the text of this provision; however, this item has been flagged for further review, because the approach taken here is different from the approach taken in the ICANN Bylaws.</w:t>
            </w:r>
          </w:p>
          <w:p>
            <w:pPr>
              <w:pStyle w:val="BodyText"/>
              <w:rPr>
                <w:sz w:val="22"/>
                <w:szCs w:val="22"/>
              </w:rPr>
            </w:pPr>
          </w:p>
        </w:tc>
        <w:tc>
          <w:tcPr>
            <w:tcW w:w="2594" w:type="dxa"/>
          </w:tcPr>
          <w:p>
            <w:pPr>
              <w:pStyle w:val="BodyText"/>
              <w:rPr>
                <w:sz w:val="22"/>
                <w:szCs w:val="22"/>
              </w:rPr>
            </w:pPr>
          </w:p>
        </w:tc>
        <w:tc>
          <w:tcPr>
            <w:tcW w:w="3494" w:type="dxa"/>
          </w:tcPr>
          <w:p>
            <w:pPr>
              <w:pStyle w:val="BodyText"/>
              <w:rPr>
                <w:sz w:val="22"/>
                <w:szCs w:val="22"/>
              </w:rPr>
            </w:pPr>
            <w:r>
              <w:rPr>
                <w:sz w:val="22"/>
                <w:szCs w:val="22"/>
              </w:rPr>
              <w:t xml:space="preserve">One approach would be to track the approach taken in the ICANN Bylaws which provides: </w:t>
            </w:r>
          </w:p>
          <w:p>
            <w:pPr>
              <w:pStyle w:val="BodyText"/>
              <w:rPr>
                <w:sz w:val="22"/>
                <w:szCs w:val="22"/>
              </w:rPr>
            </w:pPr>
          </w:p>
          <w:p>
            <w:pPr>
              <w:pStyle w:val="BodyText"/>
              <w:rPr>
                <w:sz w:val="22"/>
                <w:szCs w:val="22"/>
              </w:rPr>
            </w:pPr>
            <w:r>
              <w:rPr>
                <w:sz w:val="22"/>
                <w:szCs w:val="22"/>
              </w:rPr>
              <w:t>“The principal office for the transaction of the business of ICANN shall be in the County</w:t>
            </w:r>
          </w:p>
          <w:p>
            <w:pPr>
              <w:pStyle w:val="BodyText"/>
              <w:rPr>
                <w:sz w:val="22"/>
                <w:szCs w:val="22"/>
              </w:rPr>
            </w:pPr>
            <w:r>
              <w:rPr>
                <w:sz w:val="22"/>
                <w:szCs w:val="22"/>
              </w:rPr>
              <w:lastRenderedPageBreak/>
              <w:t xml:space="preserve">of Los Angeles, State of California, United States of America. ICANN may also have an additional office or offices within or outside the United States of America as it may from time to time establish.” </w:t>
            </w:r>
            <w:r>
              <w:rPr>
                <w:i/>
                <w:sz w:val="22"/>
                <w:szCs w:val="22"/>
              </w:rPr>
              <w:t>See</w:t>
            </w:r>
            <w:r>
              <w:rPr>
                <w:sz w:val="22"/>
                <w:szCs w:val="22"/>
              </w:rPr>
              <w:t xml:space="preserve"> Section 24.1.</w:t>
            </w:r>
          </w:p>
          <w:p>
            <w:pPr>
              <w:pStyle w:val="BodyText"/>
              <w:rPr>
                <w:sz w:val="22"/>
                <w:szCs w:val="22"/>
                <w:u w:val="single"/>
              </w:rPr>
            </w:pPr>
          </w:p>
          <w:p>
            <w:pPr>
              <w:pStyle w:val="BodyText"/>
              <w:rPr>
                <w:sz w:val="22"/>
                <w:szCs w:val="22"/>
              </w:rPr>
            </w:pPr>
            <w:r>
              <w:rPr>
                <w:sz w:val="22"/>
                <w:szCs w:val="22"/>
                <w:u w:val="single"/>
              </w:rPr>
              <w:t>Notes</w:t>
            </w:r>
            <w:r>
              <w:rPr>
                <w:sz w:val="22"/>
                <w:szCs w:val="22"/>
              </w:rPr>
              <w:t xml:space="preserve">: </w:t>
            </w:r>
          </w:p>
          <w:p>
            <w:pPr>
              <w:pStyle w:val="BodyText"/>
              <w:numPr>
                <w:ilvl w:val="0"/>
                <w:numId w:val="13"/>
              </w:numPr>
              <w:ind w:left="201" w:hanging="180"/>
              <w:rPr>
                <w:sz w:val="22"/>
                <w:szCs w:val="22"/>
              </w:rPr>
            </w:pPr>
            <w:r>
              <w:rPr>
                <w:sz w:val="22"/>
                <w:szCs w:val="22"/>
              </w:rPr>
              <w:t xml:space="preserve">Under California law, the corporation is required to designate an agent for service of process in California, but is not required to establish its principal office in California. </w:t>
            </w:r>
          </w:p>
        </w:tc>
        <w:tc>
          <w:tcPr>
            <w:tcW w:w="2462" w:type="dxa"/>
          </w:tcPr>
          <w:p>
            <w:pPr>
              <w:pStyle w:val="BodyText"/>
              <w:rPr>
                <w:sz w:val="22"/>
                <w:szCs w:val="22"/>
              </w:rPr>
            </w:pPr>
          </w:p>
        </w:tc>
      </w:tr>
      <w:tr>
        <w:trPr>
          <w:jc w:val="center"/>
        </w:trPr>
        <w:tc>
          <w:tcPr>
            <w:tcW w:w="662" w:type="dxa"/>
          </w:tcPr>
          <w:p>
            <w:pPr>
              <w:pStyle w:val="BodyText"/>
              <w:rPr>
                <w:sz w:val="22"/>
                <w:szCs w:val="22"/>
              </w:rPr>
            </w:pPr>
            <w:r>
              <w:rPr>
                <w:sz w:val="22"/>
                <w:szCs w:val="22"/>
              </w:rPr>
              <w:lastRenderedPageBreak/>
              <w:t>2</w:t>
            </w:r>
          </w:p>
        </w:tc>
        <w:tc>
          <w:tcPr>
            <w:tcW w:w="1800" w:type="dxa"/>
          </w:tcPr>
          <w:p>
            <w:pPr>
              <w:pStyle w:val="BodyText"/>
              <w:rPr>
                <w:sz w:val="22"/>
                <w:szCs w:val="22"/>
              </w:rPr>
            </w:pPr>
            <w:r>
              <w:rPr>
                <w:b/>
                <w:i/>
                <w:sz w:val="22"/>
                <w:szCs w:val="22"/>
              </w:rPr>
              <w:t>Purpose</w:t>
            </w:r>
            <w:r>
              <w:rPr>
                <w:sz w:val="22"/>
                <w:szCs w:val="22"/>
              </w:rPr>
              <w:t xml:space="preserve"> </w:t>
            </w:r>
            <w:r>
              <w:rPr>
                <w:sz w:val="22"/>
                <w:szCs w:val="22"/>
              </w:rPr>
              <w:br/>
              <w:t>(Article 3, Paragraph 2)</w:t>
            </w:r>
          </w:p>
        </w:tc>
        <w:tc>
          <w:tcPr>
            <w:tcW w:w="3420" w:type="dxa"/>
          </w:tcPr>
          <w:p>
            <w:pPr>
              <w:pStyle w:val="BodyText"/>
              <w:rPr>
                <w:sz w:val="22"/>
                <w:szCs w:val="22"/>
              </w:rPr>
            </w:pPr>
            <w:r>
              <w:rPr>
                <w:sz w:val="22"/>
                <w:szCs w:val="22"/>
              </w:rPr>
              <w:t xml:space="preserve">Removed brackets from Article 3, Paragraph 2, which describes the “specific purpose” of PTI as follows: </w:t>
            </w:r>
          </w:p>
          <w:p>
            <w:pPr>
              <w:pStyle w:val="BodyText"/>
              <w:rPr>
                <w:sz w:val="22"/>
                <w:szCs w:val="22"/>
              </w:rPr>
            </w:pPr>
          </w:p>
          <w:p>
            <w:pPr>
              <w:pStyle w:val="BodyText"/>
              <w:rPr>
                <w:sz w:val="22"/>
                <w:szCs w:val="22"/>
              </w:rPr>
            </w:pPr>
            <w:r>
              <w:rPr>
                <w:sz w:val="22"/>
                <w:szCs w:val="22"/>
              </w:rPr>
              <w:t>“The specific purpose of the Corporation is to operate exclusively for the benefit of, to perform the functions of and to carry out the purposes of the Internet Corporation for Assigned Names and Numbers (“</w:t>
            </w:r>
            <w:r>
              <w:rPr>
                <w:b/>
                <w:sz w:val="22"/>
                <w:szCs w:val="22"/>
              </w:rPr>
              <w:t>ICANN</w:t>
            </w:r>
            <w:r>
              <w:rPr>
                <w:sz w:val="22"/>
                <w:szCs w:val="22"/>
              </w:rPr>
              <w:t>”).”</w:t>
            </w:r>
          </w:p>
          <w:p>
            <w:pPr>
              <w:pStyle w:val="BodyText"/>
              <w:rPr>
                <w:sz w:val="22"/>
                <w:szCs w:val="22"/>
              </w:rPr>
            </w:pPr>
          </w:p>
          <w:p>
            <w:pPr>
              <w:pStyle w:val="BodyText"/>
              <w:rPr>
                <w:sz w:val="22"/>
                <w:szCs w:val="22"/>
              </w:rPr>
            </w:pPr>
            <w:r>
              <w:rPr>
                <w:sz w:val="22"/>
                <w:szCs w:val="22"/>
              </w:rPr>
              <w:t>ICANN also deleted a footnote to this provision with a Sidley comment that provided that the purpose here and in the PTI Articles is under review by CWG.</w:t>
            </w:r>
          </w:p>
          <w:p>
            <w:pPr>
              <w:pStyle w:val="BodyText"/>
              <w:rPr>
                <w:sz w:val="22"/>
                <w:szCs w:val="22"/>
              </w:rPr>
            </w:pPr>
          </w:p>
        </w:tc>
        <w:tc>
          <w:tcPr>
            <w:tcW w:w="2594" w:type="dxa"/>
          </w:tcPr>
          <w:p>
            <w:pPr>
              <w:pStyle w:val="BodyText"/>
              <w:rPr>
                <w:sz w:val="22"/>
                <w:szCs w:val="22"/>
              </w:rPr>
            </w:pPr>
          </w:p>
        </w:tc>
        <w:tc>
          <w:tcPr>
            <w:tcW w:w="3494" w:type="dxa"/>
          </w:tcPr>
          <w:p>
            <w:pPr>
              <w:pStyle w:val="BodyText"/>
              <w:rPr>
                <w:sz w:val="22"/>
                <w:szCs w:val="22"/>
              </w:rPr>
            </w:pPr>
            <w:r>
              <w:rPr>
                <w:i/>
                <w:sz w:val="22"/>
                <w:szCs w:val="22"/>
              </w:rPr>
              <w:t>See</w:t>
            </w:r>
            <w:r>
              <w:rPr>
                <w:sz w:val="22"/>
                <w:szCs w:val="22"/>
              </w:rPr>
              <w:t xml:space="preserve"> comments in row #1 of the PTI Articles chart, above.  </w:t>
            </w:r>
          </w:p>
        </w:tc>
        <w:tc>
          <w:tcPr>
            <w:tcW w:w="2462" w:type="dxa"/>
          </w:tcPr>
          <w:p>
            <w:pPr>
              <w:pStyle w:val="BodyText"/>
              <w:rPr>
                <w:sz w:val="22"/>
                <w:szCs w:val="22"/>
              </w:rPr>
            </w:pPr>
          </w:p>
        </w:tc>
      </w:tr>
      <w:tr>
        <w:trPr>
          <w:jc w:val="center"/>
        </w:trPr>
        <w:tc>
          <w:tcPr>
            <w:tcW w:w="662" w:type="dxa"/>
          </w:tcPr>
          <w:p>
            <w:pPr>
              <w:pStyle w:val="BodyText"/>
              <w:rPr>
                <w:sz w:val="22"/>
                <w:szCs w:val="22"/>
              </w:rPr>
            </w:pPr>
            <w:r>
              <w:rPr>
                <w:sz w:val="22"/>
                <w:szCs w:val="22"/>
              </w:rPr>
              <w:lastRenderedPageBreak/>
              <w:t>3</w:t>
            </w:r>
          </w:p>
        </w:tc>
        <w:tc>
          <w:tcPr>
            <w:tcW w:w="1800" w:type="dxa"/>
          </w:tcPr>
          <w:p>
            <w:pPr>
              <w:pStyle w:val="BodyText"/>
              <w:rPr>
                <w:sz w:val="22"/>
                <w:szCs w:val="22"/>
              </w:rPr>
            </w:pPr>
            <w:r>
              <w:rPr>
                <w:b/>
                <w:i/>
                <w:sz w:val="22"/>
                <w:szCs w:val="22"/>
              </w:rPr>
              <w:t xml:space="preserve">Purpose </w:t>
            </w:r>
            <w:r>
              <w:rPr>
                <w:sz w:val="22"/>
                <w:szCs w:val="22"/>
              </w:rPr>
              <w:br/>
              <w:t>(Article 3, Paragraphs 4-5)</w:t>
            </w:r>
          </w:p>
        </w:tc>
        <w:tc>
          <w:tcPr>
            <w:tcW w:w="3420" w:type="dxa"/>
          </w:tcPr>
          <w:p>
            <w:pPr>
              <w:pStyle w:val="BodyText"/>
              <w:rPr>
                <w:sz w:val="22"/>
                <w:szCs w:val="22"/>
              </w:rPr>
            </w:pPr>
            <w:r>
              <w:rPr>
                <w:sz w:val="22"/>
                <w:szCs w:val="22"/>
              </w:rPr>
              <w:t>Removed brackets from Article 3, Paragraphs 4-5, which address certain principles from Annex C of the CWG Final Proposal as follows:</w:t>
            </w:r>
          </w:p>
          <w:p>
            <w:pPr>
              <w:pStyle w:val="BodyText"/>
              <w:rPr>
                <w:sz w:val="22"/>
                <w:szCs w:val="22"/>
              </w:rPr>
            </w:pPr>
          </w:p>
          <w:p>
            <w:pPr>
              <w:pStyle w:val="BodyText"/>
              <w:rPr>
                <w:sz w:val="22"/>
                <w:szCs w:val="22"/>
              </w:rPr>
            </w:pPr>
            <w:r>
              <w:rPr>
                <w:sz w:val="22"/>
                <w:szCs w:val="22"/>
              </w:rPr>
              <w:t>“The Corporation shall treat the IANA functions with equal priority. The Corporation shall make decisions by applying documented policies consistently, neutrally, objectively, and fairly, without singling out any particular customer for discriminatory treatment (i.e., making an unjustified prejudicial distinction between or among different customers).</w:t>
            </w:r>
          </w:p>
          <w:p>
            <w:pPr>
              <w:pStyle w:val="BodyText"/>
              <w:rPr>
                <w:sz w:val="22"/>
                <w:szCs w:val="22"/>
              </w:rPr>
            </w:pPr>
          </w:p>
          <w:p>
            <w:pPr>
              <w:pStyle w:val="BodyText"/>
              <w:rPr>
                <w:sz w:val="22"/>
                <w:szCs w:val="22"/>
              </w:rPr>
            </w:pPr>
            <w:r>
              <w:rPr>
                <w:sz w:val="22"/>
                <w:szCs w:val="22"/>
              </w:rPr>
              <w:t xml:space="preserve">The Corporation shall respect the diversity of customers of the IANA functions and shall provide service to its customers in conformance with technical norms and in support </w:t>
            </w:r>
            <w:r>
              <w:rPr>
                <w:sz w:val="22"/>
                <w:szCs w:val="22"/>
              </w:rPr>
              <w:lastRenderedPageBreak/>
              <w:t>of the global security, stability and resilience of the DNS.”</w:t>
            </w:r>
          </w:p>
          <w:p>
            <w:pPr>
              <w:pStyle w:val="BodyText"/>
              <w:rPr>
                <w:sz w:val="22"/>
                <w:szCs w:val="22"/>
              </w:rPr>
            </w:pPr>
          </w:p>
          <w:p>
            <w:pPr>
              <w:pStyle w:val="BodyText"/>
              <w:rPr>
                <w:sz w:val="22"/>
                <w:szCs w:val="22"/>
              </w:rPr>
            </w:pPr>
          </w:p>
        </w:tc>
        <w:tc>
          <w:tcPr>
            <w:tcW w:w="2594" w:type="dxa"/>
          </w:tcPr>
          <w:p>
            <w:pPr>
              <w:pStyle w:val="BodyText"/>
              <w:rPr>
                <w:sz w:val="22"/>
                <w:szCs w:val="22"/>
              </w:rPr>
            </w:pPr>
          </w:p>
        </w:tc>
        <w:tc>
          <w:tcPr>
            <w:tcW w:w="3494" w:type="dxa"/>
          </w:tcPr>
          <w:p>
            <w:pPr>
              <w:pStyle w:val="BodyText"/>
              <w:rPr>
                <w:sz w:val="22"/>
                <w:szCs w:val="22"/>
              </w:rPr>
            </w:pPr>
            <w:r>
              <w:rPr>
                <w:sz w:val="22"/>
                <w:szCs w:val="22"/>
              </w:rPr>
              <w:t>The Proposed PTI Bylaws do not include the specific Annex C language.  Instead, ICANN legal included these two paragraphs in Article 3 to address certain principles from Annex C.  CWG to advise.</w:t>
            </w:r>
            <w:r>
              <w:rPr>
                <w:rStyle w:val="FootnoteReference"/>
                <w:sz w:val="22"/>
                <w:szCs w:val="22"/>
              </w:rPr>
              <w:footnoteReference w:id="2"/>
            </w:r>
            <w:r>
              <w:rPr>
                <w:sz w:val="22"/>
                <w:szCs w:val="22"/>
              </w:rPr>
              <w:t xml:space="preserve">  </w:t>
            </w:r>
          </w:p>
          <w:p>
            <w:pPr>
              <w:pStyle w:val="BodyText"/>
              <w:rPr>
                <w:sz w:val="22"/>
                <w:szCs w:val="22"/>
              </w:rPr>
            </w:pPr>
            <w:r>
              <w:rPr>
                <w:sz w:val="22"/>
                <w:szCs w:val="22"/>
              </w:rPr>
              <w:t xml:space="preserve"> </w:t>
            </w:r>
          </w:p>
        </w:tc>
        <w:tc>
          <w:tcPr>
            <w:tcW w:w="2462" w:type="dxa"/>
          </w:tcPr>
          <w:p>
            <w:pPr>
              <w:pStyle w:val="BodyText"/>
              <w:rPr>
                <w:sz w:val="22"/>
                <w:szCs w:val="22"/>
              </w:rPr>
            </w:pPr>
          </w:p>
        </w:tc>
      </w:tr>
      <w:tr>
        <w:trPr>
          <w:jc w:val="center"/>
        </w:trPr>
        <w:tc>
          <w:tcPr>
            <w:tcW w:w="662" w:type="dxa"/>
            <w:tcBorders>
              <w:bottom w:val="single" w:sz="4" w:space="0" w:color="000000" w:themeColor="text1"/>
            </w:tcBorders>
          </w:tcPr>
          <w:p>
            <w:pPr>
              <w:pStyle w:val="BodyText"/>
              <w:rPr>
                <w:sz w:val="22"/>
                <w:szCs w:val="22"/>
              </w:rPr>
            </w:pPr>
            <w:r>
              <w:rPr>
                <w:sz w:val="22"/>
                <w:szCs w:val="22"/>
              </w:rPr>
              <w:lastRenderedPageBreak/>
              <w:t>4</w:t>
            </w:r>
          </w:p>
        </w:tc>
        <w:tc>
          <w:tcPr>
            <w:tcW w:w="1800" w:type="dxa"/>
            <w:tcBorders>
              <w:bottom w:val="single" w:sz="4" w:space="0" w:color="000000" w:themeColor="text1"/>
            </w:tcBorders>
          </w:tcPr>
          <w:p>
            <w:pPr>
              <w:pStyle w:val="BodyText"/>
              <w:rPr>
                <w:sz w:val="22"/>
                <w:szCs w:val="22"/>
              </w:rPr>
            </w:pPr>
            <w:r>
              <w:rPr>
                <w:b/>
                <w:i/>
                <w:sz w:val="22"/>
                <w:szCs w:val="22"/>
              </w:rPr>
              <w:t>Director Qualifications</w:t>
            </w:r>
            <w:r>
              <w:rPr>
                <w:sz w:val="22"/>
                <w:szCs w:val="22"/>
              </w:rPr>
              <w:t xml:space="preserve"> (Section 5.3.6)</w:t>
            </w:r>
          </w:p>
        </w:tc>
        <w:tc>
          <w:tcPr>
            <w:tcW w:w="3420" w:type="dxa"/>
            <w:tcBorders>
              <w:bottom w:val="single" w:sz="4" w:space="0" w:color="000000" w:themeColor="text1"/>
            </w:tcBorders>
          </w:tcPr>
          <w:p>
            <w:pPr>
              <w:pStyle w:val="BodyText"/>
              <w:rPr>
                <w:sz w:val="22"/>
                <w:szCs w:val="22"/>
              </w:rPr>
            </w:pPr>
            <w:r>
              <w:rPr>
                <w:sz w:val="22"/>
                <w:szCs w:val="22"/>
              </w:rPr>
              <w:t xml:space="preserve">Section 5.3.6 provides: </w:t>
            </w:r>
          </w:p>
          <w:p>
            <w:pPr>
              <w:pStyle w:val="BodyText"/>
              <w:rPr>
                <w:sz w:val="22"/>
                <w:szCs w:val="22"/>
              </w:rPr>
            </w:pPr>
          </w:p>
          <w:p>
            <w:pPr>
              <w:pStyle w:val="BodyText"/>
              <w:rPr>
                <w:sz w:val="22"/>
                <w:szCs w:val="22"/>
              </w:rPr>
            </w:pPr>
            <w:r>
              <w:rPr>
                <w:sz w:val="22"/>
                <w:szCs w:val="22"/>
              </w:rPr>
              <w:t>“In carrying out its responsibility to nominate the Nominating Committee Directors for election by the Member, the Nominating Committee shall seek to ensure that the Board is composed of Directors who, in the aggregate, display diversity in geography, culture, skills, experience and perspective, by applying the criteria set forth in Section 5.2 and Section 5.3.”</w:t>
            </w:r>
          </w:p>
          <w:p>
            <w:pPr>
              <w:pStyle w:val="BodyText"/>
              <w:rPr>
                <w:sz w:val="22"/>
                <w:szCs w:val="22"/>
              </w:rPr>
            </w:pPr>
          </w:p>
          <w:p>
            <w:pPr>
              <w:pStyle w:val="BodyText"/>
              <w:rPr>
                <w:sz w:val="22"/>
                <w:szCs w:val="22"/>
              </w:rPr>
            </w:pPr>
            <w:r>
              <w:rPr>
                <w:sz w:val="22"/>
                <w:szCs w:val="22"/>
              </w:rPr>
              <w:t xml:space="preserve">ICANN did not make additional edits to the text of this section, but deleted Sidley’s footnote suggesting that the CWG consider the approach proposed here with respect to the diversity criterion. </w:t>
            </w:r>
          </w:p>
        </w:tc>
        <w:tc>
          <w:tcPr>
            <w:tcW w:w="2594" w:type="dxa"/>
            <w:tcBorders>
              <w:bottom w:val="single" w:sz="4" w:space="0" w:color="000000" w:themeColor="text1"/>
            </w:tcBorders>
          </w:tcPr>
          <w:p>
            <w:pPr>
              <w:pStyle w:val="BodyText"/>
              <w:rPr>
                <w:sz w:val="22"/>
                <w:szCs w:val="22"/>
              </w:rPr>
            </w:pPr>
          </w:p>
        </w:tc>
        <w:tc>
          <w:tcPr>
            <w:tcW w:w="3494" w:type="dxa"/>
            <w:tcBorders>
              <w:bottom w:val="single" w:sz="4" w:space="0" w:color="000000" w:themeColor="text1"/>
            </w:tcBorders>
          </w:tcPr>
          <w:p>
            <w:pPr>
              <w:pStyle w:val="BodyText"/>
              <w:rPr>
                <w:sz w:val="22"/>
                <w:szCs w:val="22"/>
              </w:rPr>
            </w:pPr>
            <w:r>
              <w:rPr>
                <w:sz w:val="22"/>
                <w:szCs w:val="22"/>
              </w:rPr>
              <w:t xml:space="preserve">CWG to advise whether it’s acceptable to have the Nominating Committee consider diversity when nominating the two Nominating Committee Directors in light of the overall composition of the Board (as opposed to having a separate review of the Nominating Committee Directors and the ICANN Directors). </w:t>
            </w:r>
          </w:p>
          <w:p>
            <w:pPr>
              <w:pStyle w:val="BodyText"/>
              <w:rPr>
                <w:sz w:val="22"/>
                <w:szCs w:val="22"/>
              </w:rPr>
            </w:pPr>
          </w:p>
          <w:p>
            <w:pPr>
              <w:pStyle w:val="BodyText"/>
              <w:rPr>
                <w:sz w:val="22"/>
                <w:szCs w:val="22"/>
              </w:rPr>
            </w:pPr>
          </w:p>
        </w:tc>
        <w:tc>
          <w:tcPr>
            <w:tcW w:w="2462" w:type="dxa"/>
            <w:tcBorders>
              <w:bottom w:val="single" w:sz="4" w:space="0" w:color="000000" w:themeColor="text1"/>
            </w:tcBorders>
          </w:tcPr>
          <w:p>
            <w:pPr>
              <w:pStyle w:val="BodyText"/>
              <w:rPr>
                <w:sz w:val="22"/>
                <w:szCs w:val="22"/>
              </w:rPr>
            </w:pPr>
          </w:p>
        </w:tc>
      </w:tr>
      <w:tr>
        <w:trPr>
          <w:jc w:val="center"/>
        </w:trPr>
        <w:tc>
          <w:tcPr>
            <w:tcW w:w="662" w:type="dxa"/>
            <w:tcBorders>
              <w:bottom w:val="single" w:sz="4" w:space="0" w:color="000000" w:themeColor="text1"/>
            </w:tcBorders>
            <w:shd w:val="clear" w:color="auto" w:fill="auto"/>
          </w:tcPr>
          <w:p>
            <w:pPr>
              <w:pStyle w:val="BodyText"/>
              <w:rPr>
                <w:sz w:val="22"/>
                <w:szCs w:val="22"/>
              </w:rPr>
            </w:pPr>
            <w:r>
              <w:rPr>
                <w:sz w:val="22"/>
                <w:szCs w:val="22"/>
              </w:rPr>
              <w:t>5</w:t>
            </w:r>
          </w:p>
        </w:tc>
        <w:tc>
          <w:tcPr>
            <w:tcW w:w="1800" w:type="dxa"/>
            <w:tcBorders>
              <w:bottom w:val="single" w:sz="4" w:space="0" w:color="000000" w:themeColor="text1"/>
            </w:tcBorders>
            <w:shd w:val="clear" w:color="auto" w:fill="auto"/>
          </w:tcPr>
          <w:p>
            <w:pPr>
              <w:pStyle w:val="BodyText"/>
              <w:rPr>
                <w:sz w:val="22"/>
                <w:szCs w:val="22"/>
              </w:rPr>
            </w:pPr>
            <w:r>
              <w:rPr>
                <w:b/>
                <w:i/>
                <w:sz w:val="22"/>
                <w:szCs w:val="22"/>
              </w:rPr>
              <w:t xml:space="preserve">Board Chairperson </w:t>
            </w:r>
            <w:r>
              <w:rPr>
                <w:sz w:val="22"/>
                <w:szCs w:val="22"/>
              </w:rPr>
              <w:t>(Section 5.4)</w:t>
            </w:r>
          </w:p>
        </w:tc>
        <w:tc>
          <w:tcPr>
            <w:tcW w:w="3420" w:type="dxa"/>
            <w:tcBorders>
              <w:bottom w:val="single" w:sz="4" w:space="0" w:color="000000" w:themeColor="text1"/>
            </w:tcBorders>
            <w:shd w:val="clear" w:color="auto" w:fill="auto"/>
          </w:tcPr>
          <w:p>
            <w:pPr>
              <w:pStyle w:val="BodyText"/>
              <w:rPr>
                <w:sz w:val="22"/>
                <w:szCs w:val="22"/>
              </w:rPr>
            </w:pPr>
            <w:r>
              <w:rPr>
                <w:sz w:val="22"/>
                <w:szCs w:val="22"/>
              </w:rPr>
              <w:t xml:space="preserve">The Proposed PTI Bylaws provide that the Chairperson “should be selected from among the Nominating Committee Directors.”  </w:t>
            </w:r>
          </w:p>
          <w:p>
            <w:pPr>
              <w:pStyle w:val="BodyText"/>
              <w:rPr>
                <w:sz w:val="22"/>
                <w:szCs w:val="22"/>
              </w:rPr>
            </w:pPr>
          </w:p>
        </w:tc>
        <w:tc>
          <w:tcPr>
            <w:tcW w:w="2594" w:type="dxa"/>
            <w:tcBorders>
              <w:bottom w:val="single" w:sz="4" w:space="0" w:color="000000" w:themeColor="text1"/>
            </w:tcBorders>
            <w:shd w:val="clear" w:color="auto" w:fill="auto"/>
          </w:tcPr>
          <w:p>
            <w:pPr>
              <w:pStyle w:val="BodyText"/>
              <w:rPr>
                <w:sz w:val="22"/>
                <w:szCs w:val="22"/>
              </w:rPr>
            </w:pPr>
            <w:r>
              <w:rPr>
                <w:sz w:val="22"/>
                <w:szCs w:val="22"/>
              </w:rPr>
              <w:t>ICANN’s comments on this issue are addressed in the governance chart (attached at footnote #1, above).</w:t>
            </w:r>
          </w:p>
          <w:p>
            <w:pPr>
              <w:pStyle w:val="BodyText"/>
              <w:rPr>
                <w:sz w:val="22"/>
                <w:szCs w:val="22"/>
              </w:rPr>
            </w:pPr>
          </w:p>
        </w:tc>
        <w:tc>
          <w:tcPr>
            <w:tcW w:w="3494" w:type="dxa"/>
            <w:tcBorders>
              <w:bottom w:val="single" w:sz="4" w:space="0" w:color="000000" w:themeColor="text1"/>
            </w:tcBorders>
            <w:shd w:val="clear" w:color="auto" w:fill="auto"/>
          </w:tcPr>
          <w:p>
            <w:pPr>
              <w:pStyle w:val="BodyText"/>
              <w:rPr>
                <w:sz w:val="22"/>
                <w:szCs w:val="22"/>
              </w:rPr>
            </w:pPr>
            <w:r>
              <w:rPr>
                <w:sz w:val="22"/>
                <w:szCs w:val="22"/>
              </w:rPr>
              <w:t xml:space="preserve">CWG to advise whether it would be acceptable to remove the requirement that the Chairperson should also be a Nominating Committee Director, given the other requirements in the Proposed PTI Bylaws that will ensure Nominating Committee Director representation (i.e., quorum requirements; 4/5 </w:t>
            </w:r>
            <w:r>
              <w:rPr>
                <w:sz w:val="22"/>
                <w:szCs w:val="22"/>
              </w:rPr>
              <w:lastRenderedPageBreak/>
              <w:t>voting threshold for certain actions).</w:t>
            </w:r>
          </w:p>
        </w:tc>
        <w:tc>
          <w:tcPr>
            <w:tcW w:w="2462" w:type="dxa"/>
            <w:tcBorders>
              <w:bottom w:val="single" w:sz="4" w:space="0" w:color="000000" w:themeColor="text1"/>
            </w:tcBorders>
            <w:shd w:val="clear" w:color="auto" w:fill="auto"/>
          </w:tcPr>
          <w:p>
            <w:pPr>
              <w:pStyle w:val="BodyText"/>
              <w:rPr>
                <w:sz w:val="22"/>
                <w:szCs w:val="22"/>
              </w:rPr>
            </w:pPr>
          </w:p>
        </w:tc>
      </w:tr>
      <w:tr>
        <w:trPr>
          <w:jc w:val="center"/>
        </w:trPr>
        <w:tc>
          <w:tcPr>
            <w:tcW w:w="662" w:type="dxa"/>
            <w:shd w:val="clear" w:color="auto" w:fill="auto"/>
          </w:tcPr>
          <w:p>
            <w:pPr>
              <w:pStyle w:val="BodyText"/>
              <w:rPr>
                <w:sz w:val="22"/>
                <w:szCs w:val="22"/>
              </w:rPr>
            </w:pPr>
            <w:r>
              <w:rPr>
                <w:sz w:val="22"/>
                <w:szCs w:val="22"/>
              </w:rPr>
              <w:lastRenderedPageBreak/>
              <w:t>6</w:t>
            </w:r>
          </w:p>
        </w:tc>
        <w:tc>
          <w:tcPr>
            <w:tcW w:w="1800" w:type="dxa"/>
            <w:shd w:val="clear" w:color="auto" w:fill="auto"/>
          </w:tcPr>
          <w:p>
            <w:pPr>
              <w:pStyle w:val="BodyText"/>
              <w:rPr>
                <w:sz w:val="22"/>
                <w:szCs w:val="22"/>
              </w:rPr>
            </w:pPr>
            <w:r>
              <w:rPr>
                <w:b/>
                <w:i/>
                <w:sz w:val="22"/>
                <w:szCs w:val="22"/>
              </w:rPr>
              <w:t>Terms of Directors</w:t>
            </w:r>
            <w:r>
              <w:rPr>
                <w:sz w:val="22"/>
                <w:szCs w:val="22"/>
              </w:rPr>
              <w:t xml:space="preserve"> (Section 5.5)</w:t>
            </w:r>
          </w:p>
        </w:tc>
        <w:tc>
          <w:tcPr>
            <w:tcW w:w="3420" w:type="dxa"/>
            <w:shd w:val="clear" w:color="auto" w:fill="auto"/>
          </w:tcPr>
          <w:p>
            <w:pPr>
              <w:pStyle w:val="BodyText"/>
              <w:rPr>
                <w:sz w:val="22"/>
                <w:szCs w:val="22"/>
              </w:rPr>
            </w:pPr>
            <w:r>
              <w:rPr>
                <w:sz w:val="22"/>
                <w:szCs w:val="22"/>
              </w:rPr>
              <w:t xml:space="preserve">The Proposed PTI Bylaws provide that the “Directors shall be elected by the Member…for two-year terms.”  </w:t>
            </w:r>
          </w:p>
          <w:p>
            <w:pPr>
              <w:pStyle w:val="BodyText"/>
              <w:rPr>
                <w:sz w:val="22"/>
                <w:szCs w:val="22"/>
              </w:rPr>
            </w:pPr>
          </w:p>
        </w:tc>
        <w:tc>
          <w:tcPr>
            <w:tcW w:w="2594" w:type="dxa"/>
            <w:shd w:val="clear" w:color="auto" w:fill="auto"/>
          </w:tcPr>
          <w:p>
            <w:pPr>
              <w:pStyle w:val="BodyText"/>
              <w:rPr>
                <w:sz w:val="22"/>
                <w:szCs w:val="22"/>
              </w:rPr>
            </w:pPr>
            <w:r>
              <w:rPr>
                <w:sz w:val="22"/>
                <w:szCs w:val="22"/>
              </w:rPr>
              <w:t>ICANN’s comments on this issue are addressed in the governance chart (attached at footnote #1, above).</w:t>
            </w:r>
          </w:p>
        </w:tc>
        <w:tc>
          <w:tcPr>
            <w:tcW w:w="3494" w:type="dxa"/>
            <w:shd w:val="clear" w:color="auto" w:fill="auto"/>
          </w:tcPr>
          <w:p>
            <w:pPr>
              <w:pStyle w:val="BodyText"/>
              <w:rPr>
                <w:sz w:val="22"/>
                <w:szCs w:val="22"/>
              </w:rPr>
            </w:pPr>
            <w:r>
              <w:rPr>
                <w:sz w:val="22"/>
                <w:szCs w:val="22"/>
              </w:rPr>
              <w:t xml:space="preserve">While we note that the default term for directors under California law is one year, we agree with ICANN’s comment that on-boarding and re-electing this frequently could be burdensome.  </w:t>
            </w:r>
          </w:p>
          <w:p>
            <w:pPr>
              <w:pStyle w:val="BodyText"/>
              <w:rPr>
                <w:sz w:val="22"/>
                <w:szCs w:val="22"/>
              </w:rPr>
            </w:pPr>
          </w:p>
          <w:p>
            <w:pPr>
              <w:pStyle w:val="BodyText"/>
              <w:rPr>
                <w:sz w:val="22"/>
                <w:szCs w:val="22"/>
              </w:rPr>
            </w:pPr>
            <w:r>
              <w:rPr>
                <w:sz w:val="22"/>
                <w:szCs w:val="22"/>
              </w:rPr>
              <w:t>CWG to advise whether a three-year term would be acceptable.</w:t>
            </w:r>
          </w:p>
          <w:p>
            <w:pPr>
              <w:pStyle w:val="BodyText"/>
              <w:rPr>
                <w:sz w:val="22"/>
                <w:szCs w:val="22"/>
              </w:rPr>
            </w:pPr>
          </w:p>
          <w:p>
            <w:pPr>
              <w:pStyle w:val="BodyText"/>
              <w:rPr>
                <w:sz w:val="22"/>
                <w:szCs w:val="22"/>
              </w:rPr>
            </w:pPr>
            <w:r>
              <w:rPr>
                <w:sz w:val="22"/>
                <w:szCs w:val="22"/>
                <w:u w:val="single"/>
              </w:rPr>
              <w:t>Notes</w:t>
            </w:r>
            <w:r>
              <w:rPr>
                <w:sz w:val="22"/>
                <w:szCs w:val="22"/>
              </w:rPr>
              <w:t xml:space="preserve">:  </w:t>
            </w:r>
          </w:p>
          <w:p>
            <w:pPr>
              <w:pStyle w:val="BodyText"/>
              <w:numPr>
                <w:ilvl w:val="0"/>
                <w:numId w:val="13"/>
              </w:numPr>
              <w:ind w:left="201" w:hanging="180"/>
              <w:rPr>
                <w:sz w:val="22"/>
                <w:szCs w:val="22"/>
              </w:rPr>
            </w:pPr>
            <w:r>
              <w:rPr>
                <w:sz w:val="22"/>
                <w:szCs w:val="22"/>
              </w:rPr>
              <w:t xml:space="preserve">The ICANN Bylaws provide for staggered three-year terms for directors. </w:t>
            </w:r>
            <w:r>
              <w:rPr>
                <w:i/>
                <w:sz w:val="22"/>
                <w:szCs w:val="22"/>
              </w:rPr>
              <w:t>See</w:t>
            </w:r>
            <w:r>
              <w:rPr>
                <w:sz w:val="22"/>
                <w:szCs w:val="22"/>
              </w:rPr>
              <w:t xml:space="preserve"> Section 7.8(a). </w:t>
            </w:r>
          </w:p>
          <w:p>
            <w:pPr>
              <w:pStyle w:val="BodyText"/>
              <w:numPr>
                <w:ilvl w:val="0"/>
                <w:numId w:val="13"/>
              </w:numPr>
              <w:ind w:left="201" w:hanging="180"/>
              <w:rPr>
                <w:sz w:val="22"/>
                <w:szCs w:val="22"/>
              </w:rPr>
            </w:pPr>
            <w:r>
              <w:rPr>
                <w:sz w:val="22"/>
                <w:szCs w:val="22"/>
              </w:rPr>
              <w:t xml:space="preserve">Under California law, for public benefit corporations with statutory members, the maximum term for elected directors is four years. </w:t>
            </w:r>
          </w:p>
        </w:tc>
        <w:tc>
          <w:tcPr>
            <w:tcW w:w="2462" w:type="dxa"/>
            <w:shd w:val="clear" w:color="auto" w:fill="auto"/>
          </w:tcPr>
          <w:p>
            <w:pPr>
              <w:pStyle w:val="BodyText"/>
              <w:rPr>
                <w:sz w:val="22"/>
                <w:szCs w:val="22"/>
              </w:rPr>
            </w:pPr>
          </w:p>
        </w:tc>
      </w:tr>
      <w:tr>
        <w:trPr>
          <w:jc w:val="center"/>
        </w:trPr>
        <w:tc>
          <w:tcPr>
            <w:tcW w:w="662" w:type="dxa"/>
            <w:tcBorders>
              <w:bottom w:val="single" w:sz="4" w:space="0" w:color="000000" w:themeColor="text1"/>
            </w:tcBorders>
            <w:shd w:val="clear" w:color="auto" w:fill="auto"/>
          </w:tcPr>
          <w:p>
            <w:pPr>
              <w:pStyle w:val="BodyText"/>
              <w:rPr>
                <w:sz w:val="22"/>
                <w:szCs w:val="22"/>
              </w:rPr>
            </w:pPr>
            <w:r>
              <w:rPr>
                <w:sz w:val="22"/>
                <w:szCs w:val="22"/>
              </w:rPr>
              <w:t>7</w:t>
            </w:r>
          </w:p>
        </w:tc>
        <w:tc>
          <w:tcPr>
            <w:tcW w:w="1800" w:type="dxa"/>
            <w:tcBorders>
              <w:bottom w:val="single" w:sz="4" w:space="0" w:color="000000" w:themeColor="text1"/>
            </w:tcBorders>
            <w:shd w:val="clear" w:color="auto" w:fill="auto"/>
          </w:tcPr>
          <w:p>
            <w:pPr>
              <w:pStyle w:val="BodyText"/>
              <w:rPr>
                <w:sz w:val="22"/>
                <w:szCs w:val="22"/>
              </w:rPr>
            </w:pPr>
            <w:r>
              <w:rPr>
                <w:b/>
                <w:i/>
                <w:sz w:val="22"/>
                <w:szCs w:val="22"/>
              </w:rPr>
              <w:t>Term Limits</w:t>
            </w:r>
            <w:r>
              <w:rPr>
                <w:sz w:val="22"/>
                <w:szCs w:val="22"/>
              </w:rPr>
              <w:t xml:space="preserve"> (Section 5.5.2)</w:t>
            </w:r>
          </w:p>
        </w:tc>
        <w:tc>
          <w:tcPr>
            <w:tcW w:w="3420" w:type="dxa"/>
            <w:tcBorders>
              <w:bottom w:val="single" w:sz="4" w:space="0" w:color="000000" w:themeColor="text1"/>
            </w:tcBorders>
            <w:shd w:val="clear" w:color="auto" w:fill="auto"/>
          </w:tcPr>
          <w:p>
            <w:pPr>
              <w:pStyle w:val="BodyText"/>
              <w:rPr>
                <w:sz w:val="22"/>
                <w:szCs w:val="22"/>
              </w:rPr>
            </w:pPr>
            <w:r>
              <w:rPr>
                <w:sz w:val="22"/>
                <w:szCs w:val="22"/>
              </w:rPr>
              <w:t xml:space="preserve">The Proposed PTI Bylaws provide that “no Nominating Committee Director may serve more than two consecutive terms.”  </w:t>
            </w:r>
          </w:p>
        </w:tc>
        <w:tc>
          <w:tcPr>
            <w:tcW w:w="2594" w:type="dxa"/>
            <w:tcBorders>
              <w:bottom w:val="single" w:sz="4" w:space="0" w:color="000000" w:themeColor="text1"/>
            </w:tcBorders>
            <w:shd w:val="clear" w:color="auto" w:fill="auto"/>
          </w:tcPr>
          <w:p>
            <w:pPr>
              <w:pStyle w:val="BodyText"/>
              <w:rPr>
                <w:sz w:val="22"/>
                <w:szCs w:val="22"/>
              </w:rPr>
            </w:pPr>
            <w:r>
              <w:rPr>
                <w:sz w:val="22"/>
                <w:szCs w:val="22"/>
              </w:rPr>
              <w:t>ICANN’s comments on this issue are addressed in the governance chart (attached at footnote #1, above).</w:t>
            </w:r>
          </w:p>
        </w:tc>
        <w:tc>
          <w:tcPr>
            <w:tcW w:w="3494" w:type="dxa"/>
            <w:tcBorders>
              <w:bottom w:val="single" w:sz="4" w:space="0" w:color="000000" w:themeColor="text1"/>
            </w:tcBorders>
            <w:shd w:val="clear" w:color="auto" w:fill="auto"/>
          </w:tcPr>
          <w:p>
            <w:pPr>
              <w:pStyle w:val="BodyText"/>
              <w:rPr>
                <w:sz w:val="22"/>
                <w:szCs w:val="22"/>
              </w:rPr>
            </w:pPr>
            <w:r>
              <w:rPr>
                <w:sz w:val="22"/>
                <w:szCs w:val="22"/>
              </w:rPr>
              <w:t>CWG to advise whether the value of additional years of experience on the PTI Board would warrant allowing for more than two consecutive terms.</w:t>
            </w:r>
          </w:p>
          <w:p>
            <w:pPr>
              <w:pStyle w:val="BodyText"/>
              <w:rPr>
                <w:sz w:val="22"/>
                <w:szCs w:val="22"/>
              </w:rPr>
            </w:pPr>
          </w:p>
          <w:p>
            <w:pPr>
              <w:pStyle w:val="BodyText"/>
              <w:rPr>
                <w:sz w:val="22"/>
                <w:szCs w:val="22"/>
              </w:rPr>
            </w:pPr>
            <w:r>
              <w:rPr>
                <w:sz w:val="22"/>
                <w:szCs w:val="22"/>
                <w:u w:val="single"/>
              </w:rPr>
              <w:t>Notes</w:t>
            </w:r>
            <w:r>
              <w:rPr>
                <w:sz w:val="22"/>
                <w:szCs w:val="22"/>
              </w:rPr>
              <w:t xml:space="preserve">:  </w:t>
            </w:r>
          </w:p>
          <w:p>
            <w:pPr>
              <w:pStyle w:val="BodyText"/>
              <w:numPr>
                <w:ilvl w:val="0"/>
                <w:numId w:val="13"/>
              </w:numPr>
              <w:ind w:left="201" w:hanging="180"/>
              <w:rPr>
                <w:sz w:val="22"/>
                <w:szCs w:val="22"/>
              </w:rPr>
            </w:pPr>
            <w:r>
              <w:rPr>
                <w:sz w:val="22"/>
                <w:szCs w:val="22"/>
              </w:rPr>
              <w:t xml:space="preserve">The ICANN Bylaws provide that directors may not serve more than three consecutive terms, and a person designated to fill a vacancy in a term shall not be deemed to have served that term. </w:t>
            </w:r>
            <w:r>
              <w:rPr>
                <w:i/>
                <w:sz w:val="22"/>
                <w:szCs w:val="22"/>
              </w:rPr>
              <w:t>See</w:t>
            </w:r>
            <w:r>
              <w:rPr>
                <w:sz w:val="22"/>
                <w:szCs w:val="22"/>
              </w:rPr>
              <w:t xml:space="preserve"> Section 7.8(e).</w:t>
            </w:r>
          </w:p>
          <w:p>
            <w:pPr>
              <w:pStyle w:val="BodyText"/>
              <w:numPr>
                <w:ilvl w:val="0"/>
                <w:numId w:val="13"/>
              </w:numPr>
              <w:ind w:left="201" w:hanging="180"/>
              <w:rPr>
                <w:sz w:val="22"/>
                <w:szCs w:val="22"/>
              </w:rPr>
            </w:pPr>
            <w:r>
              <w:rPr>
                <w:sz w:val="22"/>
                <w:szCs w:val="22"/>
              </w:rPr>
              <w:t xml:space="preserve">Under California law, the number </w:t>
            </w:r>
            <w:r>
              <w:rPr>
                <w:sz w:val="22"/>
                <w:szCs w:val="22"/>
              </w:rPr>
              <w:lastRenderedPageBreak/>
              <w:t>of times a director may be reelected is not limited.</w:t>
            </w:r>
          </w:p>
        </w:tc>
        <w:tc>
          <w:tcPr>
            <w:tcW w:w="2462" w:type="dxa"/>
            <w:tcBorders>
              <w:bottom w:val="single" w:sz="4" w:space="0" w:color="000000" w:themeColor="text1"/>
            </w:tcBorders>
            <w:shd w:val="clear" w:color="auto" w:fill="auto"/>
          </w:tcPr>
          <w:p>
            <w:pPr>
              <w:pStyle w:val="BodyText"/>
              <w:rPr>
                <w:sz w:val="22"/>
                <w:szCs w:val="22"/>
              </w:rPr>
            </w:pPr>
          </w:p>
        </w:tc>
      </w:tr>
      <w:tr>
        <w:trPr>
          <w:jc w:val="center"/>
        </w:trPr>
        <w:tc>
          <w:tcPr>
            <w:tcW w:w="662" w:type="dxa"/>
            <w:shd w:val="clear" w:color="auto" w:fill="auto"/>
          </w:tcPr>
          <w:p>
            <w:pPr>
              <w:pStyle w:val="BodyText"/>
              <w:rPr>
                <w:sz w:val="22"/>
                <w:szCs w:val="22"/>
              </w:rPr>
            </w:pPr>
            <w:r>
              <w:rPr>
                <w:sz w:val="22"/>
                <w:szCs w:val="22"/>
              </w:rPr>
              <w:lastRenderedPageBreak/>
              <w:t>8</w:t>
            </w:r>
          </w:p>
        </w:tc>
        <w:tc>
          <w:tcPr>
            <w:tcW w:w="1800" w:type="dxa"/>
            <w:shd w:val="clear" w:color="auto" w:fill="auto"/>
          </w:tcPr>
          <w:p>
            <w:pPr>
              <w:pStyle w:val="BodyText"/>
              <w:tabs>
                <w:tab w:val="center" w:pos="4680"/>
                <w:tab w:val="right" w:pos="9360"/>
              </w:tabs>
              <w:rPr>
                <w:b/>
                <w:i/>
                <w:sz w:val="22"/>
                <w:szCs w:val="22"/>
              </w:rPr>
            </w:pPr>
            <w:r>
              <w:rPr>
                <w:b/>
                <w:i/>
                <w:sz w:val="22"/>
                <w:szCs w:val="22"/>
              </w:rPr>
              <w:t xml:space="preserve">Supermajority Board Approval for Certain Board Actions </w:t>
            </w:r>
          </w:p>
          <w:p>
            <w:pPr>
              <w:pStyle w:val="BodyText"/>
              <w:rPr>
                <w:sz w:val="22"/>
                <w:szCs w:val="22"/>
              </w:rPr>
            </w:pPr>
            <w:r>
              <w:rPr>
                <w:sz w:val="22"/>
                <w:szCs w:val="22"/>
              </w:rPr>
              <w:t>(Section 5.11.3)</w:t>
            </w:r>
          </w:p>
        </w:tc>
        <w:tc>
          <w:tcPr>
            <w:tcW w:w="3420" w:type="dxa"/>
            <w:shd w:val="clear" w:color="auto" w:fill="auto"/>
          </w:tcPr>
          <w:p>
            <w:pPr>
              <w:pStyle w:val="BodyText"/>
              <w:rPr>
                <w:sz w:val="22"/>
                <w:szCs w:val="22"/>
              </w:rPr>
            </w:pPr>
            <w:r>
              <w:rPr>
                <w:sz w:val="22"/>
                <w:szCs w:val="22"/>
              </w:rPr>
              <w:t xml:space="preserve">Adjusted the threshold of approval so that the actions listed in this section require approval by four-fifths (4/5) of the Directors and the approval of the Member to be effective.  Deleted the proposed requirements that (i) the threshold include at least two ICANN Directors and two Nominating Committee Directors and (ii) if there are not two Nominating Committee Directors in office and entitled to vote on the matter, four-fifths of the Directors must still approve the action.    </w:t>
            </w:r>
          </w:p>
        </w:tc>
        <w:tc>
          <w:tcPr>
            <w:tcW w:w="2594" w:type="dxa"/>
            <w:shd w:val="clear" w:color="auto" w:fill="auto"/>
          </w:tcPr>
          <w:p>
            <w:pPr>
              <w:pStyle w:val="BodyText"/>
              <w:rPr>
                <w:sz w:val="22"/>
                <w:szCs w:val="22"/>
              </w:rPr>
            </w:pPr>
            <w:r>
              <w:rPr>
                <w:sz w:val="22"/>
                <w:szCs w:val="22"/>
              </w:rPr>
              <w:t>This threshold requirement is also flagged in the governance chart (attached at footnote #1, above).</w:t>
            </w:r>
          </w:p>
        </w:tc>
        <w:tc>
          <w:tcPr>
            <w:tcW w:w="3494" w:type="dxa"/>
            <w:shd w:val="clear" w:color="auto" w:fill="auto"/>
          </w:tcPr>
          <w:p>
            <w:pPr>
              <w:pStyle w:val="BodyText"/>
              <w:rPr>
                <w:sz w:val="22"/>
                <w:szCs w:val="22"/>
              </w:rPr>
            </w:pPr>
            <w:r>
              <w:rPr>
                <w:i/>
                <w:sz w:val="22"/>
                <w:szCs w:val="22"/>
              </w:rPr>
              <w:t>See</w:t>
            </w:r>
            <w:r>
              <w:rPr>
                <w:sz w:val="22"/>
                <w:szCs w:val="22"/>
              </w:rPr>
              <w:t xml:space="preserve"> comments in row #2 of the PTI Articles chart, above.  </w:t>
            </w:r>
          </w:p>
        </w:tc>
        <w:tc>
          <w:tcPr>
            <w:tcW w:w="2462" w:type="dxa"/>
          </w:tcPr>
          <w:p>
            <w:pPr>
              <w:pStyle w:val="BodyText"/>
              <w:rPr>
                <w:sz w:val="22"/>
                <w:szCs w:val="22"/>
              </w:rPr>
            </w:pPr>
          </w:p>
        </w:tc>
      </w:tr>
      <w:tr>
        <w:trPr>
          <w:jc w:val="center"/>
        </w:trPr>
        <w:tc>
          <w:tcPr>
            <w:tcW w:w="662" w:type="dxa"/>
            <w:tcBorders>
              <w:bottom w:val="single" w:sz="4" w:space="0" w:color="000000" w:themeColor="text1"/>
            </w:tcBorders>
          </w:tcPr>
          <w:p>
            <w:pPr>
              <w:pStyle w:val="BodyText"/>
              <w:rPr>
                <w:sz w:val="22"/>
                <w:szCs w:val="22"/>
              </w:rPr>
            </w:pPr>
            <w:r>
              <w:rPr>
                <w:sz w:val="22"/>
                <w:szCs w:val="22"/>
              </w:rPr>
              <w:t>9</w:t>
            </w:r>
          </w:p>
        </w:tc>
        <w:tc>
          <w:tcPr>
            <w:tcW w:w="1800" w:type="dxa"/>
            <w:tcBorders>
              <w:bottom w:val="single" w:sz="4" w:space="0" w:color="000000" w:themeColor="text1"/>
            </w:tcBorders>
          </w:tcPr>
          <w:p>
            <w:pPr>
              <w:pStyle w:val="BodyText"/>
              <w:rPr>
                <w:sz w:val="22"/>
                <w:szCs w:val="22"/>
              </w:rPr>
            </w:pPr>
            <w:r>
              <w:rPr>
                <w:b/>
                <w:i/>
                <w:sz w:val="22"/>
                <w:szCs w:val="22"/>
              </w:rPr>
              <w:t xml:space="preserve">Board Fees </w:t>
            </w:r>
            <w:r>
              <w:rPr>
                <w:sz w:val="22"/>
                <w:szCs w:val="22"/>
              </w:rPr>
              <w:t xml:space="preserve">(Section 5.16) </w:t>
            </w:r>
          </w:p>
        </w:tc>
        <w:tc>
          <w:tcPr>
            <w:tcW w:w="3420" w:type="dxa"/>
            <w:tcBorders>
              <w:bottom w:val="single" w:sz="4" w:space="0" w:color="000000" w:themeColor="text1"/>
            </w:tcBorders>
          </w:tcPr>
          <w:p>
            <w:pPr>
              <w:pStyle w:val="BodyText"/>
              <w:rPr>
                <w:sz w:val="22"/>
                <w:szCs w:val="22"/>
              </w:rPr>
            </w:pPr>
            <w:r>
              <w:rPr>
                <w:sz w:val="22"/>
                <w:szCs w:val="22"/>
              </w:rPr>
              <w:t xml:space="preserve">The Proposed PTI Bylaws provide for expense reimbursement for </w:t>
            </w:r>
            <w:r>
              <w:rPr>
                <w:i/>
                <w:sz w:val="22"/>
                <w:szCs w:val="22"/>
              </w:rPr>
              <w:t>both</w:t>
            </w:r>
            <w:r>
              <w:rPr>
                <w:sz w:val="22"/>
                <w:szCs w:val="22"/>
              </w:rPr>
              <w:t xml:space="preserve"> ICANN Directors and Nominating Committee Directors.  </w:t>
            </w:r>
          </w:p>
          <w:p>
            <w:pPr>
              <w:pStyle w:val="BodyText"/>
              <w:rPr>
                <w:sz w:val="22"/>
                <w:szCs w:val="22"/>
              </w:rPr>
            </w:pPr>
          </w:p>
        </w:tc>
        <w:tc>
          <w:tcPr>
            <w:tcW w:w="2594" w:type="dxa"/>
            <w:tcBorders>
              <w:bottom w:val="single" w:sz="4" w:space="0" w:color="000000" w:themeColor="text1"/>
            </w:tcBorders>
          </w:tcPr>
          <w:p>
            <w:pPr>
              <w:pStyle w:val="BodyText"/>
              <w:rPr>
                <w:sz w:val="22"/>
                <w:szCs w:val="22"/>
              </w:rPr>
            </w:pPr>
          </w:p>
        </w:tc>
        <w:tc>
          <w:tcPr>
            <w:tcW w:w="3494" w:type="dxa"/>
            <w:tcBorders>
              <w:bottom w:val="single" w:sz="4" w:space="0" w:color="000000" w:themeColor="text1"/>
            </w:tcBorders>
          </w:tcPr>
          <w:p>
            <w:pPr>
              <w:pStyle w:val="BodyText"/>
              <w:rPr>
                <w:sz w:val="22"/>
                <w:szCs w:val="22"/>
              </w:rPr>
            </w:pPr>
            <w:r>
              <w:rPr>
                <w:sz w:val="22"/>
                <w:szCs w:val="22"/>
              </w:rPr>
              <w:t xml:space="preserve">CWG to advise if parity among all directors on expense reimbursement is acceptable (rather than only reimbursing the Nominating Committee Directors).  </w:t>
            </w:r>
          </w:p>
        </w:tc>
        <w:tc>
          <w:tcPr>
            <w:tcW w:w="2462" w:type="dxa"/>
            <w:tcBorders>
              <w:bottom w:val="single" w:sz="4" w:space="0" w:color="000000" w:themeColor="text1"/>
            </w:tcBorders>
          </w:tcPr>
          <w:p>
            <w:pPr>
              <w:pStyle w:val="BodyText"/>
              <w:rPr>
                <w:sz w:val="22"/>
                <w:szCs w:val="22"/>
              </w:rPr>
            </w:pPr>
          </w:p>
        </w:tc>
      </w:tr>
      <w:tr>
        <w:trPr>
          <w:jc w:val="center"/>
        </w:trPr>
        <w:tc>
          <w:tcPr>
            <w:tcW w:w="662" w:type="dxa"/>
            <w:tcBorders>
              <w:bottom w:val="single" w:sz="4" w:space="0" w:color="000000" w:themeColor="text1"/>
            </w:tcBorders>
            <w:shd w:val="clear" w:color="auto" w:fill="auto"/>
          </w:tcPr>
          <w:p>
            <w:pPr>
              <w:pStyle w:val="BodyText"/>
              <w:rPr>
                <w:sz w:val="22"/>
                <w:szCs w:val="22"/>
              </w:rPr>
            </w:pPr>
            <w:r>
              <w:rPr>
                <w:sz w:val="22"/>
                <w:szCs w:val="22"/>
              </w:rPr>
              <w:t>10</w:t>
            </w:r>
          </w:p>
        </w:tc>
        <w:tc>
          <w:tcPr>
            <w:tcW w:w="1800" w:type="dxa"/>
            <w:tcBorders>
              <w:bottom w:val="single" w:sz="4" w:space="0" w:color="000000" w:themeColor="text1"/>
            </w:tcBorders>
            <w:shd w:val="clear" w:color="auto" w:fill="auto"/>
          </w:tcPr>
          <w:p>
            <w:pPr>
              <w:pStyle w:val="BodyText"/>
              <w:rPr>
                <w:sz w:val="22"/>
                <w:szCs w:val="22"/>
              </w:rPr>
            </w:pPr>
            <w:r>
              <w:rPr>
                <w:b/>
                <w:i/>
                <w:sz w:val="22"/>
                <w:szCs w:val="22"/>
              </w:rPr>
              <w:t>Establishment of Board Committees</w:t>
            </w:r>
            <w:r>
              <w:rPr>
                <w:sz w:val="22"/>
                <w:szCs w:val="22"/>
              </w:rPr>
              <w:t xml:space="preserve"> (Section 6.1)</w:t>
            </w:r>
          </w:p>
        </w:tc>
        <w:tc>
          <w:tcPr>
            <w:tcW w:w="3420" w:type="dxa"/>
            <w:tcBorders>
              <w:bottom w:val="single" w:sz="4" w:space="0" w:color="000000" w:themeColor="text1"/>
            </w:tcBorders>
            <w:shd w:val="clear" w:color="auto" w:fill="auto"/>
          </w:tcPr>
          <w:p>
            <w:pPr>
              <w:pStyle w:val="BodyText"/>
              <w:rPr>
                <w:sz w:val="22"/>
                <w:szCs w:val="22"/>
              </w:rPr>
            </w:pPr>
            <w:r>
              <w:rPr>
                <w:sz w:val="22"/>
                <w:szCs w:val="22"/>
              </w:rPr>
              <w:t xml:space="preserve">Adjusted the threshold of approval so that the creation of Board committees requires approval by four-fifths (4/5) of the Directors.  Deleted the proposed requirements that (i) the threshold include at least two ICANN Directors and two Nominating Committee Directors  and (ii) if there are not two Nominating Committee Directors in office and entitled to vote on the </w:t>
            </w:r>
            <w:r>
              <w:rPr>
                <w:sz w:val="22"/>
                <w:szCs w:val="22"/>
              </w:rPr>
              <w:lastRenderedPageBreak/>
              <w:t xml:space="preserve">matter, four-fifths of the Directors must still approve the action.    </w:t>
            </w:r>
          </w:p>
        </w:tc>
        <w:tc>
          <w:tcPr>
            <w:tcW w:w="2594" w:type="dxa"/>
            <w:tcBorders>
              <w:bottom w:val="single" w:sz="4" w:space="0" w:color="000000" w:themeColor="text1"/>
            </w:tcBorders>
            <w:shd w:val="clear" w:color="auto" w:fill="auto"/>
          </w:tcPr>
          <w:p>
            <w:pPr>
              <w:pStyle w:val="BodyText"/>
              <w:rPr>
                <w:sz w:val="22"/>
                <w:szCs w:val="22"/>
              </w:rPr>
            </w:pPr>
            <w:r>
              <w:rPr>
                <w:sz w:val="22"/>
                <w:szCs w:val="22"/>
              </w:rPr>
              <w:lastRenderedPageBreak/>
              <w:t>This threshold requirement is also flagged in the governance chart (attached at footnote #1, above).</w:t>
            </w:r>
          </w:p>
        </w:tc>
        <w:tc>
          <w:tcPr>
            <w:tcW w:w="3494" w:type="dxa"/>
            <w:tcBorders>
              <w:bottom w:val="single" w:sz="4" w:space="0" w:color="000000" w:themeColor="text1"/>
            </w:tcBorders>
            <w:shd w:val="clear" w:color="auto" w:fill="auto"/>
          </w:tcPr>
          <w:p>
            <w:pPr>
              <w:pStyle w:val="BodyText"/>
              <w:rPr>
                <w:sz w:val="22"/>
                <w:szCs w:val="22"/>
              </w:rPr>
            </w:pPr>
            <w:r>
              <w:rPr>
                <w:i/>
                <w:sz w:val="22"/>
                <w:szCs w:val="22"/>
              </w:rPr>
              <w:t>See</w:t>
            </w:r>
            <w:r>
              <w:rPr>
                <w:sz w:val="22"/>
                <w:szCs w:val="22"/>
              </w:rPr>
              <w:t xml:space="preserve"> comments in row #2 of the PTI Articles chart, above.  </w:t>
            </w:r>
          </w:p>
        </w:tc>
        <w:tc>
          <w:tcPr>
            <w:tcW w:w="2462" w:type="dxa"/>
            <w:tcBorders>
              <w:bottom w:val="single" w:sz="4" w:space="0" w:color="000000" w:themeColor="text1"/>
            </w:tcBorders>
          </w:tcPr>
          <w:p>
            <w:pPr>
              <w:pStyle w:val="BodyText"/>
              <w:rPr>
                <w:sz w:val="22"/>
                <w:szCs w:val="22"/>
              </w:rPr>
            </w:pPr>
          </w:p>
        </w:tc>
      </w:tr>
      <w:tr>
        <w:trPr>
          <w:jc w:val="center"/>
        </w:trPr>
        <w:tc>
          <w:tcPr>
            <w:tcW w:w="662" w:type="dxa"/>
            <w:tcBorders>
              <w:bottom w:val="single" w:sz="4" w:space="0" w:color="000000" w:themeColor="text1"/>
            </w:tcBorders>
            <w:shd w:val="clear" w:color="auto" w:fill="auto"/>
          </w:tcPr>
          <w:p>
            <w:pPr>
              <w:pStyle w:val="BodyText"/>
              <w:rPr>
                <w:sz w:val="22"/>
                <w:szCs w:val="22"/>
              </w:rPr>
            </w:pPr>
            <w:r>
              <w:rPr>
                <w:sz w:val="22"/>
                <w:szCs w:val="22"/>
              </w:rPr>
              <w:lastRenderedPageBreak/>
              <w:t>11</w:t>
            </w:r>
          </w:p>
        </w:tc>
        <w:tc>
          <w:tcPr>
            <w:tcW w:w="1800" w:type="dxa"/>
            <w:tcBorders>
              <w:bottom w:val="single" w:sz="4" w:space="0" w:color="000000" w:themeColor="text1"/>
            </w:tcBorders>
            <w:shd w:val="clear" w:color="auto" w:fill="auto"/>
          </w:tcPr>
          <w:p>
            <w:pPr>
              <w:pStyle w:val="BodyText"/>
              <w:rPr>
                <w:sz w:val="22"/>
                <w:szCs w:val="22"/>
              </w:rPr>
            </w:pPr>
            <w:r>
              <w:rPr>
                <w:b/>
                <w:i/>
                <w:sz w:val="22"/>
                <w:szCs w:val="22"/>
              </w:rPr>
              <w:t>Annual Budget and Strategic Plan</w:t>
            </w:r>
            <w:r>
              <w:rPr>
                <w:sz w:val="22"/>
                <w:szCs w:val="22"/>
              </w:rPr>
              <w:t xml:space="preserve"> (Sections 9.2 and 9.3) </w:t>
            </w:r>
          </w:p>
        </w:tc>
        <w:tc>
          <w:tcPr>
            <w:tcW w:w="3420" w:type="dxa"/>
            <w:tcBorders>
              <w:bottom w:val="single" w:sz="4" w:space="0" w:color="000000" w:themeColor="text1"/>
            </w:tcBorders>
            <w:shd w:val="clear" w:color="auto" w:fill="auto"/>
          </w:tcPr>
          <w:p>
            <w:pPr>
              <w:pStyle w:val="BodyText"/>
              <w:rPr>
                <w:sz w:val="22"/>
                <w:szCs w:val="22"/>
              </w:rPr>
            </w:pPr>
            <w:r>
              <w:rPr>
                <w:sz w:val="22"/>
                <w:szCs w:val="22"/>
              </w:rPr>
              <w:t xml:space="preserve">Noted in footnote #1 that the DT-O will be reviewing the sections on the Annual Budget and Strategic Plan.  </w:t>
            </w:r>
          </w:p>
          <w:p>
            <w:pPr>
              <w:pStyle w:val="BodyText"/>
              <w:rPr>
                <w:sz w:val="22"/>
                <w:szCs w:val="22"/>
              </w:rPr>
            </w:pPr>
          </w:p>
          <w:p>
            <w:pPr>
              <w:pStyle w:val="BodyText"/>
              <w:rPr>
                <w:sz w:val="22"/>
                <w:szCs w:val="22"/>
              </w:rPr>
            </w:pPr>
            <w:r>
              <w:rPr>
                <w:sz w:val="22"/>
                <w:szCs w:val="22"/>
              </w:rPr>
              <w:t xml:space="preserve">Removed brackets on the 270-day timeframe for the Annual Budget, but noted in footnote #1 that there will need to be a small modification in the timing requirements to allow time for PTI Board action.    </w:t>
            </w:r>
          </w:p>
        </w:tc>
        <w:tc>
          <w:tcPr>
            <w:tcW w:w="2594" w:type="dxa"/>
            <w:tcBorders>
              <w:bottom w:val="single" w:sz="4" w:space="0" w:color="000000" w:themeColor="text1"/>
            </w:tcBorders>
            <w:shd w:val="clear" w:color="auto" w:fill="auto"/>
          </w:tcPr>
          <w:p>
            <w:pPr>
              <w:pStyle w:val="BodyText"/>
              <w:rPr>
                <w:sz w:val="22"/>
                <w:szCs w:val="22"/>
              </w:rPr>
            </w:pPr>
            <w:r>
              <w:rPr>
                <w:sz w:val="22"/>
                <w:szCs w:val="22"/>
              </w:rPr>
              <w:t xml:space="preserve">The process for development and review of the Strategic Plan is also flagged in the governance chart (attached at footnote #1, above).  </w:t>
            </w:r>
          </w:p>
        </w:tc>
        <w:tc>
          <w:tcPr>
            <w:tcW w:w="3494" w:type="dxa"/>
            <w:tcBorders>
              <w:bottom w:val="single" w:sz="4" w:space="0" w:color="000000" w:themeColor="text1"/>
            </w:tcBorders>
            <w:shd w:val="clear" w:color="auto" w:fill="auto"/>
          </w:tcPr>
          <w:p>
            <w:pPr>
              <w:pStyle w:val="BodyText"/>
              <w:rPr>
                <w:sz w:val="22"/>
                <w:szCs w:val="22"/>
              </w:rPr>
            </w:pPr>
            <w:r>
              <w:rPr>
                <w:sz w:val="22"/>
                <w:szCs w:val="22"/>
              </w:rPr>
              <w:t xml:space="preserve">Further input on these two sections to come from the DT-O during the public comment period.  </w:t>
            </w:r>
          </w:p>
        </w:tc>
        <w:tc>
          <w:tcPr>
            <w:tcW w:w="2462" w:type="dxa"/>
            <w:tcBorders>
              <w:bottom w:val="single" w:sz="4" w:space="0" w:color="000000" w:themeColor="text1"/>
            </w:tcBorders>
            <w:shd w:val="clear" w:color="auto" w:fill="auto"/>
          </w:tcPr>
          <w:p>
            <w:pPr>
              <w:pStyle w:val="BodyText"/>
              <w:rPr>
                <w:sz w:val="22"/>
                <w:szCs w:val="22"/>
              </w:rPr>
            </w:pPr>
          </w:p>
        </w:tc>
      </w:tr>
      <w:tr>
        <w:trPr>
          <w:jc w:val="center"/>
        </w:trPr>
        <w:tc>
          <w:tcPr>
            <w:tcW w:w="662" w:type="dxa"/>
            <w:shd w:val="clear" w:color="auto" w:fill="auto"/>
          </w:tcPr>
          <w:p>
            <w:pPr>
              <w:pStyle w:val="BodyText"/>
              <w:rPr>
                <w:sz w:val="22"/>
                <w:szCs w:val="22"/>
              </w:rPr>
            </w:pPr>
            <w:r>
              <w:rPr>
                <w:sz w:val="22"/>
                <w:szCs w:val="22"/>
              </w:rPr>
              <w:t>12</w:t>
            </w:r>
          </w:p>
        </w:tc>
        <w:tc>
          <w:tcPr>
            <w:tcW w:w="1800" w:type="dxa"/>
            <w:shd w:val="clear" w:color="auto" w:fill="auto"/>
          </w:tcPr>
          <w:p>
            <w:pPr>
              <w:pStyle w:val="BodyText"/>
              <w:rPr>
                <w:sz w:val="22"/>
                <w:szCs w:val="22"/>
              </w:rPr>
            </w:pPr>
            <w:r>
              <w:rPr>
                <w:b/>
                <w:i/>
                <w:sz w:val="22"/>
                <w:szCs w:val="22"/>
              </w:rPr>
              <w:t>Amendments</w:t>
            </w:r>
            <w:r>
              <w:rPr>
                <w:sz w:val="22"/>
                <w:szCs w:val="22"/>
              </w:rPr>
              <w:t xml:space="preserve"> (Article 12)</w:t>
            </w:r>
          </w:p>
        </w:tc>
        <w:tc>
          <w:tcPr>
            <w:tcW w:w="3420" w:type="dxa"/>
            <w:shd w:val="clear" w:color="auto" w:fill="auto"/>
          </w:tcPr>
          <w:p>
            <w:pPr>
              <w:pStyle w:val="BodyText"/>
              <w:rPr>
                <w:sz w:val="22"/>
                <w:szCs w:val="22"/>
              </w:rPr>
            </w:pPr>
            <w:r>
              <w:rPr>
                <w:sz w:val="22"/>
                <w:szCs w:val="22"/>
              </w:rPr>
              <w:t>Adjusted the threshold of approval so that Bylaws amendments require approval by four-fifths (4/5) of the Directors and the approval of the Member, and deleted the proposed requirement that the threshold include at least two ICANN Directors and two Nominating Committee Directors.  However, in this section, the following requirement was retained: “</w:t>
            </w:r>
            <w:r>
              <w:rPr>
                <w:sz w:val="22"/>
                <w:szCs w:val="22"/>
                <w:highlight w:val="yellow"/>
              </w:rPr>
              <w:t>If there are not two Nominating Committee Directors in office and entitled to vote on the matter, four-fifths of the Directors must still approve of the action in order for the Board approval to be effective.</w:t>
            </w:r>
            <w:r>
              <w:rPr>
                <w:sz w:val="22"/>
                <w:szCs w:val="22"/>
              </w:rPr>
              <w:t xml:space="preserve">” </w:t>
            </w:r>
          </w:p>
        </w:tc>
        <w:tc>
          <w:tcPr>
            <w:tcW w:w="2594" w:type="dxa"/>
            <w:shd w:val="clear" w:color="auto" w:fill="auto"/>
          </w:tcPr>
          <w:p>
            <w:pPr>
              <w:pStyle w:val="BodyText"/>
              <w:rPr>
                <w:sz w:val="22"/>
                <w:szCs w:val="22"/>
              </w:rPr>
            </w:pPr>
            <w:r>
              <w:rPr>
                <w:sz w:val="22"/>
                <w:szCs w:val="22"/>
              </w:rPr>
              <w:t>This threshold requirement is also flagged in the governance chart (attached at footnote #1, above).</w:t>
            </w:r>
          </w:p>
        </w:tc>
        <w:tc>
          <w:tcPr>
            <w:tcW w:w="3494" w:type="dxa"/>
            <w:shd w:val="clear" w:color="auto" w:fill="auto"/>
          </w:tcPr>
          <w:p>
            <w:pPr>
              <w:pStyle w:val="BodyText"/>
              <w:rPr>
                <w:sz w:val="22"/>
                <w:szCs w:val="22"/>
              </w:rPr>
            </w:pPr>
            <w:r>
              <w:rPr>
                <w:i/>
                <w:sz w:val="22"/>
                <w:szCs w:val="22"/>
              </w:rPr>
              <w:t>See</w:t>
            </w:r>
            <w:r>
              <w:rPr>
                <w:sz w:val="22"/>
                <w:szCs w:val="22"/>
              </w:rPr>
              <w:t xml:space="preserve"> comments in row #2 of the PTI Articles chart, above.  </w:t>
            </w:r>
          </w:p>
          <w:p>
            <w:pPr>
              <w:pStyle w:val="BodyText"/>
              <w:rPr>
                <w:sz w:val="22"/>
                <w:szCs w:val="22"/>
              </w:rPr>
            </w:pPr>
          </w:p>
          <w:p>
            <w:pPr>
              <w:pStyle w:val="BodyText"/>
              <w:rPr>
                <w:sz w:val="22"/>
                <w:szCs w:val="22"/>
              </w:rPr>
            </w:pPr>
            <w:r>
              <w:rPr>
                <w:sz w:val="22"/>
                <w:szCs w:val="22"/>
              </w:rPr>
              <w:t>We believe the requirement highlighted in yellow was retained by ICANN in error, because this requirement was deleted in the other sections of the Proposed PTI Bylaws where the same threshold is addressed.</w:t>
            </w:r>
          </w:p>
        </w:tc>
        <w:tc>
          <w:tcPr>
            <w:tcW w:w="2462" w:type="dxa"/>
          </w:tcPr>
          <w:p>
            <w:pPr>
              <w:pStyle w:val="BodyText"/>
              <w:rPr>
                <w:sz w:val="22"/>
                <w:szCs w:val="22"/>
              </w:rPr>
            </w:pPr>
          </w:p>
        </w:tc>
      </w:tr>
    </w:tbl>
    <w:p>
      <w:pPr>
        <w:pStyle w:val="BodyText"/>
      </w:pPr>
    </w:p>
    <w:sectPr>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r>
      <w:fldChar w:fldCharType="begin"/>
    </w:r>
    <w:r>
      <w:instrText xml:space="preserve"> PAGE   \* MERGEFORMAT </w:instrText>
    </w:r>
    <w:r>
      <w:fldChar w:fldCharType="separate"/>
    </w:r>
    <w:r>
      <w:rPr>
        <w:noProof/>
      </w:rPr>
      <w:t>2</w:t>
    </w:r>
    <w:r>
      <w:fldChar w:fldCharType="end"/>
    </w:r>
  </w:p>
  <w:p>
    <w:pPr>
      <w:pStyle w:val="Footer"/>
    </w:pPr>
    <w:fldSimple w:instr=" DOCPROPERTY &quot;DocID&quot; \* MERGEFORMAT ">
      <w:r>
        <w:rPr>
          <w:rStyle w:val="DocID"/>
        </w:rPr>
        <w:t>215949144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215949144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ICANN legal has indicated that these items are not directly addressed in the CWG Final Proposal and have been flagged for further discussion with the ICANN board.  </w:t>
      </w:r>
      <w:r>
        <w:rPr>
          <w:i/>
        </w:rPr>
        <w:t>See</w:t>
      </w:r>
      <w:r>
        <w:t xml:space="preserve"> the governance chart from ICANN legal, annotated with Sidley’s comments (attached below).  </w:t>
      </w:r>
    </w:p>
    <w:p>
      <w:pPr>
        <w:pStyle w:val="FootnoteText"/>
      </w:pPr>
      <w: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pt;height:48pt" o:ole="">
            <v:imagedata r:id="rId1" o:title=""/>
          </v:shape>
          <o:OLEObject Type="Embed" ProgID="AcroExch.Document.7" ShapeID="_x0000_i1026" DrawAspect="Icon" ObjectID="_1530102945" r:id="rId2"/>
        </w:object>
      </w:r>
    </w:p>
  </w:footnote>
  <w:footnote w:id="2">
    <w:p>
      <w:pPr>
        <w:pStyle w:val="FootnoteText"/>
      </w:pPr>
      <w:r>
        <w:rPr>
          <w:rStyle w:val="FootnoteReference"/>
        </w:rPr>
        <w:footnoteRef/>
      </w:r>
      <w:r>
        <w:t xml:space="preserve"> </w:t>
      </w:r>
      <w:r>
        <w:rPr>
          <w:i/>
        </w:rPr>
        <w:t>See</w:t>
      </w:r>
      <w:r>
        <w:t xml:space="preserve"> the chart from ICANN legal (attached below) highlighting their concerns with incorporating the Annex C provisions of the CWG Final Proposal into the PTI Bylaws.</w:t>
      </w:r>
    </w:p>
    <w:bookmarkStart w:id="0" w:name="_MON_1530017110"/>
    <w:bookmarkEnd w:id="0"/>
    <w:p>
      <w:pPr>
        <w:pStyle w:val="FootnoteText"/>
      </w:pPr>
      <w:r>
        <w:object w:dxaOrig="1513" w:dyaOrig="960">
          <v:shape id="_x0000_i1028" type="#_x0000_t75" style="width:75.6pt;height:48pt" o:ole="">
            <v:imagedata r:id="rId3" o:title=""/>
          </v:shape>
          <o:OLEObject Type="Embed" ProgID="Word.Document.12" ShapeID="_x0000_i1028" DrawAspect="Icon" ObjectID="_1530102946" r:id="rId4">
            <o:FieldCodes>\s</o:FieldCodes>
          </o:OLEObject>
        </w:object>
      </w:r>
    </w:p>
    <w:p>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2"/>
        <w:szCs w:val="22"/>
      </w:rPr>
    </w:pPr>
    <w:r>
      <w:rPr>
        <w:b/>
        <w:sz w:val="22"/>
        <w:szCs w:val="22"/>
      </w:rPr>
      <w:t>Sidley Draft – 15 July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52CB2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AB0405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630C6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372FB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B76C62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78626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37E32B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40AA2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2BEB0419"/>
    <w:multiLevelType w:val="hybridMultilevel"/>
    <w:tmpl w:val="AAEE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4F9136CE"/>
    <w:multiLevelType w:val="hybridMultilevel"/>
    <w:tmpl w:val="87148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4">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package" Target="embeddings/Microsoft_Office_Word_Doc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E26C0-3D0C-4882-A5DC-535CB130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10</TotalTime>
  <Pages>8</Pages>
  <Words>1865</Words>
  <Characters>9833</Characters>
  <Application>Microsoft Office Word</Application>
  <DocSecurity>0</DocSecurity>
  <Lines>491</Lines>
  <Paragraphs>121</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11577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Greeley, Amy E.</dc:creator>
  <cp:lastModifiedBy>Greeley, Amy E.</cp:lastModifiedBy>
  <cp:revision>13</cp:revision>
  <cp:lastPrinted>2016-07-15T22:23:00Z</cp:lastPrinted>
  <dcterms:created xsi:type="dcterms:W3CDTF">2016-07-15T22:13:00Z</dcterms:created>
  <dcterms:modified xsi:type="dcterms:W3CDTF">2016-07-15T22:49:00Z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215949144</vt:lpwstr>
  </property>
  <property fmtid="{D5CDD505-2E9C-101B-9397-08002B2CF9AE}" pid="4" name="_AdHocReviewCycleID">
    <vt:i4>-407126362</vt:i4>
  </property>
  <property fmtid="{D5CDD505-2E9C-101B-9397-08002B2CF9AE}" pid="5" name="_NewReviewCycle">
    <vt:lpwstr/>
  </property>
  <property fmtid="{D5CDD505-2E9C-101B-9397-08002B2CF9AE}" pid="6" name="_EmailSubject">
    <vt:lpwstr>Proposed PTI Articles and Bylaws_Open Items_July 14_2016.DOCX</vt:lpwstr>
  </property>
  <property fmtid="{D5CDD505-2E9C-101B-9397-08002B2CF9AE}" pid="7" name="_AuthorEmail">
    <vt:lpwstr>AGreeley@Sidley.com</vt:lpwstr>
  </property>
  <property fmtid="{D5CDD505-2E9C-101B-9397-08002B2CF9AE}" pid="8" name="_AuthorEmailDisplayName">
    <vt:lpwstr>Greeley, Amy E.</vt:lpwstr>
  </property>
</Properties>
</file>