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D65E7E" w:rsidRDefault="001F5647" w:rsidP="001F5647">
      <w:pPr>
        <w:rPr>
          <w:rFonts w:ascii="Arial" w:hAnsi="Arial" w:cs="Arial"/>
          <w:b/>
        </w:rPr>
      </w:pPr>
      <w:r>
        <w:rPr>
          <w:rFonts w:ascii="Arial" w:hAnsi="Arial"/>
          <w:b/>
          <w:bCs/>
        </w:rPr>
        <w:t>مقدمة الرؤساء: نحو مقترح نهائي</w:t>
      </w:r>
    </w:p>
    <w:p w:rsidR="001F5647" w:rsidRPr="00D65E7E" w:rsidRDefault="001F5647" w:rsidP="001F5647">
      <w:pPr>
        <w:rPr>
          <w:rFonts w:ascii="Arial" w:hAnsi="Arial" w:cs="Arial"/>
        </w:rPr>
      </w:pPr>
      <w:r>
        <w:rPr>
          <w:rFonts w:ascii="Arial" w:hAnsi="Arial"/>
        </w:rPr>
        <w:t>22 أبريل 2015</w:t>
      </w:r>
    </w:p>
    <w:p w:rsidR="001F5647" w:rsidRPr="00D65E7E" w:rsidRDefault="001F5647" w:rsidP="001F5647">
      <w:pPr>
        <w:rPr>
          <w:rFonts w:ascii="Arial" w:hAnsi="Arial" w:cs="Arial"/>
        </w:rPr>
      </w:pPr>
    </w:p>
    <w:p w:rsidR="001F5647" w:rsidRPr="00D65E7E" w:rsidRDefault="001F5647" w:rsidP="001F5647">
      <w:pPr>
        <w:rPr>
          <w:rFonts w:ascii="Arial" w:hAnsi="Arial" w:cs="Arial"/>
        </w:rPr>
      </w:pPr>
    </w:p>
    <w:p w:rsidR="001351C5" w:rsidRDefault="00933758" w:rsidP="005E5A9E">
      <w:pPr>
        <w:rPr>
          <w:rFonts w:ascii="Arial" w:hAnsi="Arial" w:cs="Arial"/>
        </w:rPr>
      </w:pPr>
      <w:r>
        <w:rPr>
          <w:rFonts w:ascii="Arial" w:hAnsi="Arial"/>
        </w:rPr>
        <w:t xml:space="preserve">اليوم، تسعى مجموعة عمل المجتمع البيني في منظمة </w:t>
      </w:r>
      <w:r>
        <w:rPr>
          <w:rFonts w:ascii="Arial" w:hAnsi="Arial"/>
          <w:rtl w:val="0"/>
        </w:rPr>
        <w:t>ICANN</w:t>
      </w:r>
      <w:r>
        <w:rPr>
          <w:rFonts w:ascii="Arial" w:hAnsi="Arial"/>
        </w:rPr>
        <w:t>، والتي تتولى مسؤولية الجزء المرتبط بالتسمية ضمن عملية نقل المسؤولية الإشرافية لهيئة الأرقام المخصصة للإنترنت (</w:t>
      </w:r>
      <w:r>
        <w:rPr>
          <w:rFonts w:ascii="Arial" w:hAnsi="Arial"/>
          <w:rtl w:val="0"/>
        </w:rPr>
        <w:t>IANA</w:t>
      </w:r>
      <w:r>
        <w:rPr>
          <w:rFonts w:ascii="Arial" w:hAnsi="Arial"/>
        </w:rPr>
        <w:t xml:space="preserve">) (وتُعرف باسم "مجموعة </w:t>
      </w:r>
      <w:r>
        <w:rPr>
          <w:rFonts w:ascii="Arial" w:hAnsi="Arial"/>
          <w:rtl w:val="0"/>
        </w:rPr>
        <w:t>CWG-Stewardship")</w:t>
      </w:r>
      <w:r>
        <w:rPr>
          <w:rStyle w:val="a5"/>
          <w:rFonts w:ascii="Arial" w:hAnsi="Arial"/>
          <w:rtl w:val="0"/>
        </w:rPr>
        <w:footnoteReference w:id="1"/>
      </w:r>
      <w:r>
        <w:rPr>
          <w:rFonts w:ascii="Arial" w:hAnsi="Arial"/>
        </w:rPr>
        <w:t xml:space="preserve"> إلى طرح مسودة مقترحها الثاني لنقل المسؤولية الإشرافية لعقد وظائف </w:t>
      </w:r>
      <w:r>
        <w:rPr>
          <w:rFonts w:ascii="Arial" w:hAnsi="Arial"/>
          <w:rtl w:val="0"/>
        </w:rPr>
        <w:t>IANA</w:t>
      </w:r>
      <w:r>
        <w:rPr>
          <w:rFonts w:ascii="Arial" w:hAnsi="Arial"/>
        </w:rPr>
        <w:t xml:space="preserve"> من وكالة المعلومات والاتصالات الداخلية التابعة لوزارة التجارة الأمريكية إلى المجتمع العالمي لأصحاب المصالح المتعددين على التعليق العام. وقد تمت صياغة مسودة المقترح بغية تمهيد الطريق أمام الرد (المقترح النهائي) على مطالبة مجموعة تنسيق نقل المسؤولية الإشرافية لـ </w:t>
      </w:r>
      <w:r>
        <w:rPr>
          <w:rFonts w:ascii="Arial" w:hAnsi="Arial"/>
          <w:rtl w:val="0"/>
        </w:rPr>
        <w:t>IANA</w:t>
      </w:r>
      <w:r>
        <w:rPr>
          <w:rFonts w:ascii="Arial" w:hAnsi="Arial"/>
        </w:rPr>
        <w:t xml:space="preserve"> ‏(</w:t>
      </w:r>
      <w:r>
        <w:rPr>
          <w:rFonts w:ascii="Arial" w:hAnsi="Arial"/>
          <w:rtl w:val="0"/>
        </w:rPr>
        <w:t>ICG</w:t>
      </w:r>
      <w:r>
        <w:rPr>
          <w:rFonts w:ascii="Arial" w:hAnsi="Arial"/>
        </w:rPr>
        <w:t>) بالمقترحات.</w:t>
      </w:r>
    </w:p>
    <w:p w:rsidR="001351C5" w:rsidRDefault="001351C5" w:rsidP="005E5A9E">
      <w:pPr>
        <w:rPr>
          <w:rFonts w:ascii="Arial" w:hAnsi="Arial" w:cs="Arial"/>
        </w:rPr>
      </w:pPr>
    </w:p>
    <w:p w:rsidR="002B6191" w:rsidRDefault="001F5647" w:rsidP="005E5A9E">
      <w:pPr>
        <w:rPr>
          <w:rFonts w:ascii="Arial" w:hAnsi="Arial" w:cs="Arial"/>
        </w:rPr>
      </w:pPr>
      <w:r>
        <w:rPr>
          <w:rFonts w:ascii="Arial" w:hAnsi="Arial"/>
        </w:rPr>
        <w:t xml:space="preserve">تتألف مجموعة </w:t>
      </w:r>
      <w:r>
        <w:rPr>
          <w:rFonts w:ascii="Arial" w:hAnsi="Arial"/>
          <w:rtl w:val="0"/>
        </w:rPr>
        <w:t>CWG-Stewardship</w:t>
      </w:r>
      <w:r>
        <w:rPr>
          <w:rFonts w:ascii="Arial" w:hAnsi="Arial"/>
        </w:rPr>
        <w:t xml:space="preserve">، والتي تشكلت فقط منذ ستة أشهر، من 19 عضوًا معينًا عن طريق منظمات الدعم واللجان الاستشارية التابعة لمنظمة </w:t>
      </w:r>
      <w:r>
        <w:rPr>
          <w:rFonts w:ascii="Arial" w:hAnsi="Arial"/>
          <w:rtl w:val="0"/>
        </w:rPr>
        <w:t>ICANN</w:t>
      </w:r>
      <w:r>
        <w:rPr>
          <w:rFonts w:ascii="Arial" w:hAnsi="Arial"/>
        </w:rPr>
        <w:t xml:space="preserve"> وقائمة متزايدة بشكل مستمر من المشاركين الأفراد.</w:t>
      </w:r>
      <w:r>
        <w:rPr>
          <w:rStyle w:val="a5"/>
          <w:rFonts w:ascii="Arial" w:hAnsi="Arial"/>
          <w:rtl w:val="0"/>
        </w:rPr>
        <w:footnoteReference w:id="2"/>
      </w:r>
      <w:r>
        <w:rPr>
          <w:rFonts w:ascii="Arial" w:hAnsi="Arial"/>
        </w:rPr>
        <w:t xml:space="preserve"> بدأت المجموعة عملها في شهر أكتوبر من عام 2014، وعقدت 42 اجتماعًا حضرها كامل الأعضاء، وأكثر منها من اجتماعات المجمعات الفرعية حتى هذه اللحظة.</w:t>
      </w:r>
    </w:p>
    <w:p w:rsidR="00B91EB3" w:rsidRDefault="00B91EB3" w:rsidP="005E5A9E">
      <w:pPr>
        <w:rPr>
          <w:rFonts w:ascii="Arial" w:hAnsi="Arial" w:cs="Arial"/>
        </w:rPr>
      </w:pPr>
    </w:p>
    <w:p w:rsidR="00B85751" w:rsidRDefault="00C96623" w:rsidP="00B85751">
      <w:pPr>
        <w:rPr>
          <w:rFonts w:ascii="Arial" w:hAnsi="Arial" w:cs="Arial"/>
        </w:rPr>
      </w:pPr>
      <w:r>
        <w:rPr>
          <w:rFonts w:ascii="Arial" w:hAnsi="Arial"/>
        </w:rPr>
        <w:t xml:space="preserve">أشار التعليق العام الذي تلى نشر أول مسودة اقتراح لمجموعة </w:t>
      </w:r>
      <w:r>
        <w:rPr>
          <w:rFonts w:ascii="Arial" w:hAnsi="Arial"/>
          <w:rtl w:val="0"/>
        </w:rPr>
        <w:t>CWG-Stewardship</w:t>
      </w:r>
      <w:r>
        <w:rPr>
          <w:rFonts w:ascii="Arial" w:hAnsi="Arial"/>
        </w:rPr>
        <w:t xml:space="preserve"> في ديسمبر بوضوح إلى أن المجموعة كانت بحاجة إلى المزيد من التطوير لتفاصيل مقترحها، وتزويد المجتمع بصيغة معدّلة للمقترح. وقد أخذت مجموعة </w:t>
      </w:r>
      <w:r>
        <w:rPr>
          <w:rFonts w:ascii="Arial" w:hAnsi="Arial"/>
          <w:rtl w:val="0"/>
        </w:rPr>
        <w:t>CWG-Stewardship</w:t>
      </w:r>
      <w:r>
        <w:rPr>
          <w:rFonts w:ascii="Arial" w:hAnsi="Arial"/>
        </w:rPr>
        <w:t xml:space="preserve"> طلب </w:t>
      </w:r>
      <w:r>
        <w:rPr>
          <w:rFonts w:ascii="Arial" w:hAnsi="Arial"/>
          <w:rtl w:val="0"/>
        </w:rPr>
        <w:t>ICANN</w:t>
      </w:r>
      <w:r>
        <w:rPr>
          <w:rFonts w:ascii="Arial" w:hAnsi="Arial"/>
        </w:rPr>
        <w:t xml:space="preserve"> في الاعتبار، وهي الآن بصدد تقديم مسودتها  الثانية إلى المجتمع لفترة تعليق عام تستمر لمدة 28 يومًا. </w:t>
      </w:r>
    </w:p>
    <w:p w:rsidR="00605B5A" w:rsidRDefault="00DD5D82" w:rsidP="005E5A9E">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w:txbxContent>
                <w:p w:rsidR="00082590" w:rsidRPr="007141A4" w:rsidRDefault="00082590">
                  <w:pPr>
                    <w:rPr>
                      <w:rFonts w:ascii="Arial" w:hAnsi="Arial" w:cs="Arial"/>
                      <w:sz w:val="20"/>
                      <w:szCs w:val="20"/>
                    </w:rPr>
                  </w:pPr>
                  <w:r>
                    <w:rPr>
                      <w:rFonts w:ascii="Arial" w:hAnsi="Arial"/>
                      <w:b/>
                      <w:bCs/>
                      <w:sz w:val="20"/>
                      <w:szCs w:val="20"/>
                    </w:rPr>
                    <w:t>ملاحظة توضيحية</w:t>
                  </w:r>
                  <w:r>
                    <w:rPr>
                      <w:rFonts w:ascii="Arial" w:hAnsi="Arial"/>
                      <w:sz w:val="20"/>
                      <w:szCs w:val="20"/>
                    </w:rPr>
                    <w:t xml:space="preserve">: في الصفحات القليلة القادمة، تحمل الرؤساء على عاتقهم مسؤولية تلخيص محتوى المسودة  الثانية، وشرح تطورها، ومعالجة المجالات التي تتطلب المزيد من العمل. هذه المقدمة ليست سوى ملخص، ولا يُقصد منها تقديم المحتوى في التنسيق المطلوب من مجموعة تنسيق نقل المسؤولية الإشرافية لـ </w:t>
                  </w:r>
                  <w:r>
                    <w:rPr>
                      <w:rFonts w:ascii="Arial" w:hAnsi="Arial"/>
                      <w:sz w:val="20"/>
                      <w:rtl w:val="0"/>
                    </w:rPr>
                    <w:t>IANA</w:t>
                  </w:r>
                  <w:r>
                    <w:rPr>
                      <w:rFonts w:ascii="Arial" w:hAnsi="Arial"/>
                      <w:sz w:val="20"/>
                      <w:szCs w:val="20"/>
                    </w:rPr>
                    <w:t xml:space="preserve"> ‏(</w:t>
                  </w:r>
                  <w:r>
                    <w:rPr>
                      <w:rFonts w:ascii="Arial" w:hAnsi="Arial"/>
                      <w:sz w:val="20"/>
                      <w:rtl w:val="0"/>
                    </w:rPr>
                    <w:t>ICG</w:t>
                  </w:r>
                  <w:r>
                    <w:rPr>
                      <w:rFonts w:ascii="Arial" w:hAnsi="Arial"/>
                      <w:sz w:val="20"/>
                      <w:szCs w:val="20"/>
                    </w:rPr>
                    <w:t xml:space="preserve">) مسودة المقترح هي وثيقة نطلب بموجبها التعليقات؛ نظرًا لأن هذه هي الوثيقة التي سوف تسلمها مجموعة </w:t>
                  </w:r>
                  <w:r>
                    <w:rPr>
                      <w:rFonts w:ascii="Arial" w:hAnsi="Arial"/>
                      <w:sz w:val="20"/>
                      <w:rtl w:val="0"/>
                    </w:rPr>
                    <w:t>CWG-Stewardship</w:t>
                  </w:r>
                  <w:r>
                    <w:rPr>
                      <w:rFonts w:ascii="Arial" w:hAnsi="Arial"/>
                      <w:sz w:val="20"/>
                      <w:szCs w:val="20"/>
                    </w:rPr>
                    <w:t xml:space="preserve"> إلى مجموعة تنسيق نقل المسؤولية الإشرافية لـ </w:t>
                  </w:r>
                  <w:r>
                    <w:rPr>
                      <w:rFonts w:ascii="Arial" w:hAnsi="Arial"/>
                      <w:sz w:val="20"/>
                      <w:rtl w:val="0"/>
                    </w:rPr>
                    <w:t>IANA</w:t>
                  </w:r>
                  <w:r>
                    <w:rPr>
                      <w:rFonts w:ascii="Arial" w:hAnsi="Arial"/>
                      <w:sz w:val="20"/>
                      <w:szCs w:val="20"/>
                    </w:rPr>
                    <w:t xml:space="preserve"> ‏(</w:t>
                  </w:r>
                  <w:r>
                    <w:rPr>
                      <w:rFonts w:ascii="Arial" w:hAnsi="Arial"/>
                      <w:sz w:val="20"/>
                      <w:rtl w:val="0"/>
                    </w:rPr>
                    <w:t>ICG</w:t>
                  </w:r>
                  <w:r>
                    <w:rPr>
                      <w:rFonts w:ascii="Arial" w:hAnsi="Arial"/>
                      <w:sz w:val="20"/>
                      <w:szCs w:val="20"/>
                    </w:rPr>
                    <w:t xml:space="preserve">). </w:t>
                  </w:r>
                </w:p>
              </w:txbxContent>
            </v:textbox>
            <w10:wrap type="topAndBottom"/>
          </v:shape>
        </w:pict>
      </w:r>
    </w:p>
    <w:p w:rsidR="00106B56" w:rsidRDefault="00106B56" w:rsidP="005E5A9E">
      <w:pPr>
        <w:rPr>
          <w:rFonts w:ascii="Arial" w:hAnsi="Arial" w:cs="Arial"/>
        </w:rPr>
      </w:pPr>
    </w:p>
    <w:p w:rsidR="00502C6B" w:rsidRPr="00106B56" w:rsidRDefault="00502C6B" w:rsidP="005E5A9E">
      <w:pPr>
        <w:rPr>
          <w:rFonts w:ascii="Arial" w:hAnsi="Arial" w:cs="Arial"/>
        </w:rPr>
      </w:pPr>
    </w:p>
    <w:p w:rsidR="00502C6B" w:rsidRPr="00D65E7E" w:rsidRDefault="00502C6B" w:rsidP="005E5A9E">
      <w:pPr>
        <w:rPr>
          <w:rFonts w:ascii="Arial" w:hAnsi="Arial" w:cs="Arial"/>
          <w:b/>
        </w:rPr>
      </w:pPr>
      <w:r>
        <w:rPr>
          <w:rFonts w:ascii="Arial" w:hAnsi="Arial"/>
          <w:b/>
          <w:bCs/>
        </w:rPr>
        <w:t>مراحل تطور مسودة المقترح الثانية</w:t>
      </w:r>
    </w:p>
    <w:p w:rsidR="00933758" w:rsidRPr="00D65E7E" w:rsidRDefault="00933758" w:rsidP="005E5A9E">
      <w:pPr>
        <w:rPr>
          <w:rFonts w:ascii="Arial" w:hAnsi="Arial" w:cs="Arial"/>
        </w:rPr>
      </w:pPr>
    </w:p>
    <w:p w:rsidR="00933758" w:rsidRPr="00D65E7E" w:rsidRDefault="008F3C12" w:rsidP="005E5A9E">
      <w:pPr>
        <w:rPr>
          <w:rFonts w:ascii="Arial" w:hAnsi="Arial" w:cs="Arial"/>
        </w:rPr>
      </w:pPr>
      <w:r>
        <w:rPr>
          <w:rFonts w:ascii="Arial" w:hAnsi="Arial"/>
        </w:rPr>
        <w:t xml:space="preserve">ما يلي يمثل السياق الواقعي لتطور مسودة المقترح الثانية. </w:t>
      </w:r>
    </w:p>
    <w:p w:rsidR="00B77ADC" w:rsidRPr="00D65E7E" w:rsidRDefault="00B77ADC" w:rsidP="005E5A9E">
      <w:pPr>
        <w:rPr>
          <w:rFonts w:ascii="Arial" w:hAnsi="Arial" w:cs="Arial"/>
        </w:rPr>
      </w:pPr>
    </w:p>
    <w:p w:rsidR="005D48E5" w:rsidRPr="00D65E7E" w:rsidRDefault="00B77ADC" w:rsidP="005E5A9E">
      <w:pPr>
        <w:rPr>
          <w:rFonts w:ascii="Arial" w:hAnsi="Arial" w:cs="Arial"/>
        </w:rPr>
      </w:pPr>
      <w:r>
        <w:rPr>
          <w:rFonts w:ascii="Arial" w:hAnsi="Arial"/>
        </w:rPr>
        <w:t xml:space="preserve">وقد طرحت مجموعة </w:t>
      </w:r>
      <w:r>
        <w:rPr>
          <w:rFonts w:ascii="Arial" w:hAnsi="Arial"/>
          <w:rtl w:val="0"/>
        </w:rPr>
        <w:t>CWG-Stewardship</w:t>
      </w:r>
      <w:r>
        <w:rPr>
          <w:rFonts w:ascii="Arial" w:hAnsi="Arial"/>
        </w:rPr>
        <w:t xml:space="preserve"> مسودة المقترح الأول لها للتعليق العام بتاريخ 1 ديسمبر 2014. وفي ختام فترة التعليق العام، عمدت مجموعة </w:t>
      </w:r>
      <w:r>
        <w:rPr>
          <w:rFonts w:ascii="Arial" w:hAnsi="Arial"/>
          <w:rtl w:val="0"/>
        </w:rPr>
        <w:t>CWG-Stewardship</w:t>
      </w:r>
      <w:r>
        <w:rPr>
          <w:rFonts w:ascii="Arial" w:hAnsi="Arial"/>
        </w:rPr>
        <w:t xml:space="preserve"> إلى مراجعة التعليقات التي تلقتها وتحليلها. وقد عبر عدد من التعليقات التي تم تلقيها عن القلق بشأن ما تم النظر إليه بوصفه هيكلاً معقدًا تعقيدًا شديدًا ينقصه التفاصيل والضمانات بشأن القابلية للمساءلة. </w:t>
      </w:r>
    </w:p>
    <w:p w:rsidR="005D48E5" w:rsidRPr="00D65E7E" w:rsidRDefault="005D48E5" w:rsidP="005E5A9E">
      <w:pPr>
        <w:rPr>
          <w:rFonts w:ascii="Arial" w:hAnsi="Arial" w:cs="Arial"/>
        </w:rPr>
      </w:pPr>
    </w:p>
    <w:p w:rsidR="005E5A9E" w:rsidRPr="00D65E7E" w:rsidRDefault="00D63BB0" w:rsidP="005E5A9E">
      <w:pPr>
        <w:rPr>
          <w:rFonts w:ascii="Arial" w:hAnsi="Arial" w:cs="Arial"/>
        </w:rPr>
      </w:pPr>
      <w:r>
        <w:rPr>
          <w:rFonts w:ascii="Arial" w:hAnsi="Arial"/>
        </w:rPr>
        <w:lastRenderedPageBreak/>
        <w:t xml:space="preserve">وفي استجابة لذلك، قامت مجموعة </w:t>
      </w:r>
      <w:r>
        <w:rPr>
          <w:rFonts w:ascii="Arial" w:hAnsi="Arial"/>
          <w:rtl w:val="0"/>
        </w:rPr>
        <w:t>CWG-Stewardship</w:t>
      </w:r>
      <w:r>
        <w:rPr>
          <w:rFonts w:ascii="Arial" w:hAnsi="Arial"/>
        </w:rPr>
        <w:t xml:space="preserve"> وبدعم من مجموعة تنسيق نقل المسؤولية الإشرافية لـ </w:t>
      </w:r>
      <w:r>
        <w:rPr>
          <w:rFonts w:ascii="Arial" w:hAnsi="Arial"/>
          <w:rtl w:val="0"/>
        </w:rPr>
        <w:t>IANA</w:t>
      </w:r>
      <w:r>
        <w:rPr>
          <w:rFonts w:ascii="Arial" w:hAnsi="Arial"/>
        </w:rPr>
        <w:t xml:space="preserve"> ‏(</w:t>
      </w:r>
      <w:r>
        <w:rPr>
          <w:rFonts w:ascii="Arial" w:hAnsi="Arial"/>
          <w:rtl w:val="0"/>
        </w:rPr>
        <w:t>ICG)</w:t>
      </w:r>
      <w:r>
        <w:rPr>
          <w:rFonts w:ascii="Arial" w:hAnsi="Arial"/>
        </w:rPr>
        <w:t>،</w:t>
      </w:r>
      <w:r>
        <w:rPr>
          <w:rStyle w:val="a5"/>
          <w:rFonts w:ascii="Arial" w:hAnsi="Arial"/>
          <w:rtl w:val="0"/>
        </w:rPr>
        <w:footnoteReference w:id="3"/>
      </w:r>
      <w:r>
        <w:rPr>
          <w:rFonts w:ascii="Arial" w:hAnsi="Arial"/>
        </w:rPr>
        <w:t xml:space="preserve"> جدولها الزمني الأصلي وبدأت في دراسة العديد من النماذج الهيكلية البديلة والتي لم تخضع للدراسة بالشكل الكامل في مسودة المقترح الأولى. وبنهاية شهر فبراير، كانت مجموعة </w:t>
      </w:r>
      <w:r>
        <w:rPr>
          <w:rFonts w:ascii="Arial" w:hAnsi="Arial"/>
          <w:rtl w:val="0"/>
        </w:rPr>
        <w:t>CWG-Stewardship</w:t>
      </w:r>
      <w:r>
        <w:rPr>
          <w:rFonts w:ascii="Arial" w:hAnsi="Arial"/>
        </w:rPr>
        <w:t xml:space="preserve"> قد حدّدت سبعة نماذج هيكلية لمرحلة ما بعد النقل،</w:t>
      </w:r>
      <w:r>
        <w:rPr>
          <w:rStyle w:val="a5"/>
          <w:rFonts w:ascii="Arial" w:hAnsi="Arial"/>
          <w:rtl w:val="0"/>
        </w:rPr>
        <w:footnoteReference w:id="4"/>
      </w:r>
      <w:r>
        <w:rPr>
          <w:rFonts w:ascii="Arial" w:hAnsi="Arial"/>
        </w:rPr>
        <w:t xml:space="preserve"> والتي تم إرسالها إلى هيئة استشارية قانونية مستقلة لإخضاعها للتحليل.</w:t>
      </w:r>
      <w:r>
        <w:rPr>
          <w:rStyle w:val="a5"/>
          <w:rFonts w:ascii="Arial" w:hAnsi="Arial"/>
          <w:rtl w:val="0"/>
        </w:rPr>
        <w:footnoteReference w:id="5"/>
      </w:r>
    </w:p>
    <w:p w:rsidR="005E5A9E" w:rsidRPr="00D65E7E" w:rsidRDefault="005E5A9E" w:rsidP="005E5A9E">
      <w:pPr>
        <w:rPr>
          <w:rFonts w:ascii="Arial" w:hAnsi="Arial" w:cs="Arial"/>
        </w:rPr>
      </w:pPr>
    </w:p>
    <w:p w:rsidR="0065334C" w:rsidRPr="00D65E7E" w:rsidRDefault="005E5A9E" w:rsidP="005E5A9E">
      <w:pPr>
        <w:rPr>
          <w:rFonts w:ascii="Arial" w:hAnsi="Arial" w:cs="Arial"/>
        </w:rPr>
      </w:pPr>
      <w:r>
        <w:rPr>
          <w:rFonts w:ascii="Arial" w:hAnsi="Arial"/>
        </w:rPr>
        <w:t xml:space="preserve">وبعد رؤية الحاجة إلى التركيز على الجوانب التشغيلية للمقترح، والحد من أي نقاشات إضافية بشأن النماذج الهيكلية إلى أن تتوفر تعليقات المكتب الاستشاري القانوني المستقل، تحولت مجموعة </w:t>
      </w:r>
      <w:r>
        <w:rPr>
          <w:rFonts w:ascii="Arial" w:hAnsi="Arial"/>
          <w:rtl w:val="0"/>
        </w:rPr>
        <w:t>CWG-Stewardship</w:t>
      </w:r>
      <w:r>
        <w:rPr>
          <w:rFonts w:ascii="Arial" w:hAnsi="Arial"/>
        </w:rPr>
        <w:t xml:space="preserve"> إلى منهجية عمل معدّلة من خلال مجموعات فرعية صغيرة تستند إلى خبرات كبيرة، وتُعرف باسم "فرق التصميم" (</w:t>
      </w:r>
      <w:r>
        <w:rPr>
          <w:rFonts w:ascii="Arial" w:hAnsi="Arial"/>
          <w:rtl w:val="0"/>
        </w:rPr>
        <w:t>DT</w:t>
      </w:r>
      <w:r>
        <w:rPr>
          <w:rFonts w:ascii="Arial" w:hAnsi="Arial"/>
        </w:rPr>
        <w:t>). وقد تم دمج ناتج عمل "فرق التصميم" (</w:t>
      </w:r>
      <w:r>
        <w:rPr>
          <w:rFonts w:ascii="Arial" w:hAnsi="Arial"/>
          <w:rtl w:val="0"/>
        </w:rPr>
        <w:t>DT</w:t>
      </w:r>
      <w:r>
        <w:rPr>
          <w:rFonts w:ascii="Arial" w:hAnsi="Arial"/>
        </w:rPr>
        <w:t xml:space="preserve">) هذه في مسودة المقترح الثانية. وقد جرى تكليف خمسة عشر فريقًا من فرق </w:t>
      </w:r>
      <w:r>
        <w:rPr>
          <w:rFonts w:ascii="Arial" w:hAnsi="Arial"/>
          <w:rtl w:val="0"/>
        </w:rPr>
        <w:t>DT</w:t>
      </w:r>
      <w:r>
        <w:rPr>
          <w:rFonts w:ascii="Arial" w:hAnsi="Arial"/>
        </w:rPr>
        <w:t xml:space="preserve"> وأكملوا عملهم قبل إصدار المسودة الثانية.</w:t>
      </w:r>
      <w:r>
        <w:rPr>
          <w:rStyle w:val="a5"/>
          <w:rFonts w:ascii="Arial" w:hAnsi="Arial"/>
          <w:rtl w:val="0"/>
        </w:rPr>
        <w:footnoteReference w:id="6"/>
      </w:r>
      <w:r>
        <w:rPr>
          <w:rFonts w:ascii="Arial" w:hAnsi="Arial"/>
        </w:rPr>
        <w:t xml:space="preserve"> تلقّت كثير من فرق </w:t>
      </w:r>
      <w:r>
        <w:rPr>
          <w:rFonts w:ascii="Arial" w:hAnsi="Arial"/>
          <w:rtl w:val="0"/>
        </w:rPr>
        <w:t>DT</w:t>
      </w:r>
      <w:r>
        <w:rPr>
          <w:rFonts w:ascii="Arial" w:hAnsi="Arial"/>
        </w:rPr>
        <w:t xml:space="preserve"> تعليقات خبراء، واستشارات من أفراد من خارج مجموعة </w:t>
      </w:r>
      <w:r>
        <w:rPr>
          <w:rFonts w:ascii="Arial" w:hAnsi="Arial"/>
          <w:rtl w:val="0"/>
        </w:rPr>
        <w:t>CWG-Stewardship</w:t>
      </w:r>
      <w:r>
        <w:rPr>
          <w:rFonts w:ascii="Arial" w:hAnsi="Arial"/>
        </w:rPr>
        <w:t xml:space="preserve">، بما في ذلك مديرو نطاقات المستوى الأعلى وموظفو </w:t>
      </w:r>
      <w:r>
        <w:rPr>
          <w:rFonts w:ascii="Arial" w:hAnsi="Arial"/>
          <w:rtl w:val="0"/>
        </w:rPr>
        <w:t>NTIA</w:t>
      </w:r>
      <w:r>
        <w:rPr>
          <w:rFonts w:ascii="Arial" w:hAnsi="Arial"/>
        </w:rPr>
        <w:t xml:space="preserve">، وموظفو قسم </w:t>
      </w:r>
      <w:r>
        <w:rPr>
          <w:rFonts w:ascii="Arial" w:hAnsi="Arial"/>
          <w:rtl w:val="0"/>
        </w:rPr>
        <w:t>IANA</w:t>
      </w:r>
      <w:r>
        <w:rPr>
          <w:rFonts w:ascii="Arial" w:hAnsi="Arial"/>
        </w:rPr>
        <w:t xml:space="preserve"> في منظمة </w:t>
      </w:r>
      <w:r>
        <w:rPr>
          <w:rFonts w:ascii="Arial" w:hAnsi="Arial"/>
          <w:rtl w:val="0"/>
        </w:rPr>
        <w:t>ICANN</w:t>
      </w:r>
      <w:r>
        <w:rPr>
          <w:rFonts w:ascii="Arial" w:hAnsi="Arial"/>
        </w:rPr>
        <w:t>، وكبير مسؤولي التقنية (</w:t>
      </w:r>
      <w:r>
        <w:rPr>
          <w:rFonts w:ascii="Arial" w:hAnsi="Arial"/>
          <w:rtl w:val="0"/>
        </w:rPr>
        <w:t>CTO</w:t>
      </w:r>
      <w:r>
        <w:rPr>
          <w:rFonts w:ascii="Arial" w:hAnsi="Arial"/>
        </w:rPr>
        <w:t>) وكبير مسؤولي القسم المالي (</w:t>
      </w:r>
      <w:r>
        <w:rPr>
          <w:rFonts w:ascii="Arial" w:hAnsi="Arial"/>
          <w:rtl w:val="0"/>
        </w:rPr>
        <w:t>CFO)</w:t>
      </w:r>
      <w:r>
        <w:rPr>
          <w:rFonts w:ascii="Arial" w:hAnsi="Arial"/>
        </w:rPr>
        <w:t xml:space="preserve">، وشركة </w:t>
      </w:r>
      <w:r>
        <w:rPr>
          <w:rFonts w:ascii="Arial" w:hAnsi="Arial"/>
          <w:rtl w:val="0"/>
        </w:rPr>
        <w:t>Sidley Austin LLP</w:t>
      </w:r>
      <w:r>
        <w:rPr>
          <w:rFonts w:ascii="Arial" w:hAnsi="Arial"/>
        </w:rPr>
        <w:t xml:space="preserve"> للمحاماة.  </w:t>
      </w:r>
    </w:p>
    <w:p w:rsidR="005E5A9E" w:rsidRPr="00D65E7E" w:rsidRDefault="005E5A9E" w:rsidP="005E5A9E">
      <w:pPr>
        <w:rPr>
          <w:rFonts w:ascii="Arial" w:hAnsi="Arial" w:cs="Arial"/>
        </w:rPr>
      </w:pPr>
    </w:p>
    <w:p w:rsidR="007A47A6" w:rsidRDefault="0069547C" w:rsidP="005E5A9E">
      <w:pPr>
        <w:rPr>
          <w:rFonts w:ascii="Arial" w:hAnsi="Arial" w:cs="Arial"/>
        </w:rPr>
      </w:pPr>
      <w:r>
        <w:rPr>
          <w:rFonts w:ascii="Arial" w:hAnsi="Arial"/>
        </w:rPr>
        <w:t xml:space="preserve">ومع تحقيق تقدم ملموس على صعيد الجوانب التشغيلية من المسودة الثانية، عادت مجموعة </w:t>
      </w:r>
      <w:r>
        <w:rPr>
          <w:rFonts w:ascii="Arial" w:hAnsi="Arial"/>
          <w:rtl w:val="0"/>
        </w:rPr>
        <w:t>CWG-Stewardship</w:t>
      </w:r>
      <w:r>
        <w:rPr>
          <w:rFonts w:ascii="Arial" w:hAnsi="Arial"/>
        </w:rPr>
        <w:t xml:space="preserve"> إلى الاعتبارات الهيكلية لمرحلة ما بعد النقل. وفي خضم الاجتماع المباشر الذي ضم المشاركين في مجموعة </w:t>
      </w:r>
      <w:r>
        <w:rPr>
          <w:rFonts w:ascii="Arial" w:hAnsi="Arial"/>
          <w:rtl w:val="0"/>
        </w:rPr>
        <w:t>CWG</w:t>
      </w:r>
      <w:r>
        <w:rPr>
          <w:rFonts w:ascii="Arial" w:hAnsi="Arial"/>
        </w:rPr>
        <w:t xml:space="preserve"> في إسطنبول في نهاية شهر مارس، نجحت المجموعة في تقليص النماذج الهيكلية السبعة إلى شكلين لنموذج داخلي بالنسبة لمنظمة </w:t>
      </w:r>
      <w:r>
        <w:rPr>
          <w:rFonts w:ascii="Arial" w:hAnsi="Arial"/>
          <w:rtl w:val="0"/>
        </w:rPr>
        <w:t>ICANN</w:t>
      </w:r>
      <w:r>
        <w:rPr>
          <w:rFonts w:ascii="Arial" w:hAnsi="Arial"/>
        </w:rPr>
        <w:t xml:space="preserve">. بعد ذلك، وفي الأسبوع المنصرم تحديدًا، مع المزيد من النقاش والمزيد من التعليقات القانونية، وافقت المجموعة على التركيز على الهيكل الذي يديم الفصل بين تطوير السياسات (للسياسات التي تم تطبيقها حينئذٍ عبر وظائف </w:t>
      </w:r>
      <w:r>
        <w:rPr>
          <w:rFonts w:ascii="Arial" w:hAnsi="Arial"/>
          <w:rtl w:val="0"/>
        </w:rPr>
        <w:t>IANA</w:t>
      </w:r>
      <w:r>
        <w:rPr>
          <w:rFonts w:ascii="Arial" w:hAnsi="Arial"/>
        </w:rPr>
        <w:t xml:space="preserve">) والجوانب التشغيلية التي يقوم بتنفيذها مشغّل وظائف </w:t>
      </w:r>
      <w:r>
        <w:rPr>
          <w:rFonts w:ascii="Arial" w:hAnsi="Arial"/>
          <w:rtl w:val="0"/>
        </w:rPr>
        <w:t>IANA</w:t>
      </w:r>
      <w:r>
        <w:rPr>
          <w:rFonts w:ascii="Arial" w:hAnsi="Arial"/>
        </w:rPr>
        <w:t xml:space="preserve"> ويعزّزه، مع الحفاظ على استمرارية المشغّل وخضوعه لآليات المحاسبة والحوكمة المتاحة داخل منظمة </w:t>
      </w:r>
      <w:r>
        <w:rPr>
          <w:rFonts w:ascii="Arial" w:hAnsi="Arial"/>
          <w:rtl w:val="0"/>
        </w:rPr>
        <w:t>ICANN</w:t>
      </w:r>
      <w:r>
        <w:rPr>
          <w:rFonts w:ascii="Arial" w:hAnsi="Arial"/>
        </w:rPr>
        <w:t xml:space="preserve">. </w:t>
      </w:r>
    </w:p>
    <w:p w:rsidR="008F0A37" w:rsidRPr="00D65E7E" w:rsidRDefault="008F0A37" w:rsidP="005E5A9E">
      <w:pPr>
        <w:rPr>
          <w:rFonts w:ascii="Arial" w:hAnsi="Arial" w:cs="Arial"/>
        </w:rPr>
      </w:pPr>
    </w:p>
    <w:p w:rsidR="00A55417" w:rsidRPr="00D65E7E" w:rsidRDefault="00A55417" w:rsidP="005E5A9E">
      <w:pPr>
        <w:rPr>
          <w:rFonts w:ascii="Arial" w:hAnsi="Arial" w:cs="Arial"/>
        </w:rPr>
      </w:pPr>
    </w:p>
    <w:p w:rsidR="007A47A6" w:rsidRPr="00E7557C" w:rsidRDefault="00A55417" w:rsidP="005E5A9E">
      <w:pPr>
        <w:rPr>
          <w:rFonts w:ascii="Arial" w:hAnsi="Arial" w:cs="Arial"/>
          <w:b/>
        </w:rPr>
      </w:pPr>
      <w:r>
        <w:rPr>
          <w:rFonts w:ascii="Arial" w:hAnsi="Arial"/>
          <w:b/>
          <w:bCs/>
        </w:rPr>
        <w:t>محتويات مسودة المقترح الثانية</w:t>
      </w:r>
    </w:p>
    <w:p w:rsidR="00A55417" w:rsidRDefault="00A55417" w:rsidP="005E5A9E">
      <w:pPr>
        <w:rPr>
          <w:rFonts w:ascii="Arial" w:hAnsi="Arial" w:cs="Arial"/>
        </w:rPr>
      </w:pPr>
    </w:p>
    <w:p w:rsidR="008E0C59" w:rsidRDefault="003906DD" w:rsidP="008E0C59">
      <w:pPr>
        <w:rPr>
          <w:rFonts w:ascii="Arial" w:hAnsi="Arial" w:cs="Arial"/>
        </w:rPr>
      </w:pPr>
      <w:r>
        <w:rPr>
          <w:rFonts w:ascii="Arial" w:hAnsi="Arial"/>
        </w:rPr>
        <w:t xml:space="preserve">للوفاء بتوقعات المجتمع فيما يتعلق بالمسؤولية الإشرافية على وظائف </w:t>
      </w:r>
      <w:r>
        <w:rPr>
          <w:rFonts w:ascii="Arial" w:hAnsi="Arial"/>
          <w:rtl w:val="0"/>
        </w:rPr>
        <w:t>IANA</w:t>
      </w:r>
      <w:r>
        <w:rPr>
          <w:rFonts w:ascii="Arial" w:hAnsi="Arial"/>
        </w:rPr>
        <w:t xml:space="preserve"> المرتبطة بالتسمية، قامت مجموعة </w:t>
      </w:r>
      <w:r>
        <w:rPr>
          <w:rFonts w:ascii="Arial" w:hAnsi="Arial"/>
          <w:rtl w:val="0"/>
        </w:rPr>
        <w:t>CWG-Stewardship</w:t>
      </w:r>
      <w:r>
        <w:rPr>
          <w:rFonts w:ascii="Arial" w:hAnsi="Arial"/>
        </w:rPr>
        <w:t>،</w:t>
      </w:r>
      <w:r>
        <w:rPr>
          <w:rFonts w:ascii="Calibri" w:hAnsi="Calibri"/>
          <w:sz w:val="22"/>
          <w:szCs w:val="22"/>
        </w:rPr>
        <w:t xml:space="preserve"> </w:t>
      </w:r>
      <w:r>
        <w:rPr>
          <w:rFonts w:ascii="Arial" w:hAnsi="Arial"/>
        </w:rPr>
        <w:t xml:space="preserve">والتي تعمل على الفرضية القائلة بوجود حالة من الرضا في الوقت الحالي عن أداء قسم </w:t>
      </w:r>
      <w:r>
        <w:rPr>
          <w:rFonts w:ascii="Arial" w:hAnsi="Arial"/>
          <w:rtl w:val="0"/>
        </w:rPr>
        <w:t>IANA</w:t>
      </w:r>
      <w:r>
        <w:rPr>
          <w:rFonts w:ascii="Arial" w:hAnsi="Arial"/>
        </w:rPr>
        <w:t xml:space="preserve"> داخل منظمة </w:t>
      </w:r>
      <w:r>
        <w:rPr>
          <w:rFonts w:ascii="Arial" w:hAnsi="Arial"/>
          <w:rtl w:val="0"/>
        </w:rPr>
        <w:t>ICANN</w:t>
      </w:r>
      <w:r>
        <w:rPr>
          <w:rFonts w:ascii="Arial" w:hAnsi="Arial"/>
        </w:rPr>
        <w:t xml:space="preserve">، وأن منظمة </w:t>
      </w:r>
      <w:r>
        <w:rPr>
          <w:rFonts w:ascii="Arial" w:hAnsi="Arial"/>
          <w:rtl w:val="0"/>
        </w:rPr>
        <w:t>ICANN</w:t>
      </w:r>
      <w:r>
        <w:rPr>
          <w:rFonts w:ascii="Arial" w:hAnsi="Arial"/>
        </w:rPr>
        <w:t xml:space="preserve"> يجب أن تبقي على مشغّل وظائف </w:t>
      </w:r>
      <w:r>
        <w:rPr>
          <w:rFonts w:ascii="Arial" w:hAnsi="Arial"/>
          <w:rtl w:val="0"/>
        </w:rPr>
        <w:t>IANA</w:t>
      </w:r>
      <w:r>
        <w:rPr>
          <w:rFonts w:ascii="Arial" w:hAnsi="Arial"/>
        </w:rPr>
        <w:t>، بالموافقة على أن مقترح النقل لمجتمع الأسماء سوف يتطلب العناصر التالية:</w:t>
      </w:r>
    </w:p>
    <w:p w:rsidR="00DC0138" w:rsidRPr="008E0C59" w:rsidRDefault="00DC0138" w:rsidP="008E0C59">
      <w:pPr>
        <w:rPr>
          <w:rFonts w:ascii="Arial" w:hAnsi="Arial" w:cs="Arial"/>
        </w:rPr>
      </w:pPr>
    </w:p>
    <w:p w:rsidR="00DC0138" w:rsidRDefault="008E0C59" w:rsidP="00DC0138">
      <w:pPr>
        <w:numPr>
          <w:ilvl w:val="0"/>
          <w:numId w:val="11"/>
        </w:numPr>
        <w:rPr>
          <w:rFonts w:ascii="Arial" w:hAnsi="Arial" w:cs="Arial"/>
        </w:rPr>
      </w:pPr>
      <w:r>
        <w:rPr>
          <w:rFonts w:ascii="Arial" w:hAnsi="Arial"/>
        </w:rPr>
        <w:t xml:space="preserve">عقدًا مشابهًا لعقد وظائف </w:t>
      </w:r>
      <w:r>
        <w:rPr>
          <w:rFonts w:ascii="Arial" w:hAnsi="Arial"/>
          <w:rtl w:val="0"/>
        </w:rPr>
        <w:t>IANA</w:t>
      </w:r>
      <w:r>
        <w:rPr>
          <w:rFonts w:ascii="Arial" w:hAnsi="Arial"/>
        </w:rPr>
        <w:t xml:space="preserve"> الحالي لإنجاز مرحلة ما بعد نقل وظائف </w:t>
      </w:r>
      <w:r>
        <w:rPr>
          <w:rFonts w:ascii="Arial" w:hAnsi="Arial"/>
          <w:rtl w:val="0"/>
        </w:rPr>
        <w:t>IANA</w:t>
      </w:r>
      <w:r>
        <w:rPr>
          <w:rFonts w:ascii="Arial" w:hAnsi="Arial"/>
        </w:rPr>
        <w:t>،</w:t>
      </w:r>
    </w:p>
    <w:p w:rsidR="00516C72" w:rsidRDefault="00516C72" w:rsidP="00516C72">
      <w:pPr>
        <w:rPr>
          <w:rFonts w:ascii="Arial" w:hAnsi="Arial" w:cs="Arial"/>
        </w:rPr>
      </w:pPr>
    </w:p>
    <w:p w:rsidR="00DC0138" w:rsidRDefault="008E0C59" w:rsidP="00DC0138">
      <w:pPr>
        <w:numPr>
          <w:ilvl w:val="0"/>
          <w:numId w:val="11"/>
        </w:numPr>
        <w:rPr>
          <w:rFonts w:ascii="Arial" w:hAnsi="Arial" w:cs="Arial"/>
        </w:rPr>
      </w:pPr>
      <w:r>
        <w:rPr>
          <w:rFonts w:ascii="Arial" w:hAnsi="Arial"/>
        </w:rPr>
        <w:t xml:space="preserve">قدرة مجتمع أصحاب المصالح المتعددين على ضمان قيام منظمة </w:t>
      </w:r>
      <w:r>
        <w:rPr>
          <w:rFonts w:ascii="Arial" w:hAnsi="Arial"/>
          <w:rtl w:val="0"/>
        </w:rPr>
        <w:t>ICANN</w:t>
      </w:r>
      <w:r>
        <w:rPr>
          <w:rFonts w:ascii="Arial" w:hAnsi="Arial"/>
        </w:rPr>
        <w:t xml:space="preserve"> بالتصرف وفقًا طلباتها فيما يتعلق بعمليات </w:t>
      </w:r>
      <w:r>
        <w:rPr>
          <w:rFonts w:ascii="Arial" w:hAnsi="Arial"/>
          <w:rtl w:val="0"/>
        </w:rPr>
        <w:t>IANA</w:t>
      </w:r>
      <w:r>
        <w:rPr>
          <w:rFonts w:ascii="Arial" w:hAnsi="Arial"/>
        </w:rPr>
        <w:t xml:space="preserve">، </w:t>
      </w:r>
    </w:p>
    <w:p w:rsidR="00516C72" w:rsidRPr="00DC0138" w:rsidRDefault="00516C72" w:rsidP="00516C72">
      <w:pPr>
        <w:rPr>
          <w:rFonts w:ascii="Arial" w:hAnsi="Arial" w:cs="Arial"/>
        </w:rPr>
      </w:pPr>
    </w:p>
    <w:p w:rsidR="00DC0138" w:rsidRDefault="00913F8E" w:rsidP="00DC0138">
      <w:pPr>
        <w:numPr>
          <w:ilvl w:val="0"/>
          <w:numId w:val="11"/>
        </w:numPr>
        <w:rPr>
          <w:rFonts w:ascii="Arial" w:hAnsi="Arial" w:cs="Arial"/>
        </w:rPr>
      </w:pPr>
      <w:r>
        <w:rPr>
          <w:rFonts w:ascii="Helvetica" w:hAnsi="Helvetica"/>
        </w:rPr>
        <w:t xml:space="preserve">الفصل الإضافي، عند الحاجة، بين المسؤوليات التشغيلية وصياغة السياسات وآليات حماية مشغّل وظائف </w:t>
      </w:r>
      <w:r>
        <w:rPr>
          <w:rFonts w:ascii="Helvetica" w:hAnsi="Helvetica"/>
          <w:rtl w:val="0"/>
        </w:rPr>
        <w:t>IANA</w:t>
      </w:r>
      <w:r>
        <w:rPr>
          <w:rFonts w:ascii="Helvetica" w:hAnsi="Helvetica"/>
        </w:rPr>
        <w:t xml:space="preserve">، </w:t>
      </w:r>
      <w:r>
        <w:rPr>
          <w:rFonts w:ascii="Arial" w:hAnsi="Arial"/>
        </w:rPr>
        <w:t xml:space="preserve"> </w:t>
      </w:r>
    </w:p>
    <w:p w:rsidR="00516C72" w:rsidRPr="00DC0138" w:rsidRDefault="00516C72" w:rsidP="00516C72">
      <w:pPr>
        <w:rPr>
          <w:rFonts w:ascii="Arial" w:hAnsi="Arial" w:cs="Arial"/>
        </w:rPr>
      </w:pPr>
    </w:p>
    <w:p w:rsidR="008E0C59" w:rsidRDefault="008E0C59" w:rsidP="008E0C59">
      <w:pPr>
        <w:numPr>
          <w:ilvl w:val="0"/>
          <w:numId w:val="11"/>
        </w:numPr>
        <w:rPr>
          <w:rFonts w:ascii="Arial" w:hAnsi="Arial" w:cs="Arial"/>
        </w:rPr>
      </w:pPr>
      <w:r>
        <w:rPr>
          <w:rFonts w:ascii="Arial" w:hAnsi="Arial"/>
        </w:rPr>
        <w:lastRenderedPageBreak/>
        <w:t xml:space="preserve">آلية لاعتماد التغييرات التي تطرأ على بيئة منطقة الجذر (مع توقف وكالة </w:t>
      </w:r>
      <w:r>
        <w:rPr>
          <w:rFonts w:ascii="Arial" w:hAnsi="Arial"/>
          <w:rtl w:val="0"/>
        </w:rPr>
        <w:t>NTIA</w:t>
      </w:r>
      <w:r>
        <w:rPr>
          <w:rFonts w:ascii="Arial" w:hAnsi="Arial"/>
        </w:rPr>
        <w:t xml:space="preserve"> عن أعمال المراقبة).</w:t>
      </w:r>
    </w:p>
    <w:p w:rsidR="00516C72" w:rsidRPr="008E0C59" w:rsidRDefault="00516C72" w:rsidP="00516C72">
      <w:pPr>
        <w:rPr>
          <w:rFonts w:ascii="Arial" w:hAnsi="Arial" w:cs="Arial"/>
        </w:rPr>
      </w:pPr>
    </w:p>
    <w:p w:rsidR="008E0C59" w:rsidRDefault="008E0C59" w:rsidP="008E0C59">
      <w:pPr>
        <w:numPr>
          <w:ilvl w:val="0"/>
          <w:numId w:val="11"/>
        </w:numPr>
        <w:rPr>
          <w:rFonts w:ascii="Arial" w:hAnsi="Arial" w:cs="Arial"/>
        </w:rPr>
      </w:pPr>
      <w:r>
        <w:rPr>
          <w:rFonts w:ascii="Arial" w:hAnsi="Arial"/>
        </w:rPr>
        <w:t xml:space="preserve">القدرة على ضمان تمويل منظمة </w:t>
      </w:r>
      <w:r>
        <w:rPr>
          <w:rFonts w:ascii="Arial" w:hAnsi="Arial"/>
          <w:rtl w:val="0"/>
        </w:rPr>
        <w:t>ICANN</w:t>
      </w:r>
      <w:r>
        <w:rPr>
          <w:rFonts w:ascii="Arial" w:hAnsi="Arial"/>
        </w:rPr>
        <w:t xml:space="preserve"> لوظائف </w:t>
      </w:r>
      <w:r>
        <w:rPr>
          <w:rFonts w:ascii="Arial" w:hAnsi="Arial"/>
          <w:rtl w:val="0"/>
        </w:rPr>
        <w:t>IANA</w:t>
      </w:r>
      <w:r>
        <w:rPr>
          <w:rFonts w:ascii="Arial" w:hAnsi="Arial"/>
        </w:rPr>
        <w:t xml:space="preserve"> تمويلاً كافيًا.</w:t>
      </w:r>
    </w:p>
    <w:p w:rsidR="00780089" w:rsidRDefault="00780089" w:rsidP="00C20F22">
      <w:pPr>
        <w:pStyle w:val="aa"/>
        <w:rPr>
          <w:rFonts w:ascii="Arial" w:hAnsi="Arial" w:cs="Arial"/>
        </w:rPr>
      </w:pPr>
    </w:p>
    <w:p w:rsidR="00780089" w:rsidRPr="00780089" w:rsidRDefault="00780089" w:rsidP="00780089">
      <w:pPr>
        <w:numPr>
          <w:ilvl w:val="0"/>
          <w:numId w:val="11"/>
        </w:numPr>
        <w:rPr>
          <w:rFonts w:ascii="Arial" w:hAnsi="Arial" w:cs="Arial"/>
        </w:rPr>
      </w:pPr>
      <w:r>
        <w:rPr>
          <w:rFonts w:ascii="Arial" w:hAnsi="Arial"/>
        </w:rPr>
        <w:t xml:space="preserve">قدرة مجتمع أصحاب المصالح المتعددين على المطالبة، عند الضرورة وبعد استنفاد فرص المعالجة الجوهرية، باختيار مشغل جديد لوظائف </w:t>
      </w:r>
      <w:r>
        <w:rPr>
          <w:rFonts w:ascii="Arial" w:hAnsi="Arial"/>
          <w:rtl w:val="0"/>
        </w:rPr>
        <w:t>IANA</w:t>
      </w:r>
      <w:r>
        <w:rPr>
          <w:rFonts w:ascii="Arial" w:hAnsi="Arial"/>
        </w:rPr>
        <w:t>.</w:t>
      </w:r>
    </w:p>
    <w:p w:rsidR="00C652A8" w:rsidRDefault="00C652A8" w:rsidP="008E0C59">
      <w:pPr>
        <w:rPr>
          <w:rFonts w:ascii="Arial" w:hAnsi="Arial" w:cs="Arial"/>
        </w:rPr>
      </w:pPr>
    </w:p>
    <w:p w:rsidR="008E0C59" w:rsidRDefault="008E0C59" w:rsidP="008E0C59">
      <w:pPr>
        <w:rPr>
          <w:rFonts w:ascii="Arial" w:hAnsi="Arial" w:cs="Arial"/>
        </w:rPr>
      </w:pPr>
      <w:r>
        <w:rPr>
          <w:rFonts w:ascii="Arial" w:hAnsi="Arial"/>
        </w:rPr>
        <w:t xml:space="preserve">وأيضًا قامت مجموعة </w:t>
      </w:r>
      <w:r>
        <w:rPr>
          <w:rFonts w:ascii="Arial" w:hAnsi="Arial"/>
          <w:rtl w:val="0"/>
        </w:rPr>
        <w:t>CWG-Stewardship</w:t>
      </w:r>
      <w:r>
        <w:rPr>
          <w:rFonts w:ascii="Arial" w:hAnsi="Arial"/>
        </w:rPr>
        <w:t xml:space="preserve"> بالموافقة على ألا تحتاج التغييرات الطارئة على محتوى منطقة الجذر لتفويض، وأن المراسلات الخارجية وإعداد التقارير لن تحتاج فيما بعد لاعتماد خارجي في مرحلة ما بعد النقل. تحاول مسودة المقترح الثانية هذه الوفاء بكافة المتطلبات أعلاه عبر:</w:t>
      </w:r>
    </w:p>
    <w:p w:rsidR="00DC0138" w:rsidRPr="008E0C59" w:rsidRDefault="00DC0138" w:rsidP="008E0C59">
      <w:pPr>
        <w:rPr>
          <w:rFonts w:ascii="Arial" w:hAnsi="Arial" w:cs="Arial"/>
        </w:rPr>
      </w:pPr>
    </w:p>
    <w:p w:rsidR="008E0C59" w:rsidRPr="00D465DA" w:rsidRDefault="008E0C59" w:rsidP="00D465DA">
      <w:pPr>
        <w:numPr>
          <w:ilvl w:val="0"/>
          <w:numId w:val="12"/>
        </w:numPr>
        <w:rPr>
          <w:rFonts w:ascii="Arial" w:hAnsi="Arial" w:cs="Arial"/>
        </w:rPr>
      </w:pPr>
      <w:r>
        <w:rPr>
          <w:rFonts w:ascii="Arial" w:hAnsi="Arial"/>
        </w:rPr>
        <w:t>إنشاء هيئة أرقام مخصصة للإنترنت لمرحلة ما بعد النقل (</w:t>
      </w:r>
      <w:r>
        <w:rPr>
          <w:rFonts w:ascii="Arial" w:hAnsi="Arial"/>
          <w:rtl w:val="0"/>
        </w:rPr>
        <w:t>PTI</w:t>
      </w:r>
      <w:r>
        <w:rPr>
          <w:rFonts w:ascii="Arial" w:hAnsi="Arial"/>
        </w:rPr>
        <w:t xml:space="preserve">) التي تكون بمثابة هيئة قانونية منفصلة في شكل منظمة تابعة تكون "شركة تابعة مملوكة بالكامل" لمنظمة </w:t>
      </w:r>
      <w:r>
        <w:rPr>
          <w:rFonts w:ascii="Arial" w:hAnsi="Arial"/>
          <w:rtl w:val="0"/>
        </w:rPr>
        <w:t>ICANN</w:t>
      </w:r>
      <w:r>
        <w:rPr>
          <w:rFonts w:ascii="Arial" w:hAnsi="Arial"/>
        </w:rPr>
        <w:t xml:space="preserve">. وبالنسبة لخدمات التسمية التي تضطلع بها </w:t>
      </w:r>
      <w:r>
        <w:rPr>
          <w:rFonts w:ascii="Arial" w:hAnsi="Arial"/>
          <w:rtl w:val="0"/>
        </w:rPr>
        <w:t>IANA</w:t>
      </w:r>
      <w:r>
        <w:rPr>
          <w:rFonts w:ascii="Arial" w:hAnsi="Arial"/>
        </w:rPr>
        <w:t xml:space="preserve">، يضمن إنشاء هيئة </w:t>
      </w:r>
      <w:r>
        <w:rPr>
          <w:rFonts w:ascii="Arial" w:hAnsi="Arial"/>
          <w:rtl w:val="0"/>
        </w:rPr>
        <w:t>PTI</w:t>
      </w:r>
      <w:r>
        <w:rPr>
          <w:rFonts w:ascii="Arial" w:hAnsi="Arial"/>
        </w:rPr>
        <w:t xml:space="preserve"> الفصل التشغيلي والقانوني ضمن منظمة </w:t>
      </w:r>
      <w:r>
        <w:rPr>
          <w:rFonts w:ascii="Arial" w:hAnsi="Arial"/>
          <w:rtl w:val="0"/>
        </w:rPr>
        <w:t>ICANN</w:t>
      </w:r>
      <w:r>
        <w:rPr>
          <w:rFonts w:ascii="Arial" w:hAnsi="Arial"/>
        </w:rPr>
        <w:t xml:space="preserve">: سوف يتم إبرام عقد بين هيئة </w:t>
      </w:r>
      <w:r>
        <w:rPr>
          <w:rFonts w:ascii="Arial" w:hAnsi="Arial"/>
          <w:rtl w:val="0"/>
        </w:rPr>
        <w:t>PTI</w:t>
      </w:r>
      <w:r>
        <w:rPr>
          <w:rFonts w:ascii="Arial" w:hAnsi="Arial"/>
        </w:rPr>
        <w:t xml:space="preserve"> ومنظمة </w:t>
      </w:r>
      <w:r>
        <w:rPr>
          <w:rFonts w:ascii="Arial" w:hAnsi="Arial"/>
          <w:rtl w:val="0"/>
        </w:rPr>
        <w:t>ICANN</w:t>
      </w:r>
      <w:r>
        <w:rPr>
          <w:rFonts w:ascii="Arial" w:hAnsi="Arial"/>
        </w:rPr>
        <w:t xml:space="preserve">، وسوف يتم تفويض هيئة </w:t>
      </w:r>
      <w:r>
        <w:rPr>
          <w:rFonts w:ascii="Arial" w:hAnsi="Arial"/>
          <w:rtl w:val="0"/>
        </w:rPr>
        <w:t>PTI</w:t>
      </w:r>
      <w:r>
        <w:rPr>
          <w:rFonts w:ascii="Arial" w:hAnsi="Arial"/>
        </w:rPr>
        <w:t xml:space="preserve"> بموجبه بالحقوق والالتزامات المنوطة بمشغل وظائف </w:t>
      </w:r>
      <w:r>
        <w:rPr>
          <w:rFonts w:ascii="Arial" w:hAnsi="Arial"/>
          <w:rtl w:val="0"/>
        </w:rPr>
        <w:t>IANA</w:t>
      </w:r>
      <w:r>
        <w:rPr>
          <w:rFonts w:ascii="Arial" w:hAnsi="Arial"/>
        </w:rPr>
        <w:t xml:space="preserve">. وسوف تستمر وظائف </w:t>
      </w:r>
      <w:r>
        <w:rPr>
          <w:rFonts w:ascii="Arial" w:hAnsi="Arial"/>
          <w:rtl w:val="0"/>
        </w:rPr>
        <w:t>IANA</w:t>
      </w:r>
      <w:r>
        <w:rPr>
          <w:rFonts w:ascii="Arial" w:hAnsi="Arial"/>
        </w:rPr>
        <w:t xml:space="preserve"> كجزء من منظمة </w:t>
      </w:r>
      <w:r>
        <w:rPr>
          <w:rFonts w:ascii="Arial" w:hAnsi="Arial"/>
          <w:rtl w:val="0"/>
        </w:rPr>
        <w:t>ICANN</w:t>
      </w:r>
      <w:r>
        <w:rPr>
          <w:rFonts w:ascii="Arial" w:hAnsi="Arial"/>
        </w:rPr>
        <w:t xml:space="preserve">، وسوف تخضع لآليات المساءلة الموجودة بالفعل، ولتلك التي يتم تطويرها عبر مجموعة </w:t>
      </w:r>
      <w:r>
        <w:rPr>
          <w:rFonts w:ascii="Arial" w:hAnsi="Arial"/>
          <w:rtl w:val="0"/>
        </w:rPr>
        <w:t>CCWG-Accountability</w:t>
      </w:r>
      <w:r>
        <w:rPr>
          <w:rFonts w:ascii="Arial" w:hAnsi="Arial"/>
        </w:rPr>
        <w:t>.</w:t>
      </w:r>
    </w:p>
    <w:p w:rsidR="00516C72" w:rsidRPr="008E0C59" w:rsidRDefault="00516C72" w:rsidP="00516C72">
      <w:pPr>
        <w:rPr>
          <w:rFonts w:ascii="Arial" w:hAnsi="Arial" w:cs="Arial"/>
        </w:rPr>
      </w:pPr>
    </w:p>
    <w:p w:rsidR="008E0C59" w:rsidRDefault="008E0C59" w:rsidP="008E0C59">
      <w:pPr>
        <w:numPr>
          <w:ilvl w:val="0"/>
          <w:numId w:val="12"/>
        </w:numPr>
        <w:rPr>
          <w:rFonts w:ascii="Arial" w:hAnsi="Arial" w:cs="Arial"/>
        </w:rPr>
      </w:pPr>
      <w:r>
        <w:rPr>
          <w:rFonts w:ascii="Arial" w:hAnsi="Arial"/>
        </w:rPr>
        <w:t>إنشاء لجنة دائمة للعملاء (</w:t>
      </w:r>
      <w:r>
        <w:rPr>
          <w:rFonts w:ascii="Arial" w:hAnsi="Arial"/>
          <w:rtl w:val="0"/>
        </w:rPr>
        <w:t>CSC</w:t>
      </w:r>
      <w:r>
        <w:rPr>
          <w:rFonts w:ascii="Arial" w:hAnsi="Arial"/>
        </w:rPr>
        <w:t xml:space="preserve">) تكون مسؤولة عن مراقبة أداء مشغّل وظائف </w:t>
      </w:r>
      <w:r>
        <w:rPr>
          <w:rFonts w:ascii="Arial" w:hAnsi="Arial"/>
          <w:rtl w:val="0"/>
        </w:rPr>
        <w:t>IANA</w:t>
      </w:r>
      <w:r>
        <w:rPr>
          <w:rFonts w:ascii="Arial" w:hAnsi="Arial"/>
        </w:rPr>
        <w:t xml:space="preserve"> طبقًا للمتطلبات التعاقيدة وتوقعات مستوى الخدمة، مع حل المشكلات مباشرة مع مشغّل وظائف </w:t>
      </w:r>
      <w:r>
        <w:rPr>
          <w:rFonts w:ascii="Arial" w:hAnsi="Arial"/>
          <w:rtl w:val="0"/>
        </w:rPr>
        <w:t>IANA</w:t>
      </w:r>
      <w:r>
        <w:rPr>
          <w:rFonts w:ascii="Arial" w:hAnsi="Arial"/>
        </w:rPr>
        <w:t xml:space="preserve"> أو تصعيدها إذا فشلت الجهتان في حلها.</w:t>
      </w:r>
      <w:r>
        <w:rPr>
          <w:rStyle w:val="a5"/>
          <w:rFonts w:ascii="Arial" w:hAnsi="Arial"/>
          <w:rtl w:val="0"/>
        </w:rPr>
        <w:footnoteReference w:id="7"/>
      </w:r>
      <w:r>
        <w:rPr>
          <w:rFonts w:ascii="Arial" w:hAnsi="Arial"/>
        </w:rPr>
        <w:t xml:space="preserve"> وأيضًا يمكن للجنة </w:t>
      </w:r>
      <w:r>
        <w:rPr>
          <w:rFonts w:ascii="Arial" w:hAnsi="Arial"/>
          <w:rtl w:val="0"/>
        </w:rPr>
        <w:t>CSC</w:t>
      </w:r>
      <w:r>
        <w:rPr>
          <w:rFonts w:ascii="Arial" w:hAnsi="Arial"/>
        </w:rPr>
        <w:t xml:space="preserve"> أن تطلق مراجعةً خاصّة لهيئة </w:t>
      </w:r>
      <w:r>
        <w:rPr>
          <w:rFonts w:ascii="Arial" w:hAnsi="Arial"/>
          <w:rtl w:val="0"/>
        </w:rPr>
        <w:t>PTI</w:t>
      </w:r>
      <w:r>
        <w:rPr>
          <w:rFonts w:ascii="Arial" w:hAnsi="Arial"/>
        </w:rPr>
        <w:t xml:space="preserve"> عند الحاجة. </w:t>
      </w:r>
    </w:p>
    <w:p w:rsidR="00516C72" w:rsidRPr="008E0C59" w:rsidRDefault="00516C72" w:rsidP="00516C72">
      <w:pPr>
        <w:rPr>
          <w:rFonts w:ascii="Arial" w:hAnsi="Arial" w:cs="Arial"/>
        </w:rPr>
      </w:pPr>
    </w:p>
    <w:p w:rsidR="008E0C59" w:rsidRDefault="008E0C59" w:rsidP="008E0C59">
      <w:pPr>
        <w:numPr>
          <w:ilvl w:val="0"/>
          <w:numId w:val="12"/>
        </w:numPr>
        <w:rPr>
          <w:rFonts w:ascii="Arial" w:hAnsi="Arial" w:cs="Arial"/>
        </w:rPr>
      </w:pPr>
      <w:r>
        <w:rPr>
          <w:rFonts w:ascii="Arial" w:hAnsi="Arial"/>
        </w:rPr>
        <w:t xml:space="preserve">إنشاء سلسلة من آليات حل المشكلات لضمان حل المشكلات بفاعلية. هذا المسار التصعيدي يتضمن تعديلات على عمليات تسوية المشكلات الحالية في </w:t>
      </w:r>
      <w:r>
        <w:rPr>
          <w:rFonts w:ascii="Arial" w:hAnsi="Arial"/>
          <w:rtl w:val="0"/>
        </w:rPr>
        <w:t>IANA</w:t>
      </w:r>
      <w:r>
        <w:rPr>
          <w:rFonts w:ascii="Arial" w:hAnsi="Arial"/>
        </w:rPr>
        <w:t xml:space="preserve">، فضلاً عن مرحلة جديدة لإدارة المشكلة، والتي تشمل مواجهة مشكلات الأداء الدائمة والمشكلات النظامية. وإلى جانب المسار التصعيدي، هناك اعتماد أساسي على نتائج عمل مجموعة </w:t>
      </w:r>
      <w:r>
        <w:rPr>
          <w:rFonts w:ascii="Arial" w:hAnsi="Arial"/>
          <w:rtl w:val="0"/>
        </w:rPr>
        <w:t>CCWG-Accountability</w:t>
      </w:r>
      <w:r>
        <w:rPr>
          <w:rFonts w:ascii="Arial" w:hAnsi="Arial"/>
        </w:rPr>
        <w:t xml:space="preserve">؛ حيث يتضمن المسار التصعيدي بعض آليات المساءلة في منظمة </w:t>
      </w:r>
      <w:r>
        <w:rPr>
          <w:rFonts w:ascii="Arial" w:hAnsi="Arial"/>
          <w:rtl w:val="0"/>
        </w:rPr>
        <w:t>ICANN</w:t>
      </w:r>
      <w:r>
        <w:rPr>
          <w:rFonts w:ascii="Arial" w:hAnsi="Arial"/>
        </w:rPr>
        <w:t xml:space="preserve">. </w:t>
      </w:r>
    </w:p>
    <w:p w:rsidR="00516C72" w:rsidRPr="008E0C59" w:rsidRDefault="00516C72" w:rsidP="00516C72">
      <w:pPr>
        <w:rPr>
          <w:rFonts w:ascii="Arial" w:hAnsi="Arial" w:cs="Arial"/>
        </w:rPr>
      </w:pPr>
    </w:p>
    <w:p w:rsidR="00516C72" w:rsidRPr="00516C72" w:rsidRDefault="008E0C59" w:rsidP="00516C72">
      <w:pPr>
        <w:numPr>
          <w:ilvl w:val="0"/>
          <w:numId w:val="12"/>
        </w:numPr>
        <w:rPr>
          <w:rFonts w:ascii="Arial" w:hAnsi="Arial" w:cs="Arial"/>
        </w:rPr>
      </w:pPr>
      <w:r>
        <w:rPr>
          <w:rFonts w:ascii="Arial" w:hAnsi="Arial"/>
        </w:rPr>
        <w:t xml:space="preserve">ضمان قبول منظمة </w:t>
      </w:r>
      <w:r>
        <w:rPr>
          <w:rFonts w:ascii="Arial" w:hAnsi="Arial"/>
          <w:rtl w:val="0"/>
        </w:rPr>
        <w:t>ICANN</w:t>
      </w:r>
      <w:r>
        <w:rPr>
          <w:rFonts w:ascii="Arial" w:hAnsi="Arial"/>
        </w:rPr>
        <w:t xml:space="preserve"> تعليقات مجتمع أصحاب المصالح المتعددين فيما يتعلق بميزانية عمليات </w:t>
      </w:r>
      <w:r>
        <w:rPr>
          <w:rFonts w:ascii="Arial" w:hAnsi="Arial"/>
          <w:rtl w:val="0"/>
        </w:rPr>
        <w:t>IANA</w:t>
      </w:r>
      <w:r>
        <w:rPr>
          <w:rFonts w:ascii="Arial" w:hAnsi="Arial"/>
        </w:rPr>
        <w:t xml:space="preserve"> السنوية. </w:t>
      </w:r>
    </w:p>
    <w:p w:rsidR="00516C72" w:rsidRPr="008E0C59" w:rsidRDefault="00516C72" w:rsidP="00516C72">
      <w:pPr>
        <w:ind w:left="720"/>
        <w:rPr>
          <w:rFonts w:ascii="Arial" w:hAnsi="Arial" w:cs="Arial"/>
        </w:rPr>
      </w:pPr>
    </w:p>
    <w:p w:rsidR="00C652A8" w:rsidRDefault="008E0C59" w:rsidP="00FF242A">
      <w:pPr>
        <w:numPr>
          <w:ilvl w:val="0"/>
          <w:numId w:val="11"/>
        </w:numPr>
        <w:rPr>
          <w:rFonts w:ascii="Arial" w:hAnsi="Arial" w:cs="Arial"/>
        </w:rPr>
      </w:pPr>
      <w:r>
        <w:rPr>
          <w:rFonts w:ascii="Arial" w:hAnsi="Arial"/>
        </w:rPr>
        <w:t xml:space="preserve">إنشاء إطار لاعتماد التغييرات التي تطرأ على بيئة منطقة الجذر (مع توقف وكالة </w:t>
      </w:r>
      <w:r>
        <w:rPr>
          <w:rFonts w:ascii="Arial" w:hAnsi="Arial"/>
          <w:rtl w:val="0"/>
        </w:rPr>
        <w:t>NTIA</w:t>
      </w:r>
      <w:r>
        <w:rPr>
          <w:rFonts w:ascii="Arial" w:hAnsi="Arial"/>
        </w:rPr>
        <w:t xml:space="preserve"> عن أعمال المراقبة).</w:t>
      </w:r>
    </w:p>
    <w:p w:rsidR="00BE4DF8" w:rsidRDefault="00BE4DF8" w:rsidP="00C20F22">
      <w:pPr>
        <w:rPr>
          <w:rFonts w:ascii="Arial" w:hAnsi="Arial" w:cs="Arial"/>
        </w:rPr>
      </w:pPr>
    </w:p>
    <w:p w:rsidR="00BE4DF8" w:rsidRDefault="00BE4DF8" w:rsidP="00BE4DF8">
      <w:pPr>
        <w:numPr>
          <w:ilvl w:val="0"/>
          <w:numId w:val="11"/>
        </w:numPr>
        <w:rPr>
          <w:rFonts w:ascii="Arial" w:hAnsi="Arial" w:cs="Arial"/>
        </w:rPr>
      </w:pPr>
      <w:r>
        <w:rPr>
          <w:rFonts w:ascii="Arial" w:hAnsi="Arial"/>
        </w:rPr>
        <w:t xml:space="preserve">إنشاء مراجعة وظائف </w:t>
      </w:r>
      <w:r>
        <w:rPr>
          <w:rFonts w:ascii="Arial" w:hAnsi="Arial"/>
          <w:rtl w:val="0"/>
        </w:rPr>
        <w:t>IANA</w:t>
      </w:r>
      <w:r>
        <w:rPr>
          <w:rFonts w:ascii="Arial" w:hAnsi="Arial"/>
        </w:rPr>
        <w:t xml:space="preserve"> وفق نموذج أصحاب المصالح المتعددين لإجراء مراجعات دورية وخاصة لهيئة </w:t>
      </w:r>
      <w:r>
        <w:rPr>
          <w:rFonts w:ascii="Arial" w:hAnsi="Arial"/>
          <w:rtl w:val="0"/>
        </w:rPr>
        <w:t>PTI.</w:t>
      </w:r>
      <w:r>
        <w:rPr>
          <w:rStyle w:val="a5"/>
          <w:rFonts w:ascii="Arial" w:hAnsi="Arial"/>
          <w:rtl w:val="0"/>
        </w:rPr>
        <w:footnoteReference w:id="8"/>
      </w:r>
      <w:r>
        <w:rPr>
          <w:rFonts w:ascii="Arial" w:hAnsi="Arial"/>
        </w:rPr>
        <w:t xml:space="preserve"> ولن يتم فرض نتائج مراجعة وظائف </w:t>
      </w:r>
      <w:r>
        <w:rPr>
          <w:rFonts w:ascii="Arial" w:hAnsi="Arial"/>
          <w:rtl w:val="0"/>
        </w:rPr>
        <w:t>IANA</w:t>
      </w:r>
      <w:r>
        <w:rPr>
          <w:rFonts w:ascii="Arial" w:hAnsi="Arial"/>
        </w:rPr>
        <w:t xml:space="preserve"> أو تقييدها، ويمكن أن تشمل التوصيات الموجهة إلى مجلس منظمة </w:t>
      </w:r>
      <w:r>
        <w:rPr>
          <w:rFonts w:ascii="Arial" w:hAnsi="Arial"/>
          <w:rtl w:val="0"/>
        </w:rPr>
        <w:t>ICANN</w:t>
      </w:r>
      <w:r>
        <w:rPr>
          <w:rFonts w:ascii="Arial" w:hAnsi="Arial"/>
        </w:rPr>
        <w:t xml:space="preserve"> بعدم تجديد التعاقد مع هيئة </w:t>
      </w:r>
      <w:r>
        <w:rPr>
          <w:rFonts w:ascii="Arial" w:hAnsi="Arial"/>
          <w:rtl w:val="0"/>
        </w:rPr>
        <w:t>PTI</w:t>
      </w:r>
      <w:r>
        <w:rPr>
          <w:rFonts w:ascii="Arial" w:hAnsi="Arial"/>
        </w:rPr>
        <w:t xml:space="preserve"> بخصوص الوظائف المذكورة.</w:t>
      </w:r>
    </w:p>
    <w:p w:rsidR="00B34F5F" w:rsidRDefault="00B34F5F">
      <w:pPr>
        <w:bidi w:val="0"/>
        <w:rPr>
          <w:rFonts w:ascii="Arial" w:hAnsi="Arial" w:cs="Arial"/>
        </w:rPr>
      </w:pPr>
      <w:r>
        <w:rPr>
          <w:rFonts w:ascii="Arial" w:hAnsi="Arial" w:cs="Arial"/>
        </w:rPr>
        <w:br w:type="page"/>
      </w:r>
    </w:p>
    <w:p w:rsidR="00D65E7E" w:rsidRPr="00D65E7E" w:rsidRDefault="00D65E7E" w:rsidP="00D65E7E">
      <w:pPr>
        <w:rPr>
          <w:rFonts w:ascii="Arial" w:hAnsi="Arial" w:cs="Arial"/>
        </w:rPr>
      </w:pPr>
    </w:p>
    <w:p w:rsidR="00C652A8" w:rsidRPr="007C167B" w:rsidRDefault="008F0A37" w:rsidP="00D65E7E">
      <w:pPr>
        <w:rPr>
          <w:rFonts w:ascii="Arial" w:hAnsi="Arial" w:cs="Arial"/>
          <w:b/>
        </w:rPr>
      </w:pPr>
      <w:r>
        <w:rPr>
          <w:rFonts w:ascii="Arial" w:hAnsi="Arial"/>
          <w:b/>
          <w:bCs/>
        </w:rPr>
        <w:t xml:space="preserve">التبعيات بشأن مجموعة </w:t>
      </w:r>
      <w:r>
        <w:rPr>
          <w:rFonts w:ascii="Arial" w:hAnsi="Arial"/>
          <w:b/>
          <w:rtl w:val="0"/>
        </w:rPr>
        <w:t>CCWG-Accountability</w:t>
      </w:r>
    </w:p>
    <w:p w:rsidR="007C167B" w:rsidRDefault="007C167B" w:rsidP="00D65E7E">
      <w:pPr>
        <w:rPr>
          <w:rFonts w:ascii="Arial" w:hAnsi="Arial" w:cs="Arial"/>
        </w:rPr>
      </w:pPr>
    </w:p>
    <w:p w:rsidR="00D65E7E" w:rsidRDefault="00C953DD" w:rsidP="00D65E7E">
      <w:pPr>
        <w:rPr>
          <w:rFonts w:ascii="Arial" w:hAnsi="Arial" w:cs="Arial"/>
        </w:rPr>
      </w:pPr>
      <w:r>
        <w:rPr>
          <w:rFonts w:ascii="Arial" w:hAnsi="Arial"/>
        </w:rPr>
        <w:t xml:space="preserve">يتضمن اقتراح مجموعة </w:t>
      </w:r>
      <w:r>
        <w:rPr>
          <w:rFonts w:ascii="Arial" w:hAnsi="Arial"/>
          <w:rtl w:val="0"/>
        </w:rPr>
        <w:t>CWG-Stewardship</w:t>
      </w:r>
      <w:r>
        <w:rPr>
          <w:rFonts w:ascii="Arial" w:hAnsi="Arial"/>
        </w:rPr>
        <w:t xml:space="preserve"> تبعيّات على عملية مجموعة </w:t>
      </w:r>
      <w:r>
        <w:rPr>
          <w:rFonts w:ascii="Arial" w:hAnsi="Arial"/>
          <w:rtl w:val="0"/>
        </w:rPr>
        <w:t>CCWG-Accountability</w:t>
      </w:r>
      <w:r>
        <w:rPr>
          <w:rFonts w:ascii="Arial" w:hAnsi="Arial"/>
        </w:rPr>
        <w:t xml:space="preserve">، وهو متوقف صراحةً على شروطها. وبصفة خاصة، يوجب المقترح مساءلة منظمة </w:t>
      </w:r>
      <w:r>
        <w:rPr>
          <w:rFonts w:ascii="Arial" w:hAnsi="Arial"/>
          <w:rtl w:val="0"/>
        </w:rPr>
        <w:t>ICANN</w:t>
      </w:r>
      <w:r>
        <w:rPr>
          <w:rFonts w:ascii="Arial" w:hAnsi="Arial"/>
        </w:rPr>
        <w:t xml:space="preserve"> على الأصعدة التالية:</w:t>
      </w:r>
    </w:p>
    <w:p w:rsidR="007C167B" w:rsidRPr="00D65E7E" w:rsidRDefault="007C167B" w:rsidP="00D65E7E">
      <w:pPr>
        <w:rPr>
          <w:rFonts w:ascii="Arial" w:hAnsi="Arial" w:cs="Arial"/>
        </w:rPr>
      </w:pPr>
    </w:p>
    <w:p w:rsidR="00D65E7E" w:rsidRDefault="00D65E7E" w:rsidP="008F0A37">
      <w:pPr>
        <w:numPr>
          <w:ilvl w:val="0"/>
          <w:numId w:val="13"/>
        </w:numPr>
        <w:rPr>
          <w:rFonts w:ascii="Arial" w:hAnsi="Arial" w:cs="Arial"/>
        </w:rPr>
      </w:pPr>
      <w:r>
        <w:rPr>
          <w:rFonts w:ascii="Arial" w:hAnsi="Arial"/>
        </w:rPr>
        <w:t xml:space="preserve">قدرة المجتمع على امتلاك المزيد من الحقوق بشأن تطوير ميزانية منظمة </w:t>
      </w:r>
      <w:r>
        <w:rPr>
          <w:rFonts w:ascii="Arial" w:hAnsi="Arial"/>
          <w:rtl w:val="0"/>
        </w:rPr>
        <w:t>ICANN</w:t>
      </w:r>
      <w:r>
        <w:rPr>
          <w:rFonts w:ascii="Arial" w:hAnsi="Arial"/>
        </w:rPr>
        <w:t xml:space="preserve"> وبحثها،</w:t>
      </w:r>
    </w:p>
    <w:p w:rsidR="007C167B" w:rsidRPr="00D65E7E" w:rsidRDefault="007C167B" w:rsidP="007C167B">
      <w:pPr>
        <w:rPr>
          <w:rFonts w:ascii="Arial" w:hAnsi="Arial" w:cs="Arial"/>
        </w:rPr>
      </w:pPr>
    </w:p>
    <w:p w:rsidR="00D65E7E" w:rsidRDefault="007C167B" w:rsidP="008F0A37">
      <w:pPr>
        <w:numPr>
          <w:ilvl w:val="0"/>
          <w:numId w:val="13"/>
        </w:numPr>
        <w:rPr>
          <w:rFonts w:ascii="Arial" w:hAnsi="Arial" w:cs="Arial"/>
        </w:rPr>
      </w:pPr>
      <w:r>
        <w:rPr>
          <w:rFonts w:ascii="Arial" w:hAnsi="Arial"/>
        </w:rPr>
        <w:t xml:space="preserve">تمكين مجتمع أصحاب المصالح المتعددين من التمتع بحقوق معينة فيما يتعلق بمجلس منظمة </w:t>
      </w:r>
      <w:r>
        <w:rPr>
          <w:rFonts w:ascii="Arial" w:hAnsi="Arial"/>
          <w:rtl w:val="0"/>
        </w:rPr>
        <w:t>ICANN</w:t>
      </w:r>
      <w:r>
        <w:rPr>
          <w:rFonts w:ascii="Arial" w:hAnsi="Arial"/>
        </w:rPr>
        <w:t xml:space="preserve">، بما في ذلك مراقبة المجلس المذكور لعمليات </w:t>
      </w:r>
      <w:r>
        <w:rPr>
          <w:rFonts w:ascii="Arial" w:hAnsi="Arial"/>
          <w:rtl w:val="0"/>
        </w:rPr>
        <w:t>IANA</w:t>
      </w:r>
      <w:r>
        <w:rPr>
          <w:rFonts w:ascii="Arial" w:hAnsi="Arial"/>
        </w:rPr>
        <w:t xml:space="preserve">، وتحديدًا، قدرته على تعيين أعضاء مجلس منظمة </w:t>
      </w:r>
      <w:r>
        <w:rPr>
          <w:rFonts w:ascii="Arial" w:hAnsi="Arial"/>
          <w:rtl w:val="0"/>
        </w:rPr>
        <w:t>ICANN</w:t>
      </w:r>
      <w:r>
        <w:rPr>
          <w:rFonts w:ascii="Arial" w:hAnsi="Arial"/>
        </w:rPr>
        <w:t xml:space="preserve"> وإعفائهم، وعزل المجلس بأكمله، </w:t>
      </w:r>
    </w:p>
    <w:p w:rsidR="007C167B" w:rsidRPr="00D65E7E" w:rsidRDefault="007C167B" w:rsidP="007C167B">
      <w:pPr>
        <w:rPr>
          <w:rFonts w:ascii="Arial" w:hAnsi="Arial" w:cs="Arial"/>
        </w:rPr>
      </w:pPr>
    </w:p>
    <w:p w:rsidR="00D65E7E" w:rsidRDefault="007C167B" w:rsidP="008F0A37">
      <w:pPr>
        <w:numPr>
          <w:ilvl w:val="0"/>
          <w:numId w:val="13"/>
        </w:numPr>
        <w:rPr>
          <w:rFonts w:ascii="Arial" w:hAnsi="Arial" w:cs="Arial"/>
        </w:rPr>
      </w:pPr>
      <w:r>
        <w:rPr>
          <w:rFonts w:ascii="Arial" w:hAnsi="Arial"/>
        </w:rPr>
        <w:t xml:space="preserve">يجب دمج مراجعة وظائف </w:t>
      </w:r>
      <w:r>
        <w:rPr>
          <w:rFonts w:ascii="Arial" w:hAnsi="Arial"/>
          <w:rtl w:val="0"/>
        </w:rPr>
        <w:t>IANA</w:t>
      </w:r>
      <w:r>
        <w:rPr>
          <w:rFonts w:ascii="Arial" w:hAnsi="Arial"/>
        </w:rPr>
        <w:t xml:space="preserve">، التي تم إنشاؤها بغرض إجراء المراجعات الدورية والخاصة للوظائف المذكورة، في لوائح منظمة </w:t>
      </w:r>
      <w:r>
        <w:rPr>
          <w:rFonts w:ascii="Arial" w:hAnsi="Arial"/>
          <w:rtl w:val="0"/>
        </w:rPr>
        <w:t>ICANN</w:t>
      </w:r>
      <w:r>
        <w:rPr>
          <w:rFonts w:ascii="Arial" w:hAnsi="Arial"/>
        </w:rPr>
        <w:t xml:space="preserve">: </w:t>
      </w:r>
    </w:p>
    <w:p w:rsidR="007C167B" w:rsidRPr="00D65E7E" w:rsidRDefault="007C167B" w:rsidP="007C167B">
      <w:pPr>
        <w:rPr>
          <w:rFonts w:ascii="Arial" w:hAnsi="Arial" w:cs="Arial"/>
        </w:rPr>
      </w:pPr>
    </w:p>
    <w:p w:rsidR="007C167B" w:rsidRDefault="007C167B" w:rsidP="008F0A37">
      <w:pPr>
        <w:numPr>
          <w:ilvl w:val="0"/>
          <w:numId w:val="13"/>
        </w:numPr>
        <w:rPr>
          <w:rFonts w:ascii="Arial" w:hAnsi="Arial" w:cs="Arial"/>
        </w:rPr>
      </w:pPr>
      <w:r>
        <w:rPr>
          <w:rFonts w:ascii="Arial" w:hAnsi="Arial"/>
        </w:rPr>
        <w:t xml:space="preserve">يجب دمج لجنة </w:t>
      </w:r>
      <w:r>
        <w:rPr>
          <w:rFonts w:ascii="Arial" w:hAnsi="Arial"/>
          <w:rtl w:val="0"/>
        </w:rPr>
        <w:t>CSC</w:t>
      </w:r>
      <w:r>
        <w:rPr>
          <w:rFonts w:ascii="Arial" w:hAnsi="Arial"/>
        </w:rPr>
        <w:t xml:space="preserve">، التي تم إنشاؤها بهدف مراقبة أداء وظائف </w:t>
      </w:r>
      <w:r>
        <w:rPr>
          <w:rFonts w:ascii="Arial" w:hAnsi="Arial"/>
          <w:rtl w:val="0"/>
        </w:rPr>
        <w:t>IANA</w:t>
      </w:r>
      <w:r>
        <w:rPr>
          <w:rFonts w:ascii="Arial" w:hAnsi="Arial"/>
        </w:rPr>
        <w:t xml:space="preserve"> وتصعيد المشكلات التي استعصت على الحل إلى منظمة الأسماء الداعمة لأسماء رموز البلدان (</w:t>
      </w:r>
      <w:r>
        <w:rPr>
          <w:rFonts w:ascii="Arial" w:hAnsi="Arial"/>
          <w:rtl w:val="0"/>
        </w:rPr>
        <w:t>ccNSO</w:t>
      </w:r>
      <w:r>
        <w:rPr>
          <w:rFonts w:ascii="Arial" w:hAnsi="Arial"/>
        </w:rPr>
        <w:t>) ومنظمة دعم الأسماء العامة (</w:t>
      </w:r>
      <w:r>
        <w:rPr>
          <w:rFonts w:ascii="Arial" w:hAnsi="Arial"/>
          <w:rtl w:val="0"/>
        </w:rPr>
        <w:t>GNSO</w:t>
      </w:r>
      <w:r>
        <w:rPr>
          <w:rFonts w:ascii="Arial" w:hAnsi="Arial"/>
        </w:rPr>
        <w:t xml:space="preserve">) في لوائح منظمة </w:t>
      </w:r>
      <w:r>
        <w:rPr>
          <w:rFonts w:ascii="Arial" w:hAnsi="Arial"/>
          <w:rtl w:val="0"/>
        </w:rPr>
        <w:t>ICANN.</w:t>
      </w:r>
      <w:r>
        <w:rPr>
          <w:rStyle w:val="a5"/>
          <w:rFonts w:ascii="Arial" w:hAnsi="Arial"/>
          <w:rtl w:val="0"/>
        </w:rPr>
        <w:footnoteReference w:id="9"/>
      </w:r>
      <w:r>
        <w:rPr>
          <w:rFonts w:ascii="Arial" w:hAnsi="Arial"/>
        </w:rPr>
        <w:t xml:space="preserve"> </w:t>
      </w:r>
    </w:p>
    <w:p w:rsidR="007C167B" w:rsidRPr="007C167B" w:rsidRDefault="007C167B" w:rsidP="007C167B">
      <w:pPr>
        <w:rPr>
          <w:rFonts w:ascii="Arial" w:hAnsi="Arial" w:cs="Arial"/>
        </w:rPr>
      </w:pPr>
    </w:p>
    <w:p w:rsidR="00D65E7E" w:rsidRDefault="00B44C15" w:rsidP="008F0A37">
      <w:pPr>
        <w:numPr>
          <w:ilvl w:val="0"/>
          <w:numId w:val="13"/>
        </w:numPr>
        <w:rPr>
          <w:rFonts w:ascii="Arial" w:hAnsi="Arial" w:cs="Arial"/>
        </w:rPr>
      </w:pPr>
      <w:r>
        <w:rPr>
          <w:rFonts w:ascii="Arial" w:hAnsi="Arial"/>
        </w:rPr>
        <w:t xml:space="preserve">يجب أن يتم جعل عمليات المساءلة التي تقوم مجموعة </w:t>
      </w:r>
      <w:r>
        <w:rPr>
          <w:rFonts w:ascii="Arial" w:hAnsi="Arial"/>
          <w:rtl w:val="0"/>
        </w:rPr>
        <w:t>CCWG-Accountability</w:t>
      </w:r>
      <w:r>
        <w:rPr>
          <w:rFonts w:ascii="Arial" w:hAnsi="Arial"/>
        </w:rPr>
        <w:t xml:space="preserve"> بتعزيزها، مثل لجنة المراجعة المستقلة، سارية المفعول فيما يتصل بوظائف </w:t>
      </w:r>
      <w:r>
        <w:rPr>
          <w:rFonts w:ascii="Arial" w:hAnsi="Arial"/>
          <w:rtl w:val="0"/>
        </w:rPr>
        <w:t>IANA</w:t>
      </w:r>
      <w:r>
        <w:rPr>
          <w:rFonts w:ascii="Arial" w:hAnsi="Arial"/>
        </w:rPr>
        <w:t xml:space="preserve">، ويجب تمكين مدراء </w:t>
      </w:r>
      <w:r>
        <w:rPr>
          <w:rFonts w:ascii="Arial" w:hAnsi="Arial"/>
          <w:rtl w:val="0"/>
        </w:rPr>
        <w:t>TLD</w:t>
      </w:r>
      <w:r>
        <w:rPr>
          <w:rFonts w:ascii="Arial" w:hAnsi="Arial"/>
        </w:rPr>
        <w:t xml:space="preserve"> من اللجوء إليها إذا رغبوا في الاستفادة من هذه الآليات. </w:t>
      </w:r>
    </w:p>
    <w:p w:rsidR="007C167B" w:rsidRPr="00D65E7E" w:rsidRDefault="007C167B" w:rsidP="007C167B">
      <w:pPr>
        <w:rPr>
          <w:rFonts w:ascii="Arial" w:hAnsi="Arial" w:cs="Arial"/>
        </w:rPr>
      </w:pPr>
    </w:p>
    <w:p w:rsidR="00D65E7E" w:rsidRPr="00C953DD" w:rsidRDefault="00D65E7E" w:rsidP="008F0A37">
      <w:pPr>
        <w:numPr>
          <w:ilvl w:val="0"/>
          <w:numId w:val="13"/>
        </w:numPr>
        <w:rPr>
          <w:rFonts w:ascii="Arial" w:hAnsi="Arial" w:cs="Arial"/>
        </w:rPr>
      </w:pPr>
      <w:r>
        <w:rPr>
          <w:rFonts w:ascii="Arial" w:hAnsi="Arial"/>
        </w:rPr>
        <w:t xml:space="preserve">يجب تعزيز الآليات السابقة في لوائح منظمة </w:t>
      </w:r>
      <w:r>
        <w:rPr>
          <w:rFonts w:ascii="Arial" w:hAnsi="Arial"/>
          <w:rtl w:val="0"/>
        </w:rPr>
        <w:t>ICANN</w:t>
      </w:r>
      <w:r>
        <w:rPr>
          <w:rFonts w:ascii="Arial" w:hAnsi="Arial"/>
        </w:rPr>
        <w:t xml:space="preserve"> باعتبارها "اللوائح الأساسية"، والتي تتطلب ارتقاء مجتمعيًا لتعديلها.</w:t>
      </w:r>
    </w:p>
    <w:p w:rsidR="00D65E7E" w:rsidRPr="00D65E7E" w:rsidRDefault="00D65E7E" w:rsidP="005E5A9E">
      <w:pPr>
        <w:rPr>
          <w:rFonts w:ascii="Arial" w:hAnsi="Arial" w:cs="Arial"/>
        </w:rPr>
      </w:pPr>
    </w:p>
    <w:p w:rsidR="00A55417" w:rsidRPr="00D65E7E" w:rsidRDefault="00A55417" w:rsidP="005E5A9E">
      <w:pPr>
        <w:rPr>
          <w:rFonts w:ascii="Arial" w:hAnsi="Arial" w:cs="Arial"/>
        </w:rPr>
      </w:pPr>
    </w:p>
    <w:p w:rsidR="00A55417" w:rsidRPr="00D65E7E" w:rsidRDefault="00A55417" w:rsidP="005E5A9E">
      <w:pPr>
        <w:rPr>
          <w:rFonts w:ascii="Arial" w:hAnsi="Arial" w:cs="Arial"/>
          <w:b/>
        </w:rPr>
      </w:pPr>
      <w:r>
        <w:rPr>
          <w:rFonts w:ascii="Arial" w:hAnsi="Arial"/>
          <w:b/>
          <w:bCs/>
        </w:rPr>
        <w:t xml:space="preserve">عمل إضافي </w:t>
      </w:r>
    </w:p>
    <w:p w:rsidR="00A55417" w:rsidRPr="00D65E7E" w:rsidRDefault="00A55417" w:rsidP="005E5A9E">
      <w:pPr>
        <w:rPr>
          <w:rFonts w:ascii="Arial" w:hAnsi="Arial" w:cs="Arial"/>
        </w:rPr>
      </w:pPr>
    </w:p>
    <w:p w:rsidR="00D65E7E" w:rsidRPr="00D65E7E" w:rsidRDefault="00A55417" w:rsidP="005E5A9E">
      <w:pPr>
        <w:rPr>
          <w:rFonts w:ascii="Arial" w:hAnsi="Arial" w:cs="Arial"/>
        </w:rPr>
      </w:pPr>
      <w:r>
        <w:rPr>
          <w:rFonts w:ascii="Arial" w:hAnsi="Arial"/>
        </w:rPr>
        <w:t xml:space="preserve">حققت مجموعة </w:t>
      </w:r>
      <w:r>
        <w:rPr>
          <w:rFonts w:ascii="Arial" w:hAnsi="Arial"/>
          <w:rtl w:val="0"/>
        </w:rPr>
        <w:t>CWG-Stewardship</w:t>
      </w:r>
      <w:r>
        <w:rPr>
          <w:rFonts w:ascii="Arial" w:hAnsi="Arial"/>
        </w:rPr>
        <w:t xml:space="preserve"> تقدمًا ملحوظًا في ستة أشهر فقط، وسوف تواصل العمل بلا كلل أو ملل إلى حين التسليم المرتقب لاقتراحها النهائي إلى مجموعة تنسيق نقل المسؤولية الإشرافية لـ </w:t>
      </w:r>
      <w:r>
        <w:rPr>
          <w:rFonts w:ascii="Arial" w:hAnsi="Arial"/>
          <w:rtl w:val="0"/>
        </w:rPr>
        <w:t>IANA</w:t>
      </w:r>
      <w:r>
        <w:rPr>
          <w:rFonts w:ascii="Arial" w:hAnsi="Arial"/>
        </w:rPr>
        <w:t xml:space="preserve"> ‏(</w:t>
      </w:r>
      <w:r>
        <w:rPr>
          <w:rFonts w:ascii="Arial" w:hAnsi="Arial"/>
          <w:rtl w:val="0"/>
        </w:rPr>
        <w:t>ICG</w:t>
      </w:r>
      <w:r>
        <w:rPr>
          <w:rFonts w:ascii="Arial" w:hAnsi="Arial"/>
        </w:rPr>
        <w:t xml:space="preserve">) في يونيو، 2015. في غضون ذلك، هناك بضعة مهام بارزة يجب تنفيذها، ومنها التحليل الصارم لفترة التعليق العام الثانية هذه، ووضع اللمسات الأخيرة على الاقتراح داخل مجموعة </w:t>
      </w:r>
      <w:r>
        <w:rPr>
          <w:rFonts w:ascii="Arial" w:hAnsi="Arial"/>
          <w:rtl w:val="0"/>
        </w:rPr>
        <w:t>CWG-Stewardship</w:t>
      </w:r>
      <w:r>
        <w:rPr>
          <w:rFonts w:ascii="Arial" w:hAnsi="Arial"/>
        </w:rPr>
        <w:t xml:space="preserve">، وتسليم المقترح إلى منظمات الدعم/اللجان الاستشارية المتعاقدة للحصول على اعتمادها. </w:t>
      </w:r>
    </w:p>
    <w:p w:rsidR="00D65E7E" w:rsidRPr="00D65E7E" w:rsidRDefault="00D65E7E" w:rsidP="005E5A9E">
      <w:pPr>
        <w:rPr>
          <w:rFonts w:ascii="Arial" w:hAnsi="Arial" w:cs="Arial"/>
        </w:rPr>
      </w:pPr>
    </w:p>
    <w:p w:rsidR="00A55417" w:rsidRPr="00D65E7E" w:rsidRDefault="00A55417" w:rsidP="005E5A9E">
      <w:pPr>
        <w:rPr>
          <w:rFonts w:ascii="Arial" w:hAnsi="Arial" w:cs="Arial"/>
        </w:rPr>
      </w:pPr>
      <w:r>
        <w:rPr>
          <w:rFonts w:ascii="Arial" w:hAnsi="Arial"/>
        </w:rPr>
        <w:t xml:space="preserve">أثناء فترة التعليق العام، سوف تواصل مجموعة </w:t>
      </w:r>
      <w:r>
        <w:rPr>
          <w:rFonts w:ascii="Arial" w:hAnsi="Arial"/>
          <w:rtl w:val="0"/>
        </w:rPr>
        <w:t>CWG-Stewardship</w:t>
      </w:r>
      <w:r>
        <w:rPr>
          <w:rFonts w:ascii="Arial" w:hAnsi="Arial"/>
        </w:rPr>
        <w:t xml:space="preserve"> تقييم مضامين هيكل مرحلة ما بعد النقل المقترح (القسم الرابع) والوفاء بمتطلبات </w:t>
      </w:r>
      <w:r>
        <w:rPr>
          <w:rFonts w:ascii="Arial" w:hAnsi="Arial"/>
          <w:rtl w:val="0"/>
        </w:rPr>
        <w:t>NTIA</w:t>
      </w:r>
      <w:r>
        <w:rPr>
          <w:rFonts w:ascii="Arial" w:hAnsi="Arial"/>
        </w:rPr>
        <w:t xml:space="preserve"> (القسم الخامس). يعتمد هذان القسمان بدرجة كبيرة على إكمال الجزء الثالث، وهما لذلك في شكل مختصر في هذه الفترة. </w:t>
      </w:r>
    </w:p>
    <w:p w:rsidR="00D65E7E" w:rsidRPr="00D65E7E" w:rsidRDefault="00D65E7E" w:rsidP="005E5A9E">
      <w:pPr>
        <w:rPr>
          <w:rFonts w:ascii="Arial" w:hAnsi="Arial" w:cs="Arial"/>
        </w:rPr>
      </w:pPr>
    </w:p>
    <w:p w:rsidR="005E5A9E" w:rsidRPr="00D65E7E" w:rsidRDefault="00D65E7E" w:rsidP="001F5647">
      <w:pPr>
        <w:rPr>
          <w:rFonts w:ascii="Arial" w:hAnsi="Arial" w:cs="Arial"/>
        </w:rPr>
      </w:pPr>
      <w:r>
        <w:rPr>
          <w:rFonts w:ascii="Arial" w:hAnsi="Arial"/>
        </w:rPr>
        <w:t xml:space="preserve">علاوة على ذلك، سوف تواصل مجموعة </w:t>
      </w:r>
      <w:r>
        <w:rPr>
          <w:rFonts w:ascii="Arial" w:hAnsi="Arial"/>
          <w:rtl w:val="0"/>
        </w:rPr>
        <w:t>CWG-Stewardship</w:t>
      </w:r>
      <w:r>
        <w:rPr>
          <w:rFonts w:ascii="Arial" w:hAnsi="Arial"/>
        </w:rPr>
        <w:t xml:space="preserve"> التنسيق مع مجموعة </w:t>
      </w:r>
      <w:r>
        <w:rPr>
          <w:rFonts w:ascii="Arial" w:hAnsi="Arial"/>
          <w:rtl w:val="0"/>
        </w:rPr>
        <w:t>CCWG-Accountability</w:t>
      </w:r>
      <w:r>
        <w:rPr>
          <w:rFonts w:ascii="Arial" w:hAnsi="Arial"/>
        </w:rPr>
        <w:t xml:space="preserve"> لضمان تطوير التبعيات التي يقوم عليها اقتراح مجموعة </w:t>
      </w:r>
      <w:r>
        <w:rPr>
          <w:rFonts w:ascii="Arial" w:hAnsi="Arial"/>
          <w:rtl w:val="0"/>
        </w:rPr>
        <w:t>CWG-Stewardship</w:t>
      </w:r>
      <w:r>
        <w:rPr>
          <w:rFonts w:ascii="Arial" w:hAnsi="Arial"/>
        </w:rPr>
        <w:t xml:space="preserve"> بشكل مناسب. </w:t>
      </w:r>
    </w:p>
    <w:sectPr w:rsidR="005E5A9E" w:rsidRPr="00D65E7E"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A9" w:rsidRDefault="008D78A9" w:rsidP="004273E2">
      <w:r>
        <w:separator/>
      </w:r>
    </w:p>
  </w:endnote>
  <w:endnote w:type="continuationSeparator" w:id="0">
    <w:p w:rsidR="008D78A9" w:rsidRDefault="008D78A9"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A9" w:rsidRDefault="008D78A9" w:rsidP="004273E2">
      <w:r>
        <w:separator/>
      </w:r>
    </w:p>
  </w:footnote>
  <w:footnote w:type="continuationSeparator" w:id="0">
    <w:p w:rsidR="008D78A9" w:rsidRDefault="008D78A9" w:rsidP="004273E2">
      <w:r>
        <w:continuationSeparator/>
      </w:r>
    </w:p>
  </w:footnote>
  <w:footnote w:id="1">
    <w:p w:rsidR="00082590" w:rsidRPr="00D65E7E" w:rsidRDefault="00082590" w:rsidP="00BB5AE5">
      <w:pPr>
        <w:rPr>
          <w:rFonts w:ascii="Arial" w:hAnsi="Arial" w:cs="Arial"/>
          <w:sz w:val="20"/>
          <w:szCs w:val="20"/>
        </w:rPr>
      </w:pPr>
      <w:r>
        <w:rPr>
          <w:rStyle w:val="a5"/>
          <w:rFonts w:ascii="Arial" w:hAnsi="Arial"/>
          <w:sz w:val="20"/>
          <w:rtl w:val="0"/>
        </w:rPr>
        <w:footnoteRef/>
      </w:r>
      <w:r w:rsidRPr="00B34F5F">
        <w:rPr>
          <w:rFonts w:ascii="Arial" w:hAnsi="Arial"/>
          <w:spacing w:val="-2"/>
          <w:sz w:val="20"/>
          <w:szCs w:val="20"/>
        </w:rPr>
        <w:t xml:space="preserve"> في مارس عام 2014، أعلنت وكالة المعلومات والاتصالات الداخلية بالولايات المتحدة التابعة لوزارة التجارة الأمريكية عن عزمها نقل دورها الإشرافي على وظائف </w:t>
      </w:r>
      <w:r w:rsidRPr="00B34F5F">
        <w:rPr>
          <w:rFonts w:ascii="Arial" w:hAnsi="Arial"/>
          <w:spacing w:val="-2"/>
          <w:sz w:val="20"/>
          <w:rtl w:val="0"/>
        </w:rPr>
        <w:t>IANA</w:t>
      </w:r>
      <w:r w:rsidRPr="00B34F5F">
        <w:rPr>
          <w:rFonts w:ascii="Arial" w:hAnsi="Arial"/>
          <w:spacing w:val="-2"/>
          <w:sz w:val="20"/>
          <w:szCs w:val="20"/>
        </w:rPr>
        <w:t xml:space="preserve"> وإدارة منطقة الجذر ذات الصلة. وقد طُلب من منظمة </w:t>
      </w:r>
      <w:r w:rsidRPr="00B34F5F">
        <w:rPr>
          <w:rFonts w:ascii="Arial" w:hAnsi="Arial"/>
          <w:spacing w:val="-2"/>
          <w:sz w:val="20"/>
          <w:rtl w:val="0"/>
        </w:rPr>
        <w:t>ICANN</w:t>
      </w:r>
      <w:r w:rsidRPr="00B34F5F">
        <w:rPr>
          <w:rFonts w:ascii="Arial" w:hAnsi="Arial"/>
          <w:spacing w:val="-2"/>
          <w:sz w:val="20"/>
          <w:szCs w:val="20"/>
        </w:rPr>
        <w:t xml:space="preserve"> تيسير هذه العملية، وفي يونيو من عام 2014، وبعد سلسلة من المشاورات المجتمعية، أعلنت منظمة </w:t>
      </w:r>
      <w:r w:rsidRPr="00B34F5F">
        <w:rPr>
          <w:rFonts w:ascii="Arial" w:hAnsi="Arial"/>
          <w:spacing w:val="-2"/>
          <w:sz w:val="20"/>
          <w:rtl w:val="0"/>
        </w:rPr>
        <w:t>ICANN</w:t>
      </w:r>
      <w:r w:rsidRPr="00B34F5F">
        <w:rPr>
          <w:rFonts w:ascii="Arial" w:hAnsi="Arial"/>
          <w:spacing w:val="-2"/>
          <w:sz w:val="20"/>
          <w:szCs w:val="20"/>
        </w:rPr>
        <w:t xml:space="preserve"> عن إنشاء مجموعة تنسيق نقل المسؤولية الإشرافية لـ </w:t>
      </w:r>
      <w:r w:rsidRPr="00B34F5F">
        <w:rPr>
          <w:rFonts w:ascii="Arial" w:hAnsi="Arial"/>
          <w:spacing w:val="-2"/>
          <w:sz w:val="20"/>
          <w:rtl w:val="0"/>
        </w:rPr>
        <w:t>IANA</w:t>
      </w:r>
      <w:r w:rsidRPr="00B34F5F">
        <w:rPr>
          <w:rFonts w:ascii="Arial" w:hAnsi="Arial"/>
          <w:spacing w:val="-2"/>
          <w:sz w:val="20"/>
          <w:szCs w:val="20"/>
        </w:rPr>
        <w:t xml:space="preserve"> (أو </w:t>
      </w:r>
      <w:r w:rsidRPr="00B34F5F">
        <w:rPr>
          <w:rFonts w:ascii="Arial" w:hAnsi="Arial"/>
          <w:spacing w:val="-2"/>
          <w:sz w:val="20"/>
          <w:rtl w:val="0"/>
        </w:rPr>
        <w:t>ICG)</w:t>
      </w:r>
      <w:r w:rsidRPr="00B34F5F">
        <w:rPr>
          <w:rFonts w:ascii="Arial" w:hAnsi="Arial"/>
          <w:spacing w:val="-2"/>
          <w:sz w:val="20"/>
          <w:szCs w:val="20"/>
        </w:rPr>
        <w:t xml:space="preserve">، والتي تتولى مسؤولية التحضير لمقترح النقل الذي يعكس الحاجات المختلفة للعديد من الأطراف المتأثرة من وظائف </w:t>
      </w:r>
      <w:r w:rsidRPr="00B34F5F">
        <w:rPr>
          <w:rFonts w:ascii="Arial" w:hAnsi="Arial"/>
          <w:spacing w:val="-2"/>
          <w:sz w:val="20"/>
          <w:rtl w:val="0"/>
        </w:rPr>
        <w:t>IANA</w:t>
      </w:r>
      <w:r w:rsidRPr="00B34F5F">
        <w:rPr>
          <w:rFonts w:ascii="Arial" w:hAnsi="Arial"/>
          <w:spacing w:val="-2"/>
          <w:sz w:val="20"/>
          <w:szCs w:val="20"/>
        </w:rPr>
        <w:t xml:space="preserve">. وقد أعلنت مجموعة </w:t>
      </w:r>
      <w:r w:rsidRPr="00B34F5F">
        <w:rPr>
          <w:rFonts w:ascii="Arial" w:hAnsi="Arial"/>
          <w:spacing w:val="-2"/>
          <w:sz w:val="20"/>
          <w:rtl w:val="0"/>
        </w:rPr>
        <w:t>ICG</w:t>
      </w:r>
      <w:r w:rsidRPr="00B34F5F">
        <w:rPr>
          <w:rFonts w:ascii="Arial" w:hAnsi="Arial"/>
          <w:spacing w:val="-2"/>
          <w:sz w:val="20"/>
          <w:szCs w:val="20"/>
        </w:rPr>
        <w:t xml:space="preserve"> عن مطالبتها بمقترحات في سبتمبر من عام 2014، والتي تتوفر هنا: </w:t>
      </w:r>
      <w:hyperlink r:id="rId1">
        <w:r w:rsidRPr="00B34F5F">
          <w:rPr>
            <w:rStyle w:val="a3"/>
            <w:rFonts w:ascii="Arial" w:hAnsi="Arial"/>
            <w:spacing w:val="-2"/>
            <w:sz w:val="20"/>
            <w:rtl w:val="0"/>
          </w:rPr>
          <w:t>https://www.icann.org/news/announcement-3-2014-09-03-en</w:t>
        </w:r>
      </w:hyperlink>
      <w:r>
        <w:rPr>
          <w:rFonts w:ascii="Arial" w:hAnsi="Arial"/>
          <w:sz w:val="20"/>
          <w:szCs w:val="20"/>
        </w:rPr>
        <w:t xml:space="preserve">.  </w:t>
      </w:r>
    </w:p>
  </w:footnote>
  <w:footnote w:id="2">
    <w:p w:rsidR="00082590" w:rsidRPr="00D65E7E" w:rsidRDefault="00082590" w:rsidP="00D65E7E">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عندما عقدت مجموعة </w:t>
      </w:r>
      <w:r>
        <w:rPr>
          <w:rFonts w:ascii="Arial" w:hAnsi="Arial"/>
          <w:sz w:val="20"/>
          <w:rtl w:val="0"/>
        </w:rPr>
        <w:t>CWG-Stewardship</w:t>
      </w:r>
      <w:r>
        <w:rPr>
          <w:rFonts w:ascii="Arial" w:hAnsi="Arial"/>
          <w:sz w:val="20"/>
          <w:szCs w:val="20"/>
        </w:rPr>
        <w:t xml:space="preserve"> اجتماعها الأول، حضره 19 عضوًا من منظمات الدعم/اللجان الاستشارية و57 مشاركًا من الأفراد. واليوم يشارك 131 مشاركًا من الأفراد. تتوفر في الرابط هنا قائمة كاملة بالأعضاء والمشاركين: </w:t>
      </w:r>
      <w:hyperlink r:id="rId2">
        <w:r>
          <w:rPr>
            <w:rStyle w:val="a3"/>
            <w:rFonts w:ascii="Arial" w:hAnsi="Arial"/>
            <w:sz w:val="20"/>
            <w:rtl w:val="0"/>
          </w:rPr>
          <w:t>https://community.icann.org/x/1QrxAg</w:t>
        </w:r>
      </w:hyperlink>
      <w:r>
        <w:rPr>
          <w:rFonts w:ascii="Arial" w:hAnsi="Arial"/>
          <w:sz w:val="20"/>
          <w:szCs w:val="20"/>
        </w:rPr>
        <w:t xml:space="preserve">.  </w:t>
      </w:r>
    </w:p>
  </w:footnote>
  <w:footnote w:id="3">
    <w:p w:rsidR="00082590" w:rsidRPr="00D65E7E" w:rsidRDefault="00082590" w:rsidP="00D65E7E">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وقد كانت مجموعة تنسيق نقل المسؤولية الإشرافية لـ </w:t>
      </w:r>
      <w:r>
        <w:rPr>
          <w:rFonts w:ascii="Arial" w:hAnsi="Arial"/>
          <w:sz w:val="20"/>
          <w:rtl w:val="0"/>
        </w:rPr>
        <w:t>IANA</w:t>
      </w:r>
      <w:r>
        <w:rPr>
          <w:rFonts w:ascii="Arial" w:hAnsi="Arial"/>
          <w:sz w:val="20"/>
          <w:szCs w:val="20"/>
        </w:rPr>
        <w:t xml:space="preserve"> ‏(</w:t>
      </w:r>
      <w:r>
        <w:rPr>
          <w:rFonts w:ascii="Arial" w:hAnsi="Arial"/>
          <w:sz w:val="20"/>
          <w:rtl w:val="0"/>
        </w:rPr>
        <w:t>ICG</w:t>
      </w:r>
      <w:r>
        <w:rPr>
          <w:rFonts w:ascii="Arial" w:hAnsi="Arial"/>
          <w:sz w:val="20"/>
          <w:szCs w:val="20"/>
        </w:rPr>
        <w:t xml:space="preserve">) قد طلب ردودًا على ما قدمته من طلبات اقتراحات بتاريخ 15 يناير، 2015.   </w:t>
      </w:r>
    </w:p>
  </w:footnote>
  <w:footnote w:id="4">
    <w:p w:rsidR="00082590" w:rsidRPr="00D65E7E" w:rsidRDefault="00082590" w:rsidP="000E2D8B">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النماذج السبعة التي كانت قيد الدارسة هي: نموذجان خارجيان بشكل كامل (شركة تعاقدية وائتمان خارجي)؛ ونموذجان داخليان بشكل كامل (</w:t>
      </w:r>
      <w:r>
        <w:rPr>
          <w:rFonts w:ascii="Arial" w:hAnsi="Arial"/>
          <w:sz w:val="20"/>
          <w:rtl w:val="0"/>
        </w:rPr>
        <w:t>ICANN</w:t>
      </w:r>
      <w:r>
        <w:rPr>
          <w:rFonts w:ascii="Arial" w:hAnsi="Arial"/>
          <w:sz w:val="20"/>
          <w:szCs w:val="20"/>
        </w:rPr>
        <w:t xml:space="preserve"> مع مساءلة وحوكة محسّنين وائتمان داخلي)؛ و3 أشكال مختلفة لنموذج مدمج (شركة مستقل، اتحاد تطوعي، شركة تابعة). لمزيد من التفاصيل بشأن النقاش الذي دار حول النماذج، يُرجى مراجعة الاجتماعين رقم 31 ورقم 32 اللذين تم عقدهما في إسطنبول: </w:t>
      </w:r>
      <w:hyperlink r:id="rId3">
        <w:r>
          <w:rPr>
            <w:rStyle w:val="a3"/>
            <w:rFonts w:ascii="Arial" w:hAnsi="Arial"/>
            <w:sz w:val="20"/>
            <w:rtl w:val="0"/>
          </w:rPr>
          <w:t>https://community.icann.org/x/1QonAw</w:t>
        </w:r>
      </w:hyperlink>
      <w:r>
        <w:rPr>
          <w:rFonts w:ascii="Arial" w:hAnsi="Arial"/>
          <w:sz w:val="20"/>
          <w:szCs w:val="20"/>
        </w:rPr>
        <w:t>.</w:t>
      </w:r>
    </w:p>
  </w:footnote>
  <w:footnote w:id="5">
    <w:p w:rsidR="00082590" w:rsidRPr="00D65E7E" w:rsidRDefault="00082590" w:rsidP="00D65E7E">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بدأت مجموعة </w:t>
      </w:r>
      <w:r>
        <w:rPr>
          <w:rFonts w:ascii="Arial" w:hAnsi="Arial"/>
          <w:sz w:val="20"/>
          <w:rtl w:val="0"/>
        </w:rPr>
        <w:t>CWG-Stewardship</w:t>
      </w:r>
      <w:r>
        <w:rPr>
          <w:rFonts w:ascii="Arial" w:hAnsi="Arial"/>
          <w:sz w:val="20"/>
          <w:szCs w:val="20"/>
        </w:rPr>
        <w:t xml:space="preserve"> سعيها في البحث عن مكتب استشاري قانوني مستقل وغير تابع لمنظمة </w:t>
      </w:r>
      <w:r>
        <w:rPr>
          <w:rFonts w:ascii="Arial" w:hAnsi="Arial"/>
          <w:sz w:val="20"/>
          <w:rtl w:val="0"/>
        </w:rPr>
        <w:t>ICANN</w:t>
      </w:r>
      <w:r>
        <w:rPr>
          <w:rFonts w:ascii="Arial" w:hAnsi="Arial"/>
          <w:sz w:val="20"/>
          <w:szCs w:val="20"/>
        </w:rPr>
        <w:t xml:space="preserve"> في 15 يناير، وبعد إجراء عملية بحث موسّعة، اختارت توكيل مكتب </w:t>
      </w:r>
      <w:r>
        <w:rPr>
          <w:rFonts w:ascii="Arial" w:hAnsi="Arial"/>
          <w:sz w:val="20"/>
          <w:rtl w:val="0"/>
        </w:rPr>
        <w:t>Sidley Austin LLP</w:t>
      </w:r>
      <w:r>
        <w:rPr>
          <w:rFonts w:ascii="Arial" w:hAnsi="Arial"/>
          <w:sz w:val="20"/>
          <w:szCs w:val="20"/>
        </w:rPr>
        <w:t xml:space="preserve"> بتاريخ 6 مارس، 2015. مزيد من المعلومات حول الارتباط بين الطرفين متوفر هنا: </w:t>
      </w:r>
      <w:hyperlink r:id="rId4">
        <w:r>
          <w:rPr>
            <w:rStyle w:val="a3"/>
            <w:rFonts w:ascii="Arial" w:hAnsi="Arial"/>
            <w:sz w:val="20"/>
            <w:rtl w:val="0"/>
          </w:rPr>
          <w:t>https://community.icann.org/x/8g8nAw</w:t>
        </w:r>
      </w:hyperlink>
      <w:r>
        <w:rPr>
          <w:rFonts w:ascii="Arial" w:hAnsi="Arial"/>
          <w:sz w:val="20"/>
          <w:szCs w:val="20"/>
        </w:rPr>
        <w:t xml:space="preserve">. </w:t>
      </w:r>
    </w:p>
  </w:footnote>
  <w:footnote w:id="6">
    <w:p w:rsidR="00082590" w:rsidRPr="00D65E7E" w:rsidRDefault="00082590" w:rsidP="00D65E7E">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للاطلاع على قائمة تفصيلية لكل فرقة من فرق </w:t>
      </w:r>
      <w:r>
        <w:rPr>
          <w:rFonts w:ascii="Arial" w:hAnsi="Arial"/>
          <w:sz w:val="20"/>
          <w:rtl w:val="0"/>
        </w:rPr>
        <w:t>DT</w:t>
      </w:r>
      <w:r>
        <w:rPr>
          <w:rFonts w:ascii="Arial" w:hAnsi="Arial"/>
          <w:sz w:val="20"/>
          <w:szCs w:val="20"/>
        </w:rPr>
        <w:t xml:space="preserve"> ونطاق عملهم، يُرجى مراجعة الرابط هنا: </w:t>
      </w:r>
      <w:hyperlink r:id="rId5">
        <w:r>
          <w:rPr>
            <w:rStyle w:val="a3"/>
            <w:rFonts w:ascii="Arial" w:hAnsi="Arial"/>
            <w:sz w:val="20"/>
            <w:rtl w:val="0"/>
          </w:rPr>
          <w:t>https://community.icann.org/x/qgwnAw</w:t>
        </w:r>
      </w:hyperlink>
      <w:r>
        <w:rPr>
          <w:rFonts w:ascii="Arial" w:hAnsi="Arial"/>
          <w:sz w:val="20"/>
          <w:szCs w:val="20"/>
        </w:rPr>
        <w:t xml:space="preserve">. </w:t>
      </w:r>
    </w:p>
  </w:footnote>
  <w:footnote w:id="7">
    <w:p w:rsidR="00082590" w:rsidRPr="008F0A37" w:rsidRDefault="00082590">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ولن تحتاج لجنة </w:t>
      </w:r>
      <w:r>
        <w:rPr>
          <w:rFonts w:ascii="Arial" w:hAnsi="Arial"/>
          <w:sz w:val="20"/>
          <w:rtl w:val="0"/>
        </w:rPr>
        <w:t>CSC</w:t>
      </w:r>
      <w:r>
        <w:rPr>
          <w:rFonts w:ascii="Arial" w:hAnsi="Arial"/>
          <w:sz w:val="20"/>
          <w:szCs w:val="20"/>
        </w:rPr>
        <w:t xml:space="preserve"> إلى أن تكون هيئة قانونية. ويمكن إنشاء لجنة </w:t>
      </w:r>
      <w:r>
        <w:rPr>
          <w:rFonts w:ascii="Arial" w:hAnsi="Arial"/>
          <w:sz w:val="20"/>
          <w:rtl w:val="0"/>
        </w:rPr>
        <w:t>CSC</w:t>
      </w:r>
      <w:r>
        <w:rPr>
          <w:rFonts w:ascii="Arial" w:hAnsi="Arial"/>
          <w:sz w:val="20"/>
          <w:szCs w:val="20"/>
        </w:rPr>
        <w:t xml:space="preserve"> بموجب وثائق الحوكمة في منظمة </w:t>
      </w:r>
      <w:r>
        <w:rPr>
          <w:rFonts w:ascii="Arial" w:hAnsi="Arial"/>
          <w:sz w:val="20"/>
          <w:rtl w:val="0"/>
        </w:rPr>
        <w:t>ICANN</w:t>
      </w:r>
      <w:r>
        <w:rPr>
          <w:rFonts w:ascii="Arial" w:hAnsi="Arial"/>
          <w:sz w:val="20"/>
          <w:szCs w:val="20"/>
        </w:rPr>
        <w:t xml:space="preserve"> ويمكن أيضًا إنشاؤها بالنص على ذلك في عقد وظائف </w:t>
      </w:r>
      <w:r>
        <w:rPr>
          <w:rFonts w:ascii="Arial" w:hAnsi="Arial"/>
          <w:sz w:val="20"/>
          <w:rtl w:val="0"/>
        </w:rPr>
        <w:t>IANA</w:t>
      </w:r>
      <w:r>
        <w:rPr>
          <w:rFonts w:ascii="Arial" w:hAnsi="Arial"/>
          <w:sz w:val="20"/>
          <w:szCs w:val="20"/>
        </w:rPr>
        <w:t xml:space="preserve"> المبرم بين هيئة </w:t>
      </w:r>
      <w:r>
        <w:rPr>
          <w:rFonts w:ascii="Arial" w:hAnsi="Arial"/>
          <w:sz w:val="20"/>
          <w:rtl w:val="0"/>
        </w:rPr>
        <w:t>PTI</w:t>
      </w:r>
      <w:r>
        <w:rPr>
          <w:rFonts w:ascii="Arial" w:hAnsi="Arial"/>
          <w:sz w:val="20"/>
          <w:szCs w:val="20"/>
        </w:rPr>
        <w:t xml:space="preserve"> ومنظمة </w:t>
      </w:r>
      <w:r>
        <w:rPr>
          <w:rFonts w:ascii="Arial" w:hAnsi="Arial"/>
          <w:sz w:val="20"/>
          <w:rtl w:val="0"/>
        </w:rPr>
        <w:t>ICANN</w:t>
      </w:r>
      <w:r>
        <w:rPr>
          <w:rFonts w:ascii="Arial" w:hAnsi="Arial"/>
          <w:sz w:val="20"/>
          <w:szCs w:val="20"/>
        </w:rPr>
        <w:t>.</w:t>
      </w:r>
    </w:p>
  </w:footnote>
  <w:footnote w:id="8">
    <w:p w:rsidR="00082590" w:rsidRPr="002151F7" w:rsidRDefault="00082590" w:rsidP="00BE4DF8">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وسوف يتم إجراء مراجعة وظائف </w:t>
      </w:r>
      <w:r>
        <w:rPr>
          <w:rFonts w:ascii="Arial" w:hAnsi="Arial"/>
          <w:sz w:val="20"/>
          <w:rtl w:val="0"/>
        </w:rPr>
        <w:t>IANA</w:t>
      </w:r>
      <w:r>
        <w:rPr>
          <w:rFonts w:ascii="Arial" w:hAnsi="Arial"/>
          <w:sz w:val="20"/>
          <w:szCs w:val="20"/>
        </w:rPr>
        <w:t xml:space="preserve"> بصورة دورية (أول مراجعة ستكون بعد اكتمال عملية النقل بعامين، وكل خمس سنوات على الأكثر بعد ذلك). ويمكن أيضًا أن يتم إجراء مراجعة خاصة في ظل ظروف معينة. ويمكن إنشاء المراجعة بموجب وثائق الحوكمة في منظمة </w:t>
      </w:r>
      <w:r>
        <w:rPr>
          <w:rFonts w:ascii="Arial" w:hAnsi="Arial"/>
          <w:sz w:val="20"/>
          <w:rtl w:val="0"/>
        </w:rPr>
        <w:t>ICANN</w:t>
      </w:r>
      <w:r>
        <w:rPr>
          <w:rFonts w:ascii="Arial" w:hAnsi="Arial"/>
          <w:sz w:val="20"/>
          <w:szCs w:val="20"/>
        </w:rPr>
        <w:t xml:space="preserve"> ويمكن أيضًا إنشاؤها بالنص على ذلك في عقد وظائف </w:t>
      </w:r>
      <w:r>
        <w:rPr>
          <w:rFonts w:ascii="Arial" w:hAnsi="Arial"/>
          <w:sz w:val="20"/>
          <w:rtl w:val="0"/>
        </w:rPr>
        <w:t>IANA</w:t>
      </w:r>
      <w:r>
        <w:rPr>
          <w:rFonts w:ascii="Arial" w:hAnsi="Arial"/>
          <w:sz w:val="20"/>
          <w:szCs w:val="20"/>
        </w:rPr>
        <w:t xml:space="preserve"> المبرم بين هيئة </w:t>
      </w:r>
      <w:r>
        <w:rPr>
          <w:rFonts w:ascii="Arial" w:hAnsi="Arial"/>
          <w:sz w:val="20"/>
          <w:rtl w:val="0"/>
        </w:rPr>
        <w:t>PTI</w:t>
      </w:r>
      <w:r>
        <w:rPr>
          <w:rFonts w:ascii="Arial" w:hAnsi="Arial"/>
          <w:sz w:val="20"/>
          <w:szCs w:val="20"/>
        </w:rPr>
        <w:t xml:space="preserve"> ومنظمة </w:t>
      </w:r>
      <w:r>
        <w:rPr>
          <w:rFonts w:ascii="Arial" w:hAnsi="Arial"/>
          <w:sz w:val="20"/>
          <w:rtl w:val="0"/>
        </w:rPr>
        <w:t>ICANN</w:t>
      </w:r>
      <w:r>
        <w:rPr>
          <w:rFonts w:ascii="Arial" w:hAnsi="Arial"/>
          <w:sz w:val="20"/>
          <w:szCs w:val="20"/>
        </w:rPr>
        <w:t>.</w:t>
      </w:r>
    </w:p>
  </w:footnote>
  <w:footnote w:id="9">
    <w:p w:rsidR="00082590" w:rsidRPr="007C167B" w:rsidRDefault="00082590">
      <w:pPr>
        <w:pStyle w:val="a4"/>
        <w:rPr>
          <w:rFonts w:ascii="Arial" w:hAnsi="Arial" w:cs="Arial"/>
          <w:sz w:val="20"/>
          <w:szCs w:val="20"/>
        </w:rPr>
      </w:pPr>
      <w:r>
        <w:rPr>
          <w:rStyle w:val="a5"/>
          <w:rFonts w:ascii="Arial" w:hAnsi="Arial"/>
          <w:sz w:val="20"/>
          <w:rtl w:val="0"/>
        </w:rPr>
        <w:footnoteRef/>
      </w:r>
      <w:r>
        <w:rPr>
          <w:rFonts w:ascii="Arial" w:hAnsi="Arial"/>
          <w:sz w:val="20"/>
          <w:szCs w:val="20"/>
        </w:rPr>
        <w:t xml:space="preserve"> إذا لم يكن هناك تفويض بالنسبة لمنظمة </w:t>
      </w:r>
      <w:r>
        <w:rPr>
          <w:rFonts w:ascii="Arial" w:hAnsi="Arial"/>
          <w:sz w:val="20"/>
          <w:rtl w:val="0"/>
        </w:rPr>
        <w:t>ccNSO</w:t>
      </w:r>
      <w:r>
        <w:rPr>
          <w:rFonts w:ascii="Arial" w:hAnsi="Arial"/>
          <w:sz w:val="20"/>
          <w:szCs w:val="20"/>
        </w:rPr>
        <w:t xml:space="preserve"> و/أو </w:t>
      </w:r>
      <w:r>
        <w:rPr>
          <w:rFonts w:ascii="Arial" w:hAnsi="Arial"/>
          <w:sz w:val="20"/>
          <w:rtl w:val="0"/>
        </w:rPr>
        <w:t>GNSO</w:t>
      </w:r>
      <w:r>
        <w:rPr>
          <w:rFonts w:ascii="Arial" w:hAnsi="Arial"/>
          <w:sz w:val="20"/>
          <w:szCs w:val="20"/>
        </w:rPr>
        <w:t xml:space="preserve"> في الوقت الحالي للتعامل مع القضايا التي تم تصعيدها بواسطة لجنة </w:t>
      </w:r>
      <w:r>
        <w:rPr>
          <w:rFonts w:ascii="Arial" w:hAnsi="Arial"/>
          <w:sz w:val="20"/>
          <w:rtl w:val="0"/>
        </w:rPr>
        <w:t>CSC</w:t>
      </w:r>
      <w:r>
        <w:rPr>
          <w:rFonts w:ascii="Arial" w:hAnsi="Arial"/>
          <w:sz w:val="20"/>
          <w:szCs w:val="20"/>
        </w:rPr>
        <w:t xml:space="preserve">، فإن هذا أيضًا ينبغي أن يتم تناوله من خلال لوائح منظمة </w:t>
      </w:r>
      <w:r>
        <w:rPr>
          <w:rFonts w:ascii="Arial" w:hAnsi="Arial"/>
          <w:sz w:val="20"/>
          <w:rtl w:val="0"/>
        </w:rPr>
        <w:t>ICANN</w:t>
      </w:r>
      <w:r>
        <w:rPr>
          <w:rFonts w:ascii="Arial" w:hAnsi="Arial"/>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7761F"/>
    <w:rsid w:val="001F5647"/>
    <w:rsid w:val="002151F7"/>
    <w:rsid w:val="00233BD5"/>
    <w:rsid w:val="002907FA"/>
    <w:rsid w:val="002A3E25"/>
    <w:rsid w:val="002B6191"/>
    <w:rsid w:val="00341CCA"/>
    <w:rsid w:val="00372F0F"/>
    <w:rsid w:val="003906DD"/>
    <w:rsid w:val="003D3F32"/>
    <w:rsid w:val="003F084C"/>
    <w:rsid w:val="004273E2"/>
    <w:rsid w:val="00502C6B"/>
    <w:rsid w:val="00516C72"/>
    <w:rsid w:val="005D48E5"/>
    <w:rsid w:val="005E5A9E"/>
    <w:rsid w:val="00605B5A"/>
    <w:rsid w:val="0065334C"/>
    <w:rsid w:val="00660FF2"/>
    <w:rsid w:val="00690190"/>
    <w:rsid w:val="0069547C"/>
    <w:rsid w:val="007141A4"/>
    <w:rsid w:val="00726262"/>
    <w:rsid w:val="00780089"/>
    <w:rsid w:val="00786865"/>
    <w:rsid w:val="007A47A6"/>
    <w:rsid w:val="007C167B"/>
    <w:rsid w:val="007E6FEA"/>
    <w:rsid w:val="008D78A9"/>
    <w:rsid w:val="008E0C59"/>
    <w:rsid w:val="008F0A37"/>
    <w:rsid w:val="008F3C12"/>
    <w:rsid w:val="00913F8E"/>
    <w:rsid w:val="00922A27"/>
    <w:rsid w:val="00933758"/>
    <w:rsid w:val="00997F0F"/>
    <w:rsid w:val="009F5957"/>
    <w:rsid w:val="00A55417"/>
    <w:rsid w:val="00A96AB4"/>
    <w:rsid w:val="00B034DB"/>
    <w:rsid w:val="00B34F5F"/>
    <w:rsid w:val="00B44C15"/>
    <w:rsid w:val="00B7721B"/>
    <w:rsid w:val="00B77ADC"/>
    <w:rsid w:val="00B85751"/>
    <w:rsid w:val="00B91EB3"/>
    <w:rsid w:val="00BB5AE5"/>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4D1D"/>
    <w:rsid w:val="00D9295F"/>
    <w:rsid w:val="00DC0138"/>
    <w:rsid w:val="00DD32EB"/>
    <w:rsid w:val="00DD5D82"/>
    <w:rsid w:val="00DF2BFC"/>
    <w:rsid w:val="00E55A79"/>
    <w:rsid w:val="00E7557C"/>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ar-EG" w:bidi="ar-E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82"/>
    <w:pPr>
      <w:bidi/>
    </w:pPr>
    <w:rPr>
      <w:rt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Lucida Grande" w:hAnsi="Lucida Grande" w:cs="Lucida Grande"/>
      <w:sz w:val="18"/>
      <w:szCs w:val="18"/>
    </w:rPr>
  </w:style>
  <w:style w:type="character" w:customStyle="1" w:styleId="Char2">
    <w:name w:val="批注框文本 Char"/>
    <w:basedOn w:val="a0"/>
    <w:link w:val="a9"/>
    <w:uiPriority w:val="99"/>
    <w:semiHidden/>
    <w:rsid w:val="00DD32EB"/>
    <w:rPr>
      <w:rFonts w:ascii="Lucida Grande" w:hAnsi="Lucida Grande" w:cs="Lucida Grande"/>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pPr>
      <w:bidi/>
    </w:pPr>
    <w:rPr>
      <w:rtl/>
    </w:rPr>
  </w:style>
  <w:style w:type="paragraph" w:styleId="ac">
    <w:name w:val="header"/>
    <w:basedOn w:val="a"/>
    <w:link w:val="Char3"/>
    <w:uiPriority w:val="99"/>
    <w:semiHidden/>
    <w:unhideWhenUsed/>
    <w:rsid w:val="00B34F5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B34F5F"/>
    <w:rPr>
      <w:sz w:val="18"/>
      <w:szCs w:val="18"/>
    </w:rPr>
  </w:style>
  <w:style w:type="paragraph" w:styleId="ad">
    <w:name w:val="footer"/>
    <w:basedOn w:val="a"/>
    <w:link w:val="Char4"/>
    <w:uiPriority w:val="99"/>
    <w:semiHidden/>
    <w:unhideWhenUsed/>
    <w:rsid w:val="00B34F5F"/>
    <w:pPr>
      <w:tabs>
        <w:tab w:val="center" w:pos="4153"/>
        <w:tab w:val="right" w:pos="8306"/>
      </w:tabs>
      <w:snapToGrid w:val="0"/>
    </w:pPr>
    <w:rPr>
      <w:sz w:val="18"/>
      <w:szCs w:val="18"/>
    </w:rPr>
  </w:style>
  <w:style w:type="character" w:customStyle="1" w:styleId="Char4">
    <w:name w:val="页脚 Char"/>
    <w:basedOn w:val="a0"/>
    <w:link w:val="ad"/>
    <w:uiPriority w:val="99"/>
    <w:semiHidden/>
    <w:rsid w:val="00B34F5F"/>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84631-B767-4B9C-8CB1-90E939CF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邓攀</cp:lastModifiedBy>
  <cp:revision>4</cp:revision>
  <dcterms:created xsi:type="dcterms:W3CDTF">2015-04-22T18:31:00Z</dcterms:created>
  <dcterms:modified xsi:type="dcterms:W3CDTF">2015-05-14T07:40:00Z</dcterms:modified>
</cp:coreProperties>
</file>