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1C" w:rsidRDefault="00CA3AED">
      <w:pPr>
        <w:rPr>
          <w:lang w:val="en-US"/>
        </w:rPr>
      </w:pPr>
      <w:r>
        <w:rPr>
          <w:lang w:val="en-US"/>
        </w:rPr>
        <w:t>Proposed Remedial Action Procedures</w:t>
      </w:r>
    </w:p>
    <w:p w:rsidR="00CA3AED" w:rsidRDefault="00CA3AED">
      <w:pPr>
        <w:rPr>
          <w:lang w:val="en-US"/>
        </w:rPr>
      </w:pPr>
    </w:p>
    <w:p w:rsidR="00CA3AED" w:rsidRDefault="00CA3AED">
      <w:pPr>
        <w:rPr>
          <w:lang w:val="en-US"/>
        </w:rPr>
      </w:pPr>
      <w:r>
        <w:rPr>
          <w:lang w:val="en-US"/>
        </w:rPr>
        <w:t xml:space="preserve">This proposal is illustrative of what could be included in the Remedial Action Procedures. </w:t>
      </w:r>
      <w:r w:rsidR="00804340">
        <w:rPr>
          <w:lang w:val="en-US"/>
        </w:rPr>
        <w:t>It is anticipated that the Procedures would be agreed between the CSC and IANA prior to implementation.</w:t>
      </w:r>
      <w:bookmarkStart w:id="0" w:name="_GoBack"/>
      <w:bookmarkEnd w:id="0"/>
    </w:p>
    <w:p w:rsidR="00A2667F" w:rsidRDefault="00A2667F">
      <w:pPr>
        <w:rPr>
          <w:lang w:val="en-US"/>
        </w:rPr>
      </w:pPr>
    </w:p>
    <w:tbl>
      <w:tblPr>
        <w:tblpPr w:leftFromText="180" w:rightFromText="180" w:vertAnchor="text" w:horzAnchor="margin" w:tblpY="151"/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3390"/>
        <w:gridCol w:w="3391"/>
        <w:gridCol w:w="3390"/>
        <w:gridCol w:w="3391"/>
      </w:tblGrid>
      <w:tr w:rsidR="00A2667F" w:rsidRPr="00A27CB4" w:rsidTr="00354E60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Notification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1st Escalation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2nd Escalation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3rd Escalation</w:t>
            </w:r>
          </w:p>
        </w:tc>
      </w:tr>
      <w:tr w:rsidR="00A2667F" w:rsidRPr="00A27CB4" w:rsidTr="00354E60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Occurs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Process control limit exceeded</w:t>
            </w:r>
          </w:p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IANA customer presents evidence that IANA did not meet SLA</w:t>
            </w:r>
          </w:p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IANA periodic report indicates SLA not met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Corrective action plan late</w:t>
            </w:r>
          </w:p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Corrective action plan milestones missed</w:t>
            </w:r>
          </w:p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Two or more additional “notification” violations occur while corrective action plan is open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Corrective action plan late</w:t>
            </w:r>
          </w:p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Corrective action plan milestones missed</w:t>
            </w:r>
          </w:p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Two or more additional “notification” violations occur while corrective action plan is supposed to be in place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A2667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5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 xml:space="preserve">Corrective action plan from 2nd escalation not delivered or executed timely. </w:t>
            </w:r>
          </w:p>
          <w:p w:rsidR="00A2667F" w:rsidRPr="00A27CB4" w:rsidRDefault="00A2667F" w:rsidP="00A2667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5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Additional similar violations occur when corrective action from 2nd escalation is supposed to be in place</w:t>
            </w:r>
          </w:p>
        </w:tc>
      </w:tr>
      <w:tr w:rsidR="00A2667F" w:rsidRPr="00A27CB4" w:rsidTr="00354E60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Addressee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IANA Manager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IANA Manager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 xml:space="preserve">GDD President 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 xml:space="preserve">ICANN Board, CEO </w:t>
            </w:r>
          </w:p>
        </w:tc>
      </w:tr>
      <w:tr w:rsidR="00A2667F" w:rsidRPr="00A27CB4" w:rsidTr="00354E60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Message Content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Identify SLA breach and evidence</w:t>
            </w:r>
          </w:p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Conference call request to discuss issues raised by CSC message.</w:t>
            </w:r>
          </w:p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Corrective action requirement</w:t>
            </w:r>
          </w:p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Time frame</w:t>
            </w:r>
          </w:p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Identify party requiring response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Identify SLA breach and evidence</w:t>
            </w:r>
          </w:p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Conference call request to discuss issues raised by CSC message.</w:t>
            </w:r>
          </w:p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Corrective action requirement</w:t>
            </w:r>
          </w:p>
          <w:p w:rsidR="00A2667F" w:rsidRPr="00A27CB4" w:rsidRDefault="00A2667F" w:rsidP="00A2667F">
            <w:pPr>
              <w:numPr>
                <w:ilvl w:val="0"/>
                <w:numId w:val="1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Time frame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  <w:rPr>
                <w:sz w:val="20"/>
              </w:rPr>
            </w:pPr>
            <w:r w:rsidRPr="00A27CB4">
              <w:rPr>
                <w:sz w:val="20"/>
              </w:rPr>
              <w:t>same as previous</w:t>
            </w:r>
          </w:p>
          <w:p w:rsidR="00A2667F" w:rsidRPr="00A27CB4" w:rsidRDefault="00A2667F" w:rsidP="00354E60">
            <w:pPr>
              <w:widowControl w:val="0"/>
              <w:spacing w:line="240" w:lineRule="auto"/>
            </w:pP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  <w:rPr>
                <w:sz w:val="20"/>
              </w:rPr>
            </w:pPr>
            <w:r w:rsidRPr="00A27CB4">
              <w:rPr>
                <w:sz w:val="20"/>
              </w:rPr>
              <w:t>same as previous</w:t>
            </w:r>
          </w:p>
          <w:p w:rsidR="00A2667F" w:rsidRPr="00A27CB4" w:rsidRDefault="00A2667F" w:rsidP="00354E60">
            <w:pPr>
              <w:widowControl w:val="0"/>
              <w:spacing w:line="240" w:lineRule="auto"/>
            </w:pPr>
          </w:p>
        </w:tc>
      </w:tr>
      <w:tr w:rsidR="00A2667F" w:rsidRPr="00A27CB4" w:rsidTr="00354E60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 xml:space="preserve">Response </w:t>
            </w:r>
            <w:proofErr w:type="spellStart"/>
            <w:r w:rsidRPr="00A27CB4">
              <w:rPr>
                <w:sz w:val="20"/>
              </w:rPr>
              <w:t>Req’t</w:t>
            </w:r>
            <w:proofErr w:type="spellEnd"/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A2667F">
            <w:pPr>
              <w:numPr>
                <w:ilvl w:val="0"/>
                <w:numId w:val="6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Agreement that SLA violation occurred(or evidence to contrary)</w:t>
            </w:r>
          </w:p>
          <w:p w:rsidR="00A2667F" w:rsidRPr="00A27CB4" w:rsidRDefault="00A2667F" w:rsidP="00A2667F">
            <w:pPr>
              <w:numPr>
                <w:ilvl w:val="0"/>
                <w:numId w:val="6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Cause</w:t>
            </w:r>
          </w:p>
          <w:p w:rsidR="00A2667F" w:rsidRPr="00A27CB4" w:rsidRDefault="00A2667F" w:rsidP="00A2667F">
            <w:pPr>
              <w:numPr>
                <w:ilvl w:val="0"/>
                <w:numId w:val="6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Correction made on individual case</w:t>
            </w:r>
          </w:p>
          <w:p w:rsidR="00A2667F" w:rsidRPr="00A27CB4" w:rsidRDefault="00A2667F" w:rsidP="00A2667F">
            <w:pPr>
              <w:numPr>
                <w:ilvl w:val="0"/>
                <w:numId w:val="6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lastRenderedPageBreak/>
              <w:t>Corrective action plan to:</w:t>
            </w:r>
          </w:p>
          <w:p w:rsidR="00A2667F" w:rsidRPr="00A27CB4" w:rsidRDefault="00A2667F" w:rsidP="00A2667F">
            <w:pPr>
              <w:numPr>
                <w:ilvl w:val="1"/>
                <w:numId w:val="6"/>
              </w:numPr>
              <w:spacing w:after="0" w:line="276" w:lineRule="auto"/>
              <w:ind w:left="66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remedy current situation</w:t>
            </w:r>
          </w:p>
          <w:p w:rsidR="00A2667F" w:rsidRPr="00A27CB4" w:rsidRDefault="00A2667F" w:rsidP="00A2667F">
            <w:pPr>
              <w:numPr>
                <w:ilvl w:val="1"/>
                <w:numId w:val="6"/>
              </w:numPr>
              <w:spacing w:after="0" w:line="276" w:lineRule="auto"/>
              <w:ind w:left="66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prevent future occurrence</w:t>
            </w:r>
          </w:p>
          <w:p w:rsidR="00A2667F" w:rsidRPr="00A27CB4" w:rsidRDefault="00A2667F" w:rsidP="00A2667F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Corrective action plan required in 14-days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lastRenderedPageBreak/>
              <w:t>Reissue corrective action plan to:</w:t>
            </w:r>
          </w:p>
          <w:p w:rsidR="00A2667F" w:rsidRPr="00A27CB4" w:rsidRDefault="00A2667F" w:rsidP="00A2667F">
            <w:pPr>
              <w:numPr>
                <w:ilvl w:val="1"/>
                <w:numId w:val="2"/>
              </w:numPr>
              <w:spacing w:after="0" w:line="276" w:lineRule="auto"/>
              <w:ind w:left="555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Remediate earlier failed plan</w:t>
            </w:r>
          </w:p>
          <w:p w:rsidR="00A2667F" w:rsidRPr="00A27CB4" w:rsidRDefault="00A2667F" w:rsidP="00A2667F">
            <w:pPr>
              <w:numPr>
                <w:ilvl w:val="1"/>
                <w:numId w:val="2"/>
              </w:numPr>
              <w:spacing w:after="0" w:line="276" w:lineRule="auto"/>
              <w:ind w:left="555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Include new violations</w:t>
            </w:r>
          </w:p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lastRenderedPageBreak/>
              <w:t>Corrective action plan milestones missed</w:t>
            </w:r>
          </w:p>
          <w:p w:rsidR="00A2667F" w:rsidRPr="00A27CB4" w:rsidRDefault="00A2667F" w:rsidP="00A2667F">
            <w:pPr>
              <w:numPr>
                <w:ilvl w:val="0"/>
                <w:numId w:val="2"/>
              </w:numPr>
              <w:spacing w:after="0" w:line="276" w:lineRule="auto"/>
              <w:ind w:left="30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Two or more additional “notification” violations occur while corrective action plan is open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  <w:rPr>
                <w:sz w:val="20"/>
              </w:rPr>
            </w:pPr>
            <w:r w:rsidRPr="00A27CB4">
              <w:rPr>
                <w:sz w:val="20"/>
              </w:rPr>
              <w:lastRenderedPageBreak/>
              <w:t>same as previous plus</w:t>
            </w:r>
          </w:p>
          <w:p w:rsidR="00A2667F" w:rsidRPr="00A27CB4" w:rsidRDefault="00A2667F" w:rsidP="00A2667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270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>organizational, operational changes to correct lack of corrective action</w:t>
            </w:r>
          </w:p>
        </w:tc>
        <w:tc>
          <w:tcPr>
            <w:tcW w:w="3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67F" w:rsidRPr="00A27CB4" w:rsidRDefault="00A2667F" w:rsidP="00354E60">
            <w:pPr>
              <w:widowControl w:val="0"/>
              <w:spacing w:line="240" w:lineRule="auto"/>
            </w:pPr>
            <w:r w:rsidRPr="00A27CB4">
              <w:rPr>
                <w:sz w:val="20"/>
              </w:rPr>
              <w:t>same as previous plus</w:t>
            </w:r>
          </w:p>
          <w:p w:rsidR="00A2667F" w:rsidRPr="00A27CB4" w:rsidRDefault="00A2667F" w:rsidP="00354E60">
            <w:pPr>
              <w:widowControl w:val="0"/>
              <w:spacing w:line="240" w:lineRule="auto"/>
            </w:pPr>
          </w:p>
          <w:p w:rsidR="00A2667F" w:rsidRPr="00A27CB4" w:rsidRDefault="00A2667F" w:rsidP="00A2667F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5" w:hanging="360"/>
              <w:contextualSpacing/>
              <w:rPr>
                <w:sz w:val="20"/>
              </w:rPr>
            </w:pPr>
            <w:r w:rsidRPr="00A27CB4">
              <w:rPr>
                <w:sz w:val="20"/>
              </w:rPr>
              <w:t xml:space="preserve">independent review triggered of </w:t>
            </w:r>
            <w:r w:rsidRPr="00A27CB4">
              <w:rPr>
                <w:sz w:val="20"/>
              </w:rPr>
              <w:lastRenderedPageBreak/>
              <w:t>ICANN operations to recommend organizational change and determine whether IANA operator can continue</w:t>
            </w:r>
          </w:p>
        </w:tc>
      </w:tr>
    </w:tbl>
    <w:p w:rsidR="00A2667F" w:rsidRPr="00A2667F" w:rsidRDefault="00A2667F">
      <w:pPr>
        <w:rPr>
          <w:lang w:val="en-US"/>
        </w:rPr>
      </w:pPr>
    </w:p>
    <w:sectPr w:rsidR="00A2667F" w:rsidRPr="00A2667F" w:rsidSect="00A266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133D9"/>
    <w:multiLevelType w:val="multilevel"/>
    <w:tmpl w:val="AD0673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5D2448E"/>
    <w:multiLevelType w:val="multilevel"/>
    <w:tmpl w:val="8A6274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0940040"/>
    <w:multiLevelType w:val="multilevel"/>
    <w:tmpl w:val="99FA9B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3617B40"/>
    <w:multiLevelType w:val="multilevel"/>
    <w:tmpl w:val="27C872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6F2372BF"/>
    <w:multiLevelType w:val="multilevel"/>
    <w:tmpl w:val="A04282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A6705AA"/>
    <w:multiLevelType w:val="multilevel"/>
    <w:tmpl w:val="E1DAE2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7F"/>
    <w:rsid w:val="00804340"/>
    <w:rsid w:val="00A2667F"/>
    <w:rsid w:val="00C2491C"/>
    <w:rsid w:val="00C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FA06B-46DA-42BF-B8D2-12730ECD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austin</dc:creator>
  <cp:keywords/>
  <dc:description/>
  <cp:lastModifiedBy>donna austin</cp:lastModifiedBy>
  <cp:revision>3</cp:revision>
  <dcterms:created xsi:type="dcterms:W3CDTF">2015-04-20T23:46:00Z</dcterms:created>
  <dcterms:modified xsi:type="dcterms:W3CDTF">2015-04-20T23:47:00Z</dcterms:modified>
</cp:coreProperties>
</file>