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EB144" w14:textId="77777777" w:rsidR="002E2F04" w:rsidRPr="002E2F04" w:rsidRDefault="002E2F04" w:rsidP="002E2F04">
      <w:pPr>
        <w:pBdr>
          <w:bottom w:val="single" w:sz="4" w:space="1" w:color="auto"/>
        </w:pBdr>
        <w:rPr>
          <w:rFonts w:asciiTheme="majorHAnsi" w:hAnsiTheme="majorHAnsi"/>
          <w:b/>
          <w:sz w:val="22"/>
          <w:szCs w:val="22"/>
        </w:rPr>
      </w:pPr>
      <w:r w:rsidRPr="002E2F04">
        <w:rPr>
          <w:rFonts w:asciiTheme="majorHAnsi" w:hAnsiTheme="majorHAnsi"/>
          <w:b/>
          <w:sz w:val="22"/>
          <w:szCs w:val="22"/>
        </w:rPr>
        <w:t>S</w:t>
      </w:r>
      <w:r>
        <w:rPr>
          <w:rFonts w:asciiTheme="majorHAnsi" w:hAnsiTheme="majorHAnsi"/>
          <w:b/>
          <w:sz w:val="22"/>
          <w:szCs w:val="22"/>
        </w:rPr>
        <w:t>UBSTANTIVE INPUTS FROM DIRECT CUSTOMERS – MAPPING</w:t>
      </w:r>
    </w:p>
    <w:p w14:paraId="70235524" w14:textId="77777777" w:rsidR="002E2F04" w:rsidRDefault="002E2F04"/>
    <w:p w14:paraId="1686454F" w14:textId="7CBD84CD" w:rsidR="002E2F04" w:rsidRPr="00B17741" w:rsidRDefault="002E2F04">
      <w:pPr>
        <w:rPr>
          <w:rFonts w:asciiTheme="majorHAnsi" w:hAnsiTheme="majorHAnsi"/>
          <w:sz w:val="22"/>
          <w:szCs w:val="22"/>
        </w:rPr>
      </w:pPr>
      <w:r w:rsidRPr="00B17741">
        <w:rPr>
          <w:rFonts w:asciiTheme="majorHAnsi" w:hAnsiTheme="majorHAnsi"/>
          <w:sz w:val="22"/>
          <w:szCs w:val="22"/>
        </w:rPr>
        <w:t xml:space="preserve">Legend: </w:t>
      </w:r>
      <w:r w:rsidRPr="00B17741">
        <w:rPr>
          <w:rFonts w:asciiTheme="majorHAnsi" w:hAnsiTheme="majorHAnsi"/>
          <w:sz w:val="22"/>
          <w:szCs w:val="22"/>
          <w:highlight w:val="green"/>
        </w:rPr>
        <w:sym w:font="Symbol" w:char="F0D6"/>
      </w:r>
      <w:r w:rsidRPr="00B17741">
        <w:rPr>
          <w:rFonts w:asciiTheme="majorHAnsi" w:hAnsiTheme="majorHAnsi"/>
          <w:sz w:val="22"/>
          <w:szCs w:val="22"/>
        </w:rPr>
        <w:t xml:space="preserve"> = aligned, </w:t>
      </w:r>
      <w:r w:rsidRPr="00B17741">
        <w:rPr>
          <w:rFonts w:asciiTheme="majorHAnsi" w:hAnsiTheme="majorHAnsi"/>
          <w:sz w:val="22"/>
          <w:szCs w:val="22"/>
          <w:highlight w:val="red"/>
        </w:rPr>
        <w:sym w:font="Symbol" w:char="F044"/>
      </w:r>
      <w:r w:rsidRPr="00B17741">
        <w:rPr>
          <w:rFonts w:asciiTheme="majorHAnsi" w:hAnsiTheme="majorHAnsi"/>
          <w:sz w:val="22"/>
          <w:szCs w:val="22"/>
        </w:rPr>
        <w:t xml:space="preserve">= divergence, </w:t>
      </w:r>
      <w:r w:rsidRPr="00B17741">
        <w:rPr>
          <w:rFonts w:asciiTheme="majorHAnsi" w:hAnsiTheme="majorHAnsi"/>
          <w:sz w:val="22"/>
          <w:szCs w:val="22"/>
          <w:highlight w:val="yellow"/>
        </w:rPr>
        <w:sym w:font="Symbol" w:char="F02A"/>
      </w:r>
      <w:r w:rsidRPr="00B17741">
        <w:rPr>
          <w:rFonts w:asciiTheme="majorHAnsi" w:hAnsiTheme="majorHAnsi"/>
          <w:sz w:val="22"/>
          <w:szCs w:val="22"/>
        </w:rPr>
        <w:t xml:space="preserve"> = input to be considered by DT</w:t>
      </w:r>
      <w:r w:rsidR="00EA7C86">
        <w:rPr>
          <w:rFonts w:asciiTheme="majorHAnsi" w:hAnsiTheme="majorHAnsi"/>
          <w:sz w:val="22"/>
          <w:szCs w:val="22"/>
        </w:rPr>
        <w:t>/CWG</w:t>
      </w:r>
    </w:p>
    <w:p w14:paraId="20E14C74" w14:textId="77777777" w:rsidR="00B17741" w:rsidRPr="00B17741" w:rsidRDefault="00B17741">
      <w:pPr>
        <w:rPr>
          <w:rFonts w:asciiTheme="majorHAnsi" w:hAnsiTheme="majorHAnsi"/>
          <w:sz w:val="22"/>
          <w:szCs w:val="22"/>
        </w:rPr>
      </w:pPr>
    </w:p>
    <w:p w14:paraId="7E3ED0A2" w14:textId="7B2192B6" w:rsidR="00B17741" w:rsidRPr="00B17741" w:rsidRDefault="00B17741">
      <w:pPr>
        <w:rPr>
          <w:rFonts w:asciiTheme="majorHAnsi" w:hAnsiTheme="majorHAnsi"/>
          <w:sz w:val="22"/>
          <w:szCs w:val="22"/>
        </w:rPr>
      </w:pPr>
      <w:r w:rsidRPr="00B17741">
        <w:rPr>
          <w:rFonts w:asciiTheme="majorHAnsi" w:hAnsiTheme="majorHAnsi"/>
          <w:sz w:val="22"/>
          <w:szCs w:val="22"/>
        </w:rPr>
        <w:t>Please note that input may have been abbreviated for the purpose of the table</w:t>
      </w:r>
      <w:r w:rsidR="000F69F1">
        <w:rPr>
          <w:rFonts w:asciiTheme="majorHAnsi" w:hAnsiTheme="majorHAnsi"/>
          <w:sz w:val="22"/>
          <w:szCs w:val="22"/>
        </w:rPr>
        <w:t xml:space="preserve"> and/or grouped together with other relevant sections</w:t>
      </w:r>
      <w:r w:rsidRPr="00B17741">
        <w:rPr>
          <w:rFonts w:asciiTheme="majorHAnsi" w:hAnsiTheme="majorHAnsi"/>
          <w:sz w:val="22"/>
          <w:szCs w:val="22"/>
        </w:rPr>
        <w:t>. For full details, please review the relevant submissions.</w:t>
      </w:r>
      <w:r w:rsidR="00584E8C">
        <w:rPr>
          <w:rFonts w:asciiTheme="majorHAnsi" w:hAnsiTheme="majorHAnsi"/>
          <w:sz w:val="22"/>
          <w:szCs w:val="22"/>
        </w:rPr>
        <w:t xml:space="preserve"> With regard to the design teams, the input</w:t>
      </w:r>
      <w:bookmarkStart w:id="0" w:name="_GoBack"/>
      <w:bookmarkEnd w:id="0"/>
      <w:r w:rsidR="00584E8C">
        <w:rPr>
          <w:rFonts w:asciiTheme="majorHAnsi" w:hAnsiTheme="majorHAnsi"/>
          <w:sz w:val="22"/>
          <w:szCs w:val="22"/>
        </w:rPr>
        <w:t xml:space="preserve"> has been mapped against the input submitted by the Design Teams in preparation for the F2F meeting in Istanbul</w:t>
      </w:r>
      <w:r w:rsidR="00AD1634">
        <w:rPr>
          <w:rFonts w:asciiTheme="majorHAnsi" w:hAnsiTheme="majorHAnsi"/>
          <w:sz w:val="22"/>
          <w:szCs w:val="22"/>
        </w:rPr>
        <w:t>, which may deviate from the original scope of the DT</w:t>
      </w:r>
      <w:r w:rsidR="00584E8C">
        <w:rPr>
          <w:rFonts w:asciiTheme="majorHAnsi" w:hAnsiTheme="majorHAnsi"/>
          <w:sz w:val="22"/>
          <w:szCs w:val="22"/>
        </w:rPr>
        <w:t>.</w:t>
      </w:r>
    </w:p>
    <w:p w14:paraId="381DABA9" w14:textId="77777777" w:rsidR="002E2F04" w:rsidRDefault="002E2F04"/>
    <w:tbl>
      <w:tblPr>
        <w:tblStyle w:val="TableGrid"/>
        <w:tblW w:w="12258" w:type="dxa"/>
        <w:jc w:val="center"/>
        <w:tblLook w:val="04A0" w:firstRow="1" w:lastRow="0" w:firstColumn="1" w:lastColumn="0" w:noHBand="0" w:noVBand="1"/>
      </w:tblPr>
      <w:tblGrid>
        <w:gridCol w:w="1444"/>
        <w:gridCol w:w="4282"/>
        <w:gridCol w:w="855"/>
        <w:gridCol w:w="4822"/>
        <w:gridCol w:w="855"/>
      </w:tblGrid>
      <w:tr w:rsidR="002E2F04" w:rsidRPr="00BA7E12" w14:paraId="7501E19E" w14:textId="77777777" w:rsidTr="00661B03">
        <w:trPr>
          <w:cantSplit/>
          <w:tblHeader/>
          <w:jc w:val="center"/>
        </w:trPr>
        <w:tc>
          <w:tcPr>
            <w:tcW w:w="1444" w:type="dxa"/>
          </w:tcPr>
          <w:p w14:paraId="654F4291" w14:textId="77777777" w:rsidR="002E2F04" w:rsidRPr="00BA7E12" w:rsidRDefault="002E2F04">
            <w:pPr>
              <w:rPr>
                <w:rFonts w:asciiTheme="majorHAnsi" w:hAnsiTheme="majorHAnsi"/>
                <w:b/>
                <w:sz w:val="20"/>
                <w:szCs w:val="20"/>
              </w:rPr>
            </w:pPr>
          </w:p>
        </w:tc>
        <w:tc>
          <w:tcPr>
            <w:tcW w:w="4282" w:type="dxa"/>
          </w:tcPr>
          <w:p w14:paraId="2CB99C27" w14:textId="210D9386" w:rsidR="002E2F04" w:rsidRPr="00BA7E12" w:rsidRDefault="00B17741">
            <w:pPr>
              <w:rPr>
                <w:rFonts w:asciiTheme="majorHAnsi" w:hAnsiTheme="majorHAnsi"/>
                <w:b/>
                <w:sz w:val="20"/>
                <w:szCs w:val="20"/>
              </w:rPr>
            </w:pPr>
            <w:hyperlink r:id="rId8" w:history="1">
              <w:r w:rsidR="002E2F04" w:rsidRPr="00BA7E12">
                <w:rPr>
                  <w:rStyle w:val="Hyperlink"/>
                  <w:rFonts w:asciiTheme="majorHAnsi" w:hAnsiTheme="majorHAnsi"/>
                  <w:b/>
                  <w:sz w:val="20"/>
                  <w:szCs w:val="20"/>
                </w:rPr>
                <w:t>GUIDANCE DOCUMENT</w:t>
              </w:r>
            </w:hyperlink>
          </w:p>
        </w:tc>
        <w:tc>
          <w:tcPr>
            <w:tcW w:w="855" w:type="dxa"/>
          </w:tcPr>
          <w:p w14:paraId="67A85816" w14:textId="77777777" w:rsidR="002E2F04" w:rsidRPr="00BA7E12" w:rsidRDefault="002E2F04" w:rsidP="00ED13E0">
            <w:pPr>
              <w:jc w:val="center"/>
              <w:rPr>
                <w:rFonts w:asciiTheme="majorHAnsi" w:hAnsiTheme="majorHAnsi"/>
                <w:b/>
                <w:sz w:val="20"/>
                <w:szCs w:val="20"/>
              </w:rPr>
            </w:pPr>
            <w:r w:rsidRPr="00BA7E12">
              <w:rPr>
                <w:rFonts w:asciiTheme="majorHAnsi" w:hAnsiTheme="majorHAnsi"/>
                <w:b/>
                <w:sz w:val="20"/>
                <w:szCs w:val="20"/>
              </w:rPr>
              <w:t>STATUS</w:t>
            </w:r>
          </w:p>
        </w:tc>
        <w:tc>
          <w:tcPr>
            <w:tcW w:w="4822" w:type="dxa"/>
          </w:tcPr>
          <w:p w14:paraId="40482E9E" w14:textId="1E074B94" w:rsidR="002E2F04" w:rsidRPr="00BA7E12" w:rsidRDefault="00B17741" w:rsidP="002E2F04">
            <w:pPr>
              <w:rPr>
                <w:rFonts w:asciiTheme="majorHAnsi" w:hAnsiTheme="majorHAnsi"/>
                <w:b/>
                <w:sz w:val="20"/>
                <w:szCs w:val="20"/>
              </w:rPr>
            </w:pPr>
            <w:hyperlink r:id="rId9" w:history="1">
              <w:proofErr w:type="spellStart"/>
              <w:r w:rsidR="002E2F04" w:rsidRPr="00BA7E12">
                <w:rPr>
                  <w:rStyle w:val="Hyperlink"/>
                  <w:rFonts w:asciiTheme="majorHAnsi" w:hAnsiTheme="majorHAnsi"/>
                  <w:b/>
                  <w:sz w:val="20"/>
                  <w:szCs w:val="20"/>
                </w:rPr>
                <w:t>RySG</w:t>
              </w:r>
              <w:proofErr w:type="spellEnd"/>
              <w:r w:rsidR="002E2F04" w:rsidRPr="00BA7E12">
                <w:rPr>
                  <w:rStyle w:val="Hyperlink"/>
                  <w:rFonts w:asciiTheme="majorHAnsi" w:hAnsiTheme="majorHAnsi"/>
                  <w:b/>
                  <w:sz w:val="20"/>
                  <w:szCs w:val="20"/>
                </w:rPr>
                <w:t xml:space="preserve"> STATEMENT</w:t>
              </w:r>
            </w:hyperlink>
          </w:p>
        </w:tc>
        <w:tc>
          <w:tcPr>
            <w:tcW w:w="855" w:type="dxa"/>
          </w:tcPr>
          <w:p w14:paraId="2C312915" w14:textId="77777777" w:rsidR="002E2F04" w:rsidRPr="00BA7E12" w:rsidRDefault="002E2F04">
            <w:pPr>
              <w:rPr>
                <w:rFonts w:asciiTheme="majorHAnsi" w:hAnsiTheme="majorHAnsi"/>
                <w:b/>
                <w:sz w:val="20"/>
                <w:szCs w:val="20"/>
              </w:rPr>
            </w:pPr>
            <w:r w:rsidRPr="00BA7E12">
              <w:rPr>
                <w:rFonts w:asciiTheme="majorHAnsi" w:hAnsiTheme="majorHAnsi"/>
                <w:b/>
                <w:sz w:val="20"/>
                <w:szCs w:val="20"/>
              </w:rPr>
              <w:t>STATUS</w:t>
            </w:r>
          </w:p>
        </w:tc>
      </w:tr>
      <w:tr w:rsidR="002E2F04" w:rsidRPr="00BA7E12" w14:paraId="2FE75219" w14:textId="77777777" w:rsidTr="00661B03">
        <w:trPr>
          <w:cantSplit/>
          <w:jc w:val="center"/>
        </w:trPr>
        <w:tc>
          <w:tcPr>
            <w:tcW w:w="1444" w:type="dxa"/>
          </w:tcPr>
          <w:p w14:paraId="6439662E" w14:textId="77777777" w:rsidR="002E2F04" w:rsidRPr="00BA7E12" w:rsidRDefault="002E2F04">
            <w:pPr>
              <w:rPr>
                <w:rFonts w:asciiTheme="majorHAnsi" w:hAnsiTheme="majorHAnsi"/>
                <w:b/>
                <w:sz w:val="20"/>
                <w:szCs w:val="20"/>
              </w:rPr>
            </w:pPr>
            <w:r w:rsidRPr="00BA7E12">
              <w:rPr>
                <w:rFonts w:asciiTheme="majorHAnsi" w:hAnsiTheme="majorHAnsi"/>
                <w:b/>
                <w:sz w:val="20"/>
                <w:szCs w:val="20"/>
              </w:rPr>
              <w:t>General</w:t>
            </w:r>
          </w:p>
        </w:tc>
        <w:tc>
          <w:tcPr>
            <w:tcW w:w="4282" w:type="dxa"/>
          </w:tcPr>
          <w:p w14:paraId="3171D797" w14:textId="77777777" w:rsidR="00BA7E12" w:rsidRPr="00BA7E12" w:rsidRDefault="00BA7E12" w:rsidP="00BA7E12">
            <w:pPr>
              <w:rPr>
                <w:rStyle w:val="Strong"/>
                <w:rFonts w:asciiTheme="majorHAnsi" w:hAnsiTheme="majorHAnsi"/>
                <w:b w:val="0"/>
                <w:color w:val="548DD4" w:themeColor="text2" w:themeTint="99"/>
                <w:sz w:val="20"/>
                <w:szCs w:val="20"/>
                <w:lang w:val="en-GB"/>
              </w:rPr>
            </w:pPr>
            <w:r w:rsidRPr="00BA7E12">
              <w:rPr>
                <w:rStyle w:val="Strong"/>
                <w:rFonts w:asciiTheme="majorHAnsi" w:hAnsiTheme="majorHAnsi"/>
                <w:b w:val="0"/>
                <w:sz w:val="20"/>
                <w:szCs w:val="20"/>
                <w:lang w:val="en-GB"/>
              </w:rPr>
              <w:t xml:space="preserve">This document defines structures, mechanisms, processes and key principles for the IANA transition. It has been developed with two key goals in mind: </w:t>
            </w:r>
          </w:p>
          <w:p w14:paraId="77689012" w14:textId="228898BE" w:rsidR="00BA7E12" w:rsidRPr="00BA7E12" w:rsidRDefault="00BA7E12" w:rsidP="00BA7E12">
            <w:pPr>
              <w:pStyle w:val="ListParagraph"/>
              <w:numPr>
                <w:ilvl w:val="0"/>
                <w:numId w:val="2"/>
              </w:numPr>
              <w:rPr>
                <w:rStyle w:val="Strong"/>
                <w:rFonts w:asciiTheme="majorHAnsi" w:hAnsiTheme="majorHAnsi"/>
                <w:b w:val="0"/>
                <w:sz w:val="20"/>
                <w:szCs w:val="20"/>
                <w:lang w:val="en-GB"/>
              </w:rPr>
            </w:pPr>
            <w:r w:rsidRPr="00BA7E12">
              <w:rPr>
                <w:rStyle w:val="Strong"/>
                <w:rFonts w:asciiTheme="majorHAnsi" w:hAnsiTheme="majorHAnsi"/>
                <w:b w:val="0"/>
                <w:sz w:val="20"/>
                <w:szCs w:val="20"/>
                <w:lang w:val="en-GB"/>
              </w:rPr>
              <w:t xml:space="preserve">To deliver the minimal, most simple and lightweight structures possible, while still meeting the needs and expectations of stakeholders; and </w:t>
            </w:r>
          </w:p>
          <w:p w14:paraId="0911CF40" w14:textId="3D8B1AE3" w:rsidR="002E2F04" w:rsidRPr="00BA7E12" w:rsidRDefault="00BA7E12" w:rsidP="00BA7E12">
            <w:pPr>
              <w:pStyle w:val="ListParagraph"/>
              <w:numPr>
                <w:ilvl w:val="0"/>
                <w:numId w:val="2"/>
              </w:numPr>
              <w:rPr>
                <w:rFonts w:asciiTheme="majorHAnsi" w:hAnsiTheme="majorHAnsi"/>
                <w:bCs/>
                <w:sz w:val="20"/>
                <w:szCs w:val="20"/>
                <w:lang w:val="en-GB"/>
              </w:rPr>
            </w:pPr>
            <w:r w:rsidRPr="00BA7E12">
              <w:rPr>
                <w:rStyle w:val="Strong"/>
                <w:rFonts w:asciiTheme="majorHAnsi" w:hAnsiTheme="majorHAnsi"/>
                <w:b w:val="0"/>
                <w:sz w:val="20"/>
                <w:szCs w:val="20"/>
                <w:lang w:val="en-GB"/>
              </w:rPr>
              <w:t>To avoid the creation of new, unnecessary structures and their associated complexities.</w:t>
            </w:r>
          </w:p>
        </w:tc>
        <w:tc>
          <w:tcPr>
            <w:tcW w:w="855" w:type="dxa"/>
          </w:tcPr>
          <w:p w14:paraId="0B488A3E" w14:textId="77777777" w:rsidR="002E2F04" w:rsidRPr="00BA7E12" w:rsidRDefault="002E2F04" w:rsidP="00ED13E0">
            <w:pPr>
              <w:jc w:val="center"/>
              <w:rPr>
                <w:rFonts w:asciiTheme="majorHAnsi" w:hAnsiTheme="majorHAnsi"/>
                <w:b/>
                <w:sz w:val="20"/>
                <w:szCs w:val="20"/>
              </w:rPr>
            </w:pPr>
          </w:p>
        </w:tc>
        <w:tc>
          <w:tcPr>
            <w:tcW w:w="4822" w:type="dxa"/>
          </w:tcPr>
          <w:p w14:paraId="78A7FD3A" w14:textId="28317574" w:rsidR="00BA7E12" w:rsidRPr="00BA7E12" w:rsidRDefault="00BA7E12" w:rsidP="00BA7E12">
            <w:pPr>
              <w:rPr>
                <w:rFonts w:asciiTheme="majorHAnsi" w:hAnsiTheme="majorHAnsi"/>
                <w:color w:val="00000A"/>
                <w:sz w:val="20"/>
                <w:szCs w:val="20"/>
              </w:rPr>
            </w:pPr>
            <w:r>
              <w:rPr>
                <w:rFonts w:asciiTheme="majorHAnsi" w:hAnsiTheme="majorHAnsi"/>
                <w:color w:val="00000A"/>
                <w:sz w:val="20"/>
                <w:szCs w:val="20"/>
              </w:rPr>
              <w:t>T</w:t>
            </w:r>
            <w:r w:rsidRPr="00BA7E12">
              <w:rPr>
                <w:rFonts w:asciiTheme="majorHAnsi" w:hAnsiTheme="majorHAnsi"/>
                <w:color w:val="00000A"/>
                <w:sz w:val="20"/>
                <w:szCs w:val="20"/>
              </w:rPr>
              <w:t xml:space="preserve">he </w:t>
            </w:r>
            <w:proofErr w:type="spellStart"/>
            <w:r w:rsidRPr="00BA7E12">
              <w:rPr>
                <w:rFonts w:asciiTheme="majorHAnsi" w:hAnsiTheme="majorHAnsi"/>
                <w:color w:val="00000A"/>
                <w:sz w:val="20"/>
                <w:szCs w:val="20"/>
              </w:rPr>
              <w:t>RySG</w:t>
            </w:r>
            <w:proofErr w:type="spellEnd"/>
            <w:r w:rsidRPr="00BA7E12">
              <w:rPr>
                <w:rFonts w:asciiTheme="majorHAnsi" w:hAnsiTheme="majorHAnsi"/>
                <w:color w:val="00000A"/>
                <w:sz w:val="20"/>
                <w:szCs w:val="20"/>
              </w:rPr>
              <w:t xml:space="preserve"> has identified a core set of requirements that need to be satisfied in any transition proposal for naming services. In short these requirements are:</w:t>
            </w:r>
          </w:p>
          <w:p w14:paraId="5FAA837E" w14:textId="77777777" w:rsidR="00BA7E12" w:rsidRPr="00BA7E12" w:rsidRDefault="00BA7E12" w:rsidP="00BA7E12">
            <w:pPr>
              <w:pStyle w:val="ListParagraph"/>
              <w:numPr>
                <w:ilvl w:val="0"/>
                <w:numId w:val="3"/>
              </w:numPr>
              <w:suppressAutoHyphens/>
              <w:rPr>
                <w:rFonts w:asciiTheme="majorHAnsi" w:hAnsiTheme="majorHAnsi"/>
                <w:color w:val="00000A"/>
                <w:sz w:val="20"/>
                <w:szCs w:val="20"/>
              </w:rPr>
            </w:pPr>
            <w:r w:rsidRPr="00BA7E12">
              <w:rPr>
                <w:rFonts w:asciiTheme="majorHAnsi" w:hAnsiTheme="majorHAnsi"/>
                <w:color w:val="00000A"/>
                <w:sz w:val="20"/>
                <w:szCs w:val="20"/>
              </w:rPr>
              <w:t>The continued provision of an IANA service that is ‘satisfactory’ to its customers is key in any transition plan;</w:t>
            </w:r>
          </w:p>
          <w:p w14:paraId="2B83687E" w14:textId="77777777" w:rsidR="00BA7E12" w:rsidRPr="00BA7E12" w:rsidRDefault="00BA7E12" w:rsidP="00BA7E12">
            <w:pPr>
              <w:pStyle w:val="ListParagraph"/>
              <w:numPr>
                <w:ilvl w:val="0"/>
                <w:numId w:val="3"/>
              </w:numPr>
              <w:suppressAutoHyphens/>
              <w:rPr>
                <w:rFonts w:asciiTheme="majorHAnsi" w:hAnsiTheme="majorHAnsi"/>
                <w:color w:val="00000A"/>
                <w:sz w:val="20"/>
                <w:szCs w:val="20"/>
              </w:rPr>
            </w:pPr>
            <w:r w:rsidRPr="00BA7E12">
              <w:rPr>
                <w:rFonts w:asciiTheme="majorHAnsi" w:hAnsiTheme="majorHAnsi"/>
                <w:color w:val="00000A"/>
                <w:sz w:val="20"/>
                <w:szCs w:val="20"/>
              </w:rPr>
              <w:t>The operational needs and interests of the registry operators in the IANA transition are very narrow and primarily technical in nature;</w:t>
            </w:r>
          </w:p>
          <w:p w14:paraId="6B4C7CF1" w14:textId="77777777" w:rsidR="00BA7E12" w:rsidRPr="00BA7E12" w:rsidRDefault="00BA7E12" w:rsidP="00BA7E12">
            <w:pPr>
              <w:pStyle w:val="ListParagraph"/>
              <w:numPr>
                <w:ilvl w:val="0"/>
                <w:numId w:val="3"/>
              </w:numPr>
              <w:suppressAutoHyphens/>
              <w:rPr>
                <w:rFonts w:asciiTheme="majorHAnsi" w:hAnsiTheme="majorHAnsi"/>
                <w:color w:val="00000A"/>
                <w:sz w:val="20"/>
                <w:szCs w:val="20"/>
              </w:rPr>
            </w:pPr>
            <w:r w:rsidRPr="00BA7E12">
              <w:rPr>
                <w:rFonts w:asciiTheme="majorHAnsi" w:hAnsiTheme="majorHAnsi"/>
                <w:color w:val="00000A"/>
                <w:sz w:val="20"/>
                <w:szCs w:val="20"/>
              </w:rPr>
              <w:t>Duplicative and complicated structures that are currently under discussion are not suitable to achieve a satisfactory IANA service;</w:t>
            </w:r>
          </w:p>
          <w:p w14:paraId="70621B37" w14:textId="77777777" w:rsidR="00BA7E12" w:rsidRPr="00BA7E12" w:rsidRDefault="00BA7E12" w:rsidP="00BA7E12">
            <w:pPr>
              <w:pStyle w:val="ListParagraph"/>
              <w:numPr>
                <w:ilvl w:val="0"/>
                <w:numId w:val="3"/>
              </w:numPr>
              <w:suppressAutoHyphens/>
              <w:rPr>
                <w:rFonts w:asciiTheme="majorHAnsi" w:hAnsiTheme="majorHAnsi"/>
                <w:sz w:val="20"/>
                <w:szCs w:val="20"/>
              </w:rPr>
            </w:pPr>
            <w:r w:rsidRPr="00BA7E12">
              <w:rPr>
                <w:rFonts w:asciiTheme="majorHAnsi" w:hAnsiTheme="majorHAnsi"/>
                <w:color w:val="00000A"/>
                <w:sz w:val="20"/>
                <w:szCs w:val="20"/>
              </w:rPr>
              <w:t>A well-designed and focused Customer Standing Committee (CSC) is the appropriate mechanism post-transition to manage the responsibilities currently performed by the NTIA;</w:t>
            </w:r>
          </w:p>
          <w:p w14:paraId="7EBAFBF2" w14:textId="77777777" w:rsidR="00BA7E12" w:rsidRPr="00BA7E12" w:rsidRDefault="00BA7E12" w:rsidP="00BA7E12">
            <w:pPr>
              <w:pStyle w:val="ListParagraph"/>
              <w:numPr>
                <w:ilvl w:val="0"/>
                <w:numId w:val="3"/>
              </w:numPr>
              <w:suppressAutoHyphens/>
              <w:rPr>
                <w:rFonts w:asciiTheme="majorHAnsi" w:hAnsiTheme="majorHAnsi"/>
                <w:color w:val="00000A"/>
                <w:sz w:val="20"/>
                <w:szCs w:val="20"/>
              </w:rPr>
            </w:pPr>
            <w:r w:rsidRPr="00BA7E12">
              <w:rPr>
                <w:rFonts w:asciiTheme="majorHAnsi" w:hAnsiTheme="majorHAnsi"/>
                <w:color w:val="00000A"/>
                <w:sz w:val="20"/>
                <w:szCs w:val="20"/>
              </w:rPr>
              <w:t>Any proposal to separate the IANA function from ICANN must have the unqualified support of the registry operators and must be fully budgeted; and</w:t>
            </w:r>
          </w:p>
          <w:p w14:paraId="78EC24A4" w14:textId="5888B3D8" w:rsidR="002E2F04" w:rsidRPr="00BA7E12" w:rsidRDefault="00BA7E12" w:rsidP="00BA7E12">
            <w:pPr>
              <w:pStyle w:val="ListParagraph"/>
              <w:numPr>
                <w:ilvl w:val="0"/>
                <w:numId w:val="3"/>
              </w:numPr>
              <w:suppressAutoHyphens/>
              <w:rPr>
                <w:rFonts w:asciiTheme="majorHAnsi" w:hAnsiTheme="majorHAnsi"/>
                <w:color w:val="00000A"/>
                <w:sz w:val="20"/>
                <w:szCs w:val="20"/>
              </w:rPr>
            </w:pPr>
            <w:r w:rsidRPr="00BA7E12">
              <w:rPr>
                <w:rFonts w:asciiTheme="majorHAnsi" w:hAnsiTheme="majorHAnsi"/>
                <w:color w:val="00000A"/>
                <w:sz w:val="20"/>
                <w:szCs w:val="20"/>
              </w:rPr>
              <w:t>In order to maintain the focus of the CWG on the operational and technical requirements of the IANA transition, it should be agreed that any discussion about accountability issues are the responsibility of the CCWG.</w:t>
            </w:r>
          </w:p>
        </w:tc>
        <w:tc>
          <w:tcPr>
            <w:tcW w:w="855" w:type="dxa"/>
          </w:tcPr>
          <w:p w14:paraId="1646A9A8" w14:textId="77777777" w:rsidR="002E2F04" w:rsidRPr="00BA7E12" w:rsidRDefault="002E2F04">
            <w:pPr>
              <w:rPr>
                <w:rFonts w:asciiTheme="majorHAnsi" w:hAnsiTheme="majorHAnsi"/>
                <w:b/>
                <w:sz w:val="20"/>
                <w:szCs w:val="20"/>
              </w:rPr>
            </w:pPr>
          </w:p>
        </w:tc>
      </w:tr>
      <w:tr w:rsidR="002E2F04" w:rsidRPr="00BA7E12" w14:paraId="3C0A9A47" w14:textId="77777777" w:rsidTr="00661B03">
        <w:trPr>
          <w:cantSplit/>
          <w:jc w:val="center"/>
        </w:trPr>
        <w:tc>
          <w:tcPr>
            <w:tcW w:w="1444" w:type="dxa"/>
          </w:tcPr>
          <w:p w14:paraId="7C14DC3D" w14:textId="5278C1DD" w:rsidR="00974878" w:rsidRDefault="002E2F04" w:rsidP="00974878">
            <w:pPr>
              <w:keepNext/>
              <w:rPr>
                <w:rFonts w:asciiTheme="majorHAnsi" w:hAnsiTheme="majorHAnsi"/>
                <w:b/>
                <w:sz w:val="20"/>
                <w:szCs w:val="20"/>
              </w:rPr>
            </w:pPr>
            <w:r w:rsidRPr="00BA7E12">
              <w:rPr>
                <w:rFonts w:asciiTheme="majorHAnsi" w:hAnsiTheme="majorHAnsi"/>
                <w:b/>
                <w:sz w:val="20"/>
                <w:szCs w:val="20"/>
              </w:rPr>
              <w:lastRenderedPageBreak/>
              <w:t>DT A</w:t>
            </w:r>
            <w:r w:rsidR="00974878">
              <w:rPr>
                <w:rFonts w:asciiTheme="majorHAnsi" w:hAnsiTheme="majorHAnsi"/>
                <w:b/>
                <w:sz w:val="20"/>
                <w:szCs w:val="20"/>
              </w:rPr>
              <w:t xml:space="preserve"> – </w:t>
            </w:r>
          </w:p>
          <w:p w14:paraId="5845482C" w14:textId="4752074C" w:rsidR="002E2F04" w:rsidRPr="00BA7E12" w:rsidRDefault="00974878" w:rsidP="00974878">
            <w:pPr>
              <w:keepNext/>
              <w:rPr>
                <w:rFonts w:asciiTheme="majorHAnsi" w:hAnsiTheme="majorHAnsi"/>
                <w:b/>
                <w:sz w:val="20"/>
                <w:szCs w:val="20"/>
              </w:rPr>
            </w:pPr>
            <w:r>
              <w:rPr>
                <w:rFonts w:asciiTheme="majorHAnsi" w:hAnsiTheme="majorHAnsi"/>
                <w:b/>
                <w:sz w:val="20"/>
                <w:szCs w:val="20"/>
              </w:rPr>
              <w:t>SLE</w:t>
            </w:r>
          </w:p>
        </w:tc>
        <w:tc>
          <w:tcPr>
            <w:tcW w:w="4282" w:type="dxa"/>
          </w:tcPr>
          <w:p w14:paraId="74EE9793" w14:textId="77777777" w:rsidR="002E2F04" w:rsidRPr="00BA7E12" w:rsidRDefault="002E2F04">
            <w:pPr>
              <w:rPr>
                <w:rFonts w:asciiTheme="majorHAnsi" w:hAnsiTheme="majorHAnsi"/>
                <w:b/>
                <w:sz w:val="20"/>
                <w:szCs w:val="20"/>
              </w:rPr>
            </w:pPr>
          </w:p>
        </w:tc>
        <w:tc>
          <w:tcPr>
            <w:tcW w:w="855" w:type="dxa"/>
          </w:tcPr>
          <w:p w14:paraId="0039C935" w14:textId="77777777" w:rsidR="002E2F04" w:rsidRPr="00BA7E12" w:rsidRDefault="002E2F04" w:rsidP="00ED13E0">
            <w:pPr>
              <w:jc w:val="center"/>
              <w:rPr>
                <w:rFonts w:asciiTheme="majorHAnsi" w:hAnsiTheme="majorHAnsi"/>
                <w:color w:val="00000A"/>
                <w:sz w:val="20"/>
                <w:szCs w:val="20"/>
              </w:rPr>
            </w:pPr>
          </w:p>
        </w:tc>
        <w:tc>
          <w:tcPr>
            <w:tcW w:w="4822" w:type="dxa"/>
          </w:tcPr>
          <w:p w14:paraId="43E8B1D2" w14:textId="20F62DBC" w:rsidR="002E2F04" w:rsidRPr="00584E8C" w:rsidRDefault="00584E8C" w:rsidP="00584E8C">
            <w:pPr>
              <w:suppressAutoHyphens/>
              <w:rPr>
                <w:rFonts w:asciiTheme="majorHAnsi" w:hAnsiTheme="majorHAnsi"/>
                <w:b/>
                <w:sz w:val="20"/>
                <w:szCs w:val="20"/>
              </w:rPr>
            </w:pPr>
            <w:r w:rsidRPr="00584E8C">
              <w:rPr>
                <w:rFonts w:asciiTheme="majorHAnsi" w:hAnsiTheme="majorHAnsi"/>
                <w:color w:val="00000A"/>
                <w:sz w:val="20"/>
                <w:szCs w:val="20"/>
              </w:rPr>
              <w:t>As direct customers of the IANA functions, the operational performance and objective execution of the IANA Functions Operator against established service levels, policies, and procedures is paramount.</w:t>
            </w:r>
          </w:p>
        </w:tc>
        <w:tc>
          <w:tcPr>
            <w:tcW w:w="855" w:type="dxa"/>
          </w:tcPr>
          <w:p w14:paraId="50FAAEA4" w14:textId="5E01B365" w:rsidR="002E2F04" w:rsidRPr="00584E8C" w:rsidRDefault="00584E8C" w:rsidP="00584E8C">
            <w:pPr>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r>
      <w:tr w:rsidR="00974878" w:rsidRPr="00BA7E12" w14:paraId="09D35448" w14:textId="77777777" w:rsidTr="00661B03">
        <w:trPr>
          <w:cantSplit/>
          <w:jc w:val="center"/>
        </w:trPr>
        <w:tc>
          <w:tcPr>
            <w:tcW w:w="1444" w:type="dxa"/>
          </w:tcPr>
          <w:p w14:paraId="0109F6D5" w14:textId="54758BDE" w:rsidR="00974878" w:rsidRDefault="00AD1634">
            <w:pPr>
              <w:rPr>
                <w:rFonts w:asciiTheme="majorHAnsi" w:hAnsiTheme="majorHAnsi"/>
                <w:b/>
                <w:sz w:val="20"/>
                <w:szCs w:val="20"/>
              </w:rPr>
            </w:pPr>
            <w:r>
              <w:rPr>
                <w:rFonts w:asciiTheme="majorHAnsi" w:hAnsiTheme="majorHAnsi"/>
                <w:b/>
                <w:sz w:val="20"/>
                <w:szCs w:val="20"/>
              </w:rPr>
              <w:t>DT B</w:t>
            </w:r>
            <w:r w:rsidR="00974878">
              <w:rPr>
                <w:rFonts w:asciiTheme="majorHAnsi" w:hAnsiTheme="majorHAnsi"/>
                <w:b/>
                <w:sz w:val="20"/>
                <w:szCs w:val="20"/>
              </w:rPr>
              <w:t xml:space="preserve"> </w:t>
            </w:r>
          </w:p>
        </w:tc>
        <w:tc>
          <w:tcPr>
            <w:tcW w:w="4282" w:type="dxa"/>
          </w:tcPr>
          <w:p w14:paraId="764EEEFD" w14:textId="7738B84B" w:rsidR="00974878" w:rsidRPr="00BA7E12" w:rsidRDefault="00AD1634" w:rsidP="00AD1634">
            <w:pPr>
              <w:suppressAutoHyphens/>
              <w:rPr>
                <w:rFonts w:asciiTheme="majorHAnsi" w:hAnsiTheme="majorHAnsi"/>
                <w:b/>
                <w:sz w:val="20"/>
                <w:szCs w:val="20"/>
              </w:rPr>
            </w:pPr>
            <w:r w:rsidRPr="00AD1634">
              <w:rPr>
                <w:rFonts w:asciiTheme="majorHAnsi" w:hAnsiTheme="majorHAnsi"/>
                <w:color w:val="00000A"/>
                <w:sz w:val="20"/>
                <w:szCs w:val="20"/>
              </w:rPr>
              <w:t xml:space="preserve">The IAP will not address policy-related matters, and disputes arising in respect the delegation or re-delegation of a TLD </w:t>
            </w:r>
            <w:proofErr w:type="gramStart"/>
            <w:r w:rsidRPr="00AD1634">
              <w:rPr>
                <w:rFonts w:asciiTheme="majorHAnsi" w:hAnsiTheme="majorHAnsi"/>
                <w:color w:val="00000A"/>
                <w:sz w:val="20"/>
                <w:szCs w:val="20"/>
              </w:rPr>
              <w:t>are</w:t>
            </w:r>
            <w:proofErr w:type="gramEnd"/>
            <w:r w:rsidRPr="00AD1634">
              <w:rPr>
                <w:rFonts w:asciiTheme="majorHAnsi" w:hAnsiTheme="majorHAnsi"/>
                <w:color w:val="00000A"/>
                <w:sz w:val="20"/>
                <w:szCs w:val="20"/>
              </w:rPr>
              <w:t xml:space="preserve"> specifically excluded from this process.</w:t>
            </w:r>
          </w:p>
        </w:tc>
        <w:tc>
          <w:tcPr>
            <w:tcW w:w="855" w:type="dxa"/>
          </w:tcPr>
          <w:p w14:paraId="4D336728" w14:textId="5AAB4311" w:rsidR="00974878" w:rsidRPr="00BA7E12" w:rsidRDefault="00AD1634" w:rsidP="00ED13E0">
            <w:pPr>
              <w:jc w:val="center"/>
              <w:rPr>
                <w:rFonts w:asciiTheme="majorHAnsi" w:hAnsiTheme="majorHAnsi"/>
                <w:b/>
                <w:sz w:val="20"/>
                <w:szCs w:val="20"/>
              </w:rPr>
            </w:pPr>
            <w:r w:rsidRPr="00B17741">
              <w:rPr>
                <w:rFonts w:asciiTheme="majorHAnsi" w:hAnsiTheme="majorHAnsi"/>
                <w:sz w:val="22"/>
                <w:szCs w:val="22"/>
                <w:highlight w:val="yellow"/>
              </w:rPr>
              <w:sym w:font="Symbol" w:char="F02A"/>
            </w:r>
          </w:p>
        </w:tc>
        <w:tc>
          <w:tcPr>
            <w:tcW w:w="4822" w:type="dxa"/>
          </w:tcPr>
          <w:p w14:paraId="480949AA" w14:textId="77777777" w:rsidR="00974878" w:rsidRPr="00BA7E12" w:rsidRDefault="00974878">
            <w:pPr>
              <w:rPr>
                <w:rFonts w:asciiTheme="majorHAnsi" w:hAnsiTheme="majorHAnsi"/>
                <w:color w:val="00000A"/>
                <w:sz w:val="20"/>
                <w:szCs w:val="20"/>
              </w:rPr>
            </w:pPr>
          </w:p>
        </w:tc>
        <w:tc>
          <w:tcPr>
            <w:tcW w:w="855" w:type="dxa"/>
          </w:tcPr>
          <w:p w14:paraId="275BDA52" w14:textId="77777777" w:rsidR="00974878" w:rsidRPr="00BA7E12" w:rsidRDefault="00974878">
            <w:pPr>
              <w:rPr>
                <w:rFonts w:asciiTheme="majorHAnsi" w:hAnsiTheme="majorHAnsi"/>
                <w:b/>
                <w:sz w:val="20"/>
                <w:szCs w:val="20"/>
              </w:rPr>
            </w:pPr>
          </w:p>
        </w:tc>
      </w:tr>
      <w:tr w:rsidR="00584E8C" w:rsidRPr="00BA7E12" w14:paraId="50330282" w14:textId="77777777" w:rsidTr="00661B03">
        <w:trPr>
          <w:cantSplit/>
          <w:jc w:val="center"/>
        </w:trPr>
        <w:tc>
          <w:tcPr>
            <w:tcW w:w="1444" w:type="dxa"/>
          </w:tcPr>
          <w:p w14:paraId="5C5E7AD5" w14:textId="22434EA6" w:rsidR="00384F17" w:rsidRDefault="00584E8C" w:rsidP="00384F17">
            <w:pPr>
              <w:rPr>
                <w:rFonts w:asciiTheme="majorHAnsi" w:hAnsiTheme="majorHAnsi"/>
                <w:b/>
                <w:sz w:val="20"/>
                <w:szCs w:val="20"/>
              </w:rPr>
            </w:pPr>
            <w:r>
              <w:rPr>
                <w:rFonts w:asciiTheme="majorHAnsi" w:hAnsiTheme="majorHAnsi"/>
                <w:b/>
                <w:sz w:val="20"/>
                <w:szCs w:val="20"/>
              </w:rPr>
              <w:t>DT C</w:t>
            </w:r>
            <w:r w:rsidR="007A18E4">
              <w:rPr>
                <w:rFonts w:asciiTheme="majorHAnsi" w:hAnsiTheme="majorHAnsi"/>
                <w:b/>
                <w:sz w:val="20"/>
                <w:szCs w:val="20"/>
              </w:rPr>
              <w:t xml:space="preserve"> </w:t>
            </w:r>
            <w:r w:rsidR="00F02960">
              <w:rPr>
                <w:rFonts w:asciiTheme="majorHAnsi" w:hAnsiTheme="majorHAnsi"/>
                <w:b/>
                <w:sz w:val="20"/>
                <w:szCs w:val="20"/>
              </w:rPr>
              <w:t>–</w:t>
            </w:r>
            <w:r w:rsidR="007A18E4">
              <w:rPr>
                <w:rFonts w:asciiTheme="majorHAnsi" w:hAnsiTheme="majorHAnsi"/>
                <w:b/>
                <w:sz w:val="20"/>
                <w:szCs w:val="20"/>
              </w:rPr>
              <w:t xml:space="preserve"> </w:t>
            </w:r>
            <w:r w:rsidR="00384F17">
              <w:rPr>
                <w:rFonts w:asciiTheme="majorHAnsi" w:hAnsiTheme="majorHAnsi"/>
                <w:b/>
                <w:sz w:val="20"/>
                <w:szCs w:val="20"/>
              </w:rPr>
              <w:t>DT N</w:t>
            </w:r>
          </w:p>
          <w:p w14:paraId="07B06480" w14:textId="6CA86793" w:rsidR="00584E8C" w:rsidRPr="00BA7E12" w:rsidRDefault="00F02960" w:rsidP="00384F17">
            <w:pPr>
              <w:rPr>
                <w:rFonts w:asciiTheme="majorHAnsi" w:hAnsiTheme="majorHAnsi"/>
                <w:b/>
                <w:sz w:val="20"/>
                <w:szCs w:val="20"/>
              </w:rPr>
            </w:pPr>
            <w:r>
              <w:rPr>
                <w:rFonts w:asciiTheme="majorHAnsi" w:hAnsiTheme="majorHAnsi"/>
                <w:b/>
                <w:sz w:val="20"/>
                <w:szCs w:val="20"/>
              </w:rPr>
              <w:t>I</w:t>
            </w:r>
            <w:r w:rsidR="00384F17">
              <w:rPr>
                <w:rFonts w:asciiTheme="majorHAnsi" w:hAnsiTheme="majorHAnsi"/>
                <w:b/>
                <w:sz w:val="20"/>
                <w:szCs w:val="20"/>
              </w:rPr>
              <w:t>nnovation</w:t>
            </w:r>
          </w:p>
        </w:tc>
        <w:tc>
          <w:tcPr>
            <w:tcW w:w="4282" w:type="dxa"/>
            <w:shd w:val="clear" w:color="auto" w:fill="00FF00"/>
          </w:tcPr>
          <w:p w14:paraId="150C3FDF" w14:textId="0C49ADC3" w:rsidR="00584E8C" w:rsidRPr="00384F17" w:rsidRDefault="00384F17" w:rsidP="00384F17">
            <w:pPr>
              <w:suppressAutoHyphens/>
              <w:rPr>
                <w:rFonts w:asciiTheme="majorHAnsi" w:hAnsiTheme="majorHAnsi"/>
                <w:color w:val="00000A"/>
                <w:sz w:val="20"/>
                <w:szCs w:val="20"/>
              </w:rPr>
            </w:pPr>
            <w:r w:rsidRPr="00384F17">
              <w:rPr>
                <w:rFonts w:asciiTheme="majorHAnsi" w:hAnsiTheme="majorHAnsi"/>
                <w:color w:val="00000A"/>
                <w:sz w:val="20"/>
                <w:szCs w:val="20"/>
              </w:rPr>
              <w:t xml:space="preserve">Introduction of technical changes: In some instances, these changes are the result of policy developed within ICANN and its SOs and ACs. The adoption of these policies and subsequent implementation are subject to the relevant ICANN bylaws and are outside the scope of the DUG. However, in instances where an operational / technical change is not the result of policy processes, and has an effect on the IANA naming functions stakeholder community, the DUG will liaise with the IFM and agree implementation plans on behalf of the TLD registry </w:t>
            </w:r>
            <w:proofErr w:type="gramStart"/>
            <w:r w:rsidRPr="00384F17">
              <w:rPr>
                <w:rFonts w:asciiTheme="majorHAnsi" w:hAnsiTheme="majorHAnsi"/>
                <w:color w:val="00000A"/>
                <w:sz w:val="20"/>
                <w:szCs w:val="20"/>
              </w:rPr>
              <w:t>operators.The</w:t>
            </w:r>
            <w:proofErr w:type="gramEnd"/>
            <w:r w:rsidRPr="00384F17">
              <w:rPr>
                <w:rFonts w:asciiTheme="majorHAnsi" w:hAnsiTheme="majorHAnsi"/>
                <w:color w:val="00000A"/>
                <w:sz w:val="20"/>
                <w:szCs w:val="20"/>
              </w:rPr>
              <w:t xml:space="preserve"> IFM should publish implementation plans for significant technical changes, initiate an RFC process, and then issue a statement based on the comments received. </w:t>
            </w:r>
          </w:p>
        </w:tc>
        <w:tc>
          <w:tcPr>
            <w:tcW w:w="855" w:type="dxa"/>
          </w:tcPr>
          <w:p w14:paraId="11FAF86D" w14:textId="56C37BCC" w:rsidR="00584E8C" w:rsidRPr="00BA7E12" w:rsidRDefault="00384F17" w:rsidP="00ED13E0">
            <w:pPr>
              <w:pStyle w:val="ListParagraph"/>
              <w:ind w:left="0"/>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r>
              <w:rPr>
                <w:rFonts w:asciiTheme="majorHAnsi" w:hAnsiTheme="majorHAnsi"/>
                <w:sz w:val="22"/>
                <w:szCs w:val="22"/>
              </w:rPr>
              <w:t xml:space="preserve">/ </w:t>
            </w:r>
            <w:r w:rsidRPr="00B17741">
              <w:rPr>
                <w:rFonts w:asciiTheme="majorHAnsi" w:hAnsiTheme="majorHAnsi"/>
                <w:sz w:val="22"/>
                <w:szCs w:val="22"/>
                <w:highlight w:val="yellow"/>
              </w:rPr>
              <w:sym w:font="Symbol" w:char="F02A"/>
            </w:r>
          </w:p>
        </w:tc>
        <w:tc>
          <w:tcPr>
            <w:tcW w:w="4822" w:type="dxa"/>
            <w:shd w:val="clear" w:color="auto" w:fill="00FF00"/>
          </w:tcPr>
          <w:p w14:paraId="5CD5C922" w14:textId="5C942FDF" w:rsidR="007856B8" w:rsidRDefault="00584E8C" w:rsidP="00F02960">
            <w:pPr>
              <w:rPr>
                <w:rFonts w:asciiTheme="majorHAnsi" w:hAnsiTheme="majorHAnsi"/>
                <w:color w:val="00000A"/>
                <w:sz w:val="20"/>
                <w:szCs w:val="20"/>
              </w:rPr>
            </w:pPr>
            <w:r w:rsidRPr="00BA7E12">
              <w:rPr>
                <w:rFonts w:asciiTheme="majorHAnsi" w:hAnsiTheme="majorHAnsi"/>
                <w:color w:val="00000A"/>
                <w:sz w:val="20"/>
                <w:szCs w:val="20"/>
              </w:rPr>
              <w:t xml:space="preserve">The </w:t>
            </w:r>
            <w:proofErr w:type="spellStart"/>
            <w:r w:rsidRPr="00BA7E12">
              <w:rPr>
                <w:rFonts w:asciiTheme="majorHAnsi" w:hAnsiTheme="majorHAnsi"/>
                <w:color w:val="00000A"/>
                <w:sz w:val="20"/>
                <w:szCs w:val="20"/>
              </w:rPr>
              <w:t>RySG</w:t>
            </w:r>
            <w:proofErr w:type="spellEnd"/>
            <w:r w:rsidRPr="00BA7E12">
              <w:rPr>
                <w:rFonts w:asciiTheme="majorHAnsi" w:hAnsiTheme="majorHAnsi"/>
                <w:color w:val="00000A"/>
                <w:sz w:val="20"/>
                <w:szCs w:val="20"/>
              </w:rPr>
              <w:t xml:space="preserve"> supports the introduction of processes to explore widely-supported improvements to the performance of the IANA naming functions</w:t>
            </w:r>
            <w:r w:rsidR="007856B8">
              <w:rPr>
                <w:rFonts w:asciiTheme="majorHAnsi" w:hAnsiTheme="majorHAnsi"/>
                <w:color w:val="00000A"/>
                <w:sz w:val="20"/>
                <w:szCs w:val="20"/>
              </w:rPr>
              <w:t xml:space="preserve">: </w:t>
            </w:r>
          </w:p>
          <w:p w14:paraId="5BF83ADF" w14:textId="5EAE37B3" w:rsidR="007856B8" w:rsidRDefault="007856B8" w:rsidP="007856B8">
            <w:pPr>
              <w:pStyle w:val="ListParagraph"/>
              <w:numPr>
                <w:ilvl w:val="0"/>
                <w:numId w:val="11"/>
              </w:numPr>
              <w:rPr>
                <w:rFonts w:asciiTheme="majorHAnsi" w:hAnsiTheme="majorHAnsi"/>
                <w:color w:val="00000A"/>
                <w:sz w:val="20"/>
                <w:szCs w:val="20"/>
              </w:rPr>
            </w:pPr>
            <w:r>
              <w:rPr>
                <w:rFonts w:asciiTheme="majorHAnsi" w:hAnsiTheme="majorHAnsi"/>
                <w:color w:val="00000A"/>
                <w:sz w:val="20"/>
                <w:szCs w:val="20"/>
              </w:rPr>
              <w:t>For example,</w:t>
            </w:r>
            <w:r w:rsidRPr="007856B8">
              <w:rPr>
                <w:rFonts w:asciiTheme="majorHAnsi" w:hAnsiTheme="majorHAnsi"/>
                <w:color w:val="00000A"/>
                <w:sz w:val="20"/>
                <w:szCs w:val="20"/>
              </w:rPr>
              <w:t xml:space="preserve"> automation</w:t>
            </w:r>
            <w:r w:rsidR="00584E8C" w:rsidRPr="007856B8">
              <w:rPr>
                <w:rFonts w:asciiTheme="majorHAnsi" w:hAnsiTheme="majorHAnsi"/>
                <w:color w:val="00000A"/>
                <w:sz w:val="20"/>
                <w:szCs w:val="20"/>
              </w:rPr>
              <w:t xml:space="preserve">. </w:t>
            </w:r>
          </w:p>
          <w:p w14:paraId="0497D12C" w14:textId="77777777" w:rsidR="00584E8C" w:rsidRDefault="00584E8C" w:rsidP="007856B8">
            <w:pPr>
              <w:rPr>
                <w:rFonts w:asciiTheme="majorHAnsi" w:hAnsiTheme="majorHAnsi"/>
                <w:color w:val="00000A"/>
                <w:sz w:val="20"/>
                <w:szCs w:val="20"/>
              </w:rPr>
            </w:pPr>
            <w:r w:rsidRPr="007856B8">
              <w:rPr>
                <w:rFonts w:asciiTheme="majorHAnsi" w:hAnsiTheme="majorHAnsi"/>
                <w:color w:val="00000A"/>
                <w:sz w:val="20"/>
                <w:szCs w:val="20"/>
              </w:rPr>
              <w:t>We believe that these aims should be explored, whether as a part of the transition proposal or through empowering post-transition reviews to compel improvements in the performance of the IANA naming functions.</w:t>
            </w:r>
          </w:p>
          <w:p w14:paraId="4F4035C3" w14:textId="77777777" w:rsidR="00661B03" w:rsidRDefault="00661B03" w:rsidP="007856B8">
            <w:pPr>
              <w:rPr>
                <w:rFonts w:asciiTheme="majorHAnsi" w:hAnsiTheme="majorHAnsi"/>
                <w:color w:val="00000A"/>
                <w:sz w:val="20"/>
                <w:szCs w:val="20"/>
              </w:rPr>
            </w:pPr>
          </w:p>
          <w:p w14:paraId="641919BB" w14:textId="28A7B66A" w:rsidR="00661B03" w:rsidRPr="007856B8" w:rsidRDefault="00661B03" w:rsidP="00661B03">
            <w:pPr>
              <w:rPr>
                <w:rFonts w:asciiTheme="majorHAnsi" w:hAnsiTheme="majorHAnsi"/>
                <w:color w:val="00000A"/>
                <w:sz w:val="20"/>
                <w:szCs w:val="20"/>
              </w:rPr>
            </w:pPr>
            <w:r w:rsidRPr="00BA7E12">
              <w:rPr>
                <w:rFonts w:asciiTheme="majorHAnsi" w:hAnsiTheme="majorHAnsi"/>
                <w:color w:val="00000A"/>
                <w:sz w:val="20"/>
                <w:szCs w:val="20"/>
              </w:rPr>
              <w:t xml:space="preserve">The proposal should provide mechanisms for iterative improvements to the performance of the IANA Functions, as well as to its oversight structures to account for “lessons learned” and for the potentially evolving needs of the registry community. </w:t>
            </w:r>
          </w:p>
        </w:tc>
        <w:tc>
          <w:tcPr>
            <w:tcW w:w="855" w:type="dxa"/>
          </w:tcPr>
          <w:p w14:paraId="31FCF440" w14:textId="7E1FF645" w:rsidR="00584E8C" w:rsidRPr="00BA7E12" w:rsidRDefault="00584E8C" w:rsidP="004D5302">
            <w:pPr>
              <w:pStyle w:val="ListParagraph"/>
              <w:ind w:left="18"/>
              <w:rPr>
                <w:rFonts w:asciiTheme="majorHAnsi" w:hAnsiTheme="majorHAnsi"/>
                <w:color w:val="00000A"/>
                <w:sz w:val="20"/>
                <w:szCs w:val="20"/>
              </w:rPr>
            </w:pPr>
            <w:r w:rsidRPr="00B17741">
              <w:rPr>
                <w:rFonts w:asciiTheme="majorHAnsi" w:hAnsiTheme="majorHAnsi"/>
                <w:sz w:val="22"/>
                <w:szCs w:val="22"/>
                <w:highlight w:val="green"/>
              </w:rPr>
              <w:sym w:font="Symbol" w:char="F0D6"/>
            </w:r>
            <w:r w:rsidR="006C49F5">
              <w:rPr>
                <w:rFonts w:asciiTheme="majorHAnsi" w:hAnsiTheme="majorHAnsi"/>
                <w:sz w:val="22"/>
                <w:szCs w:val="22"/>
              </w:rPr>
              <w:t xml:space="preserve">/ </w:t>
            </w:r>
            <w:r w:rsidR="006C49F5" w:rsidRPr="00B17741">
              <w:rPr>
                <w:rFonts w:asciiTheme="majorHAnsi" w:hAnsiTheme="majorHAnsi"/>
                <w:sz w:val="22"/>
                <w:szCs w:val="22"/>
                <w:highlight w:val="yellow"/>
              </w:rPr>
              <w:sym w:font="Symbol" w:char="F02A"/>
            </w:r>
          </w:p>
        </w:tc>
      </w:tr>
      <w:tr w:rsidR="00D05330" w:rsidRPr="00BA7E12" w14:paraId="2F2F8AF6" w14:textId="77777777" w:rsidTr="00661B03">
        <w:trPr>
          <w:cantSplit/>
          <w:jc w:val="center"/>
        </w:trPr>
        <w:tc>
          <w:tcPr>
            <w:tcW w:w="1444" w:type="dxa"/>
          </w:tcPr>
          <w:p w14:paraId="4E08E6F4" w14:textId="1C37E8AF" w:rsidR="00D05330" w:rsidRPr="00BA7E12" w:rsidRDefault="00D05330" w:rsidP="00D05330">
            <w:pPr>
              <w:rPr>
                <w:rFonts w:asciiTheme="majorHAnsi" w:hAnsiTheme="majorHAnsi"/>
                <w:b/>
                <w:sz w:val="20"/>
                <w:szCs w:val="20"/>
              </w:rPr>
            </w:pPr>
            <w:r>
              <w:rPr>
                <w:rFonts w:asciiTheme="majorHAnsi" w:hAnsiTheme="majorHAnsi"/>
                <w:b/>
                <w:sz w:val="20"/>
                <w:szCs w:val="20"/>
              </w:rPr>
              <w:t>DT C - Purpose</w:t>
            </w:r>
          </w:p>
        </w:tc>
        <w:tc>
          <w:tcPr>
            <w:tcW w:w="4282" w:type="dxa"/>
            <w:shd w:val="clear" w:color="auto" w:fill="00FF00"/>
          </w:tcPr>
          <w:p w14:paraId="4690EAD8" w14:textId="6B97C5DB" w:rsidR="00D05330" w:rsidRPr="00305B74" w:rsidRDefault="00D05330">
            <w:pPr>
              <w:rPr>
                <w:rFonts w:asciiTheme="majorHAnsi" w:hAnsiTheme="majorHAnsi"/>
                <w:sz w:val="20"/>
                <w:szCs w:val="20"/>
                <w:lang w:val="en-GB"/>
              </w:rPr>
            </w:pPr>
            <w:r w:rsidRPr="00D05330">
              <w:rPr>
                <w:rFonts w:asciiTheme="majorHAnsi" w:hAnsiTheme="majorHAnsi"/>
                <w:color w:val="00000A"/>
                <w:sz w:val="20"/>
                <w:szCs w:val="20"/>
              </w:rPr>
              <w:t>The concept of a "DUG" is similar to the "Customer Service Committee" outlined in other proposals and discussions.</w:t>
            </w:r>
          </w:p>
        </w:tc>
        <w:tc>
          <w:tcPr>
            <w:tcW w:w="855" w:type="dxa"/>
          </w:tcPr>
          <w:p w14:paraId="408E2FE5" w14:textId="0C9437BD" w:rsidR="00D05330" w:rsidRPr="00BA7E12" w:rsidRDefault="00D05330" w:rsidP="00ED13E0">
            <w:pPr>
              <w:pStyle w:val="ListParagraph"/>
              <w:ind w:left="0"/>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c>
          <w:tcPr>
            <w:tcW w:w="4822" w:type="dxa"/>
            <w:shd w:val="clear" w:color="auto" w:fill="00FF00"/>
          </w:tcPr>
          <w:p w14:paraId="29D02C59" w14:textId="169672BA" w:rsidR="00D05330" w:rsidRPr="00BA7E12" w:rsidRDefault="00D05330" w:rsidP="00EA7C86">
            <w:pPr>
              <w:rPr>
                <w:rFonts w:asciiTheme="majorHAnsi" w:hAnsiTheme="majorHAnsi"/>
                <w:color w:val="00000A"/>
                <w:sz w:val="20"/>
                <w:szCs w:val="20"/>
              </w:rPr>
            </w:pPr>
            <w:r w:rsidRPr="00BA7E12">
              <w:rPr>
                <w:rFonts w:asciiTheme="majorHAnsi" w:hAnsiTheme="majorHAnsi"/>
                <w:color w:val="00000A"/>
                <w:sz w:val="20"/>
                <w:szCs w:val="20"/>
              </w:rPr>
              <w:t>We believe that the CSC would be sufficient to carry out oversight of the IANA Functions Operator.</w:t>
            </w:r>
          </w:p>
        </w:tc>
        <w:tc>
          <w:tcPr>
            <w:tcW w:w="855" w:type="dxa"/>
          </w:tcPr>
          <w:p w14:paraId="3242291A" w14:textId="2D2AFA8B" w:rsidR="00D05330" w:rsidRPr="00BA7E12" w:rsidRDefault="00D05330" w:rsidP="004D5302">
            <w:pPr>
              <w:pStyle w:val="ListParagraph"/>
              <w:ind w:left="18" w:hanging="18"/>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r>
      <w:tr w:rsidR="00455F87" w:rsidRPr="00BA7E12" w14:paraId="68DC34E9" w14:textId="77777777" w:rsidTr="00661B03">
        <w:trPr>
          <w:cantSplit/>
          <w:jc w:val="center"/>
        </w:trPr>
        <w:tc>
          <w:tcPr>
            <w:tcW w:w="1444" w:type="dxa"/>
          </w:tcPr>
          <w:p w14:paraId="62E6C03C" w14:textId="2F79B9FC" w:rsidR="00455F87" w:rsidRDefault="00455F87" w:rsidP="00D05330">
            <w:pPr>
              <w:rPr>
                <w:rFonts w:asciiTheme="majorHAnsi" w:hAnsiTheme="majorHAnsi"/>
                <w:b/>
                <w:sz w:val="20"/>
                <w:szCs w:val="20"/>
              </w:rPr>
            </w:pPr>
            <w:r>
              <w:rPr>
                <w:rFonts w:asciiTheme="majorHAnsi" w:hAnsiTheme="majorHAnsi"/>
                <w:b/>
                <w:sz w:val="20"/>
                <w:szCs w:val="20"/>
              </w:rPr>
              <w:t>DT</w:t>
            </w:r>
            <w:r w:rsidR="00534AB9">
              <w:rPr>
                <w:rFonts w:asciiTheme="majorHAnsi" w:hAnsiTheme="majorHAnsi"/>
                <w:b/>
                <w:sz w:val="20"/>
                <w:szCs w:val="20"/>
              </w:rPr>
              <w:t xml:space="preserve"> </w:t>
            </w:r>
            <w:r>
              <w:rPr>
                <w:rFonts w:asciiTheme="majorHAnsi" w:hAnsiTheme="majorHAnsi"/>
                <w:b/>
                <w:sz w:val="20"/>
                <w:szCs w:val="20"/>
              </w:rPr>
              <w:t xml:space="preserve">C </w:t>
            </w:r>
            <w:r w:rsidR="00534AB9">
              <w:rPr>
                <w:rFonts w:asciiTheme="majorHAnsi" w:hAnsiTheme="majorHAnsi"/>
                <w:b/>
                <w:sz w:val="20"/>
                <w:szCs w:val="20"/>
              </w:rPr>
              <w:t xml:space="preserve"> / DT M / DT A / DT N</w:t>
            </w:r>
          </w:p>
          <w:p w14:paraId="69B8A2F5" w14:textId="214072BE" w:rsidR="00455F87" w:rsidRDefault="00455F87" w:rsidP="00D05330">
            <w:pPr>
              <w:rPr>
                <w:rFonts w:asciiTheme="majorHAnsi" w:hAnsiTheme="majorHAnsi"/>
                <w:b/>
                <w:sz w:val="20"/>
                <w:szCs w:val="20"/>
              </w:rPr>
            </w:pPr>
            <w:r>
              <w:rPr>
                <w:rFonts w:asciiTheme="majorHAnsi" w:hAnsiTheme="majorHAnsi"/>
                <w:b/>
                <w:sz w:val="20"/>
                <w:szCs w:val="20"/>
              </w:rPr>
              <w:t>Scope</w:t>
            </w:r>
          </w:p>
        </w:tc>
        <w:tc>
          <w:tcPr>
            <w:tcW w:w="4282" w:type="dxa"/>
            <w:shd w:val="clear" w:color="auto" w:fill="auto"/>
          </w:tcPr>
          <w:p w14:paraId="605C6757" w14:textId="77777777" w:rsidR="00455F87" w:rsidRPr="00305B74" w:rsidRDefault="00455F87" w:rsidP="00455F87">
            <w:pPr>
              <w:rPr>
                <w:rFonts w:asciiTheme="majorHAnsi" w:hAnsiTheme="majorHAnsi"/>
                <w:sz w:val="20"/>
                <w:szCs w:val="20"/>
                <w:lang w:val="en-GB"/>
              </w:rPr>
            </w:pPr>
            <w:r w:rsidRPr="00305B74">
              <w:rPr>
                <w:rFonts w:asciiTheme="majorHAnsi" w:hAnsiTheme="majorHAnsi"/>
                <w:sz w:val="20"/>
                <w:szCs w:val="20"/>
                <w:lang w:val="en-GB"/>
              </w:rPr>
              <w:t>The</w:t>
            </w:r>
            <w:r w:rsidRPr="00305B74">
              <w:rPr>
                <w:rFonts w:asciiTheme="majorHAnsi" w:hAnsiTheme="majorHAnsi"/>
                <w:i/>
                <w:sz w:val="20"/>
                <w:szCs w:val="20"/>
                <w:lang w:val="en-GB"/>
              </w:rPr>
              <w:t xml:space="preserve"> </w:t>
            </w:r>
            <w:r w:rsidRPr="00305B74">
              <w:rPr>
                <w:rFonts w:asciiTheme="majorHAnsi" w:hAnsiTheme="majorHAnsi"/>
                <w:sz w:val="20"/>
                <w:szCs w:val="20"/>
                <w:lang w:val="en-GB"/>
              </w:rPr>
              <w:t>DUG will perform five main functions.</w:t>
            </w:r>
          </w:p>
          <w:p w14:paraId="53F55EA1" w14:textId="5134DA20" w:rsidR="00455F87" w:rsidRDefault="00455F87" w:rsidP="00455F87">
            <w:pPr>
              <w:pStyle w:val="ListParagraph"/>
              <w:numPr>
                <w:ilvl w:val="0"/>
                <w:numId w:val="4"/>
              </w:numPr>
              <w:rPr>
                <w:rFonts w:asciiTheme="majorHAnsi" w:hAnsiTheme="majorHAnsi"/>
                <w:sz w:val="20"/>
                <w:szCs w:val="20"/>
                <w:lang w:val="en-GB"/>
              </w:rPr>
            </w:pPr>
            <w:r w:rsidRPr="00305B74">
              <w:rPr>
                <w:rFonts w:asciiTheme="majorHAnsi" w:hAnsiTheme="majorHAnsi"/>
                <w:sz w:val="20"/>
                <w:szCs w:val="20"/>
                <w:lang w:val="en-GB"/>
              </w:rPr>
              <w:t>Dealing with disputes</w:t>
            </w:r>
            <w:r w:rsidR="00534AB9">
              <w:rPr>
                <w:rFonts w:asciiTheme="majorHAnsi" w:hAnsiTheme="majorHAnsi"/>
                <w:sz w:val="20"/>
                <w:szCs w:val="20"/>
                <w:lang w:val="en-GB"/>
              </w:rPr>
              <w:t xml:space="preserve"> </w:t>
            </w:r>
          </w:p>
          <w:p w14:paraId="073C2128" w14:textId="77777777" w:rsidR="00455F87" w:rsidRDefault="00455F87" w:rsidP="00455F87">
            <w:pPr>
              <w:pStyle w:val="ListParagraph"/>
              <w:numPr>
                <w:ilvl w:val="0"/>
                <w:numId w:val="4"/>
              </w:numPr>
              <w:rPr>
                <w:rFonts w:asciiTheme="majorHAnsi" w:hAnsiTheme="majorHAnsi"/>
                <w:sz w:val="20"/>
                <w:szCs w:val="20"/>
                <w:lang w:val="en-GB"/>
              </w:rPr>
            </w:pPr>
            <w:r>
              <w:rPr>
                <w:rFonts w:asciiTheme="majorHAnsi" w:hAnsiTheme="majorHAnsi"/>
                <w:sz w:val="20"/>
                <w:szCs w:val="20"/>
                <w:lang w:val="en-GB"/>
              </w:rPr>
              <w:t xml:space="preserve">Regular reporting </w:t>
            </w:r>
          </w:p>
          <w:p w14:paraId="28D0A6C4" w14:textId="77777777" w:rsidR="00455F87" w:rsidRDefault="00455F87" w:rsidP="00455F87">
            <w:pPr>
              <w:pStyle w:val="ListParagraph"/>
              <w:numPr>
                <w:ilvl w:val="0"/>
                <w:numId w:val="4"/>
              </w:numPr>
              <w:rPr>
                <w:rFonts w:asciiTheme="majorHAnsi" w:hAnsiTheme="majorHAnsi"/>
                <w:sz w:val="20"/>
                <w:szCs w:val="20"/>
                <w:lang w:val="en-GB"/>
              </w:rPr>
            </w:pPr>
            <w:r>
              <w:rPr>
                <w:rFonts w:asciiTheme="majorHAnsi" w:hAnsiTheme="majorHAnsi"/>
                <w:sz w:val="20"/>
                <w:szCs w:val="20"/>
                <w:lang w:val="en-GB"/>
              </w:rPr>
              <w:t>Periodic Audit</w:t>
            </w:r>
          </w:p>
          <w:p w14:paraId="459147CD" w14:textId="77777777" w:rsidR="00534AB9" w:rsidRDefault="00534AB9" w:rsidP="00534AB9">
            <w:pPr>
              <w:pStyle w:val="ListParagraph"/>
              <w:numPr>
                <w:ilvl w:val="0"/>
                <w:numId w:val="4"/>
              </w:numPr>
              <w:rPr>
                <w:rFonts w:asciiTheme="majorHAnsi" w:hAnsiTheme="majorHAnsi"/>
                <w:sz w:val="20"/>
                <w:szCs w:val="20"/>
                <w:lang w:val="en-GB"/>
              </w:rPr>
            </w:pPr>
            <w:r>
              <w:rPr>
                <w:rFonts w:asciiTheme="majorHAnsi" w:hAnsiTheme="majorHAnsi"/>
                <w:sz w:val="20"/>
                <w:szCs w:val="20"/>
                <w:lang w:val="en-GB"/>
              </w:rPr>
              <w:t xml:space="preserve">Urgent review </w:t>
            </w:r>
          </w:p>
          <w:p w14:paraId="6B507601" w14:textId="717C5298" w:rsidR="00455F87" w:rsidRPr="00534AB9" w:rsidRDefault="00455F87" w:rsidP="00534AB9">
            <w:pPr>
              <w:pStyle w:val="ListParagraph"/>
              <w:numPr>
                <w:ilvl w:val="0"/>
                <w:numId w:val="4"/>
              </w:numPr>
              <w:rPr>
                <w:rFonts w:asciiTheme="majorHAnsi" w:hAnsiTheme="majorHAnsi"/>
                <w:sz w:val="20"/>
                <w:szCs w:val="20"/>
                <w:lang w:val="en-GB"/>
              </w:rPr>
            </w:pPr>
            <w:r w:rsidRPr="00534AB9">
              <w:rPr>
                <w:rFonts w:asciiTheme="majorHAnsi" w:hAnsiTheme="majorHAnsi"/>
                <w:sz w:val="20"/>
                <w:szCs w:val="20"/>
                <w:lang w:val="en-GB"/>
              </w:rPr>
              <w:t>Introduction of technical changes</w:t>
            </w:r>
          </w:p>
        </w:tc>
        <w:tc>
          <w:tcPr>
            <w:tcW w:w="855" w:type="dxa"/>
          </w:tcPr>
          <w:p w14:paraId="08CBFEE0" w14:textId="3D0AA666" w:rsidR="00455F87" w:rsidRPr="00B17741" w:rsidRDefault="00534AB9" w:rsidP="00ED13E0">
            <w:pPr>
              <w:pStyle w:val="ListParagraph"/>
              <w:ind w:left="0"/>
              <w:jc w:val="center"/>
              <w:rPr>
                <w:rFonts w:asciiTheme="majorHAnsi" w:hAnsiTheme="majorHAnsi"/>
                <w:sz w:val="22"/>
                <w:szCs w:val="22"/>
                <w:highlight w:val="green"/>
              </w:rPr>
            </w:pPr>
            <w:r w:rsidRPr="00B17741">
              <w:rPr>
                <w:rFonts w:asciiTheme="majorHAnsi" w:hAnsiTheme="majorHAnsi"/>
                <w:sz w:val="22"/>
                <w:szCs w:val="22"/>
                <w:highlight w:val="yellow"/>
              </w:rPr>
              <w:sym w:font="Symbol" w:char="F02A"/>
            </w:r>
          </w:p>
        </w:tc>
        <w:tc>
          <w:tcPr>
            <w:tcW w:w="4822" w:type="dxa"/>
            <w:shd w:val="clear" w:color="auto" w:fill="auto"/>
          </w:tcPr>
          <w:p w14:paraId="14FD8A41" w14:textId="77777777" w:rsidR="00455F87" w:rsidRPr="00BA7E12" w:rsidRDefault="00455F87" w:rsidP="00EA7C86">
            <w:pPr>
              <w:rPr>
                <w:rFonts w:asciiTheme="majorHAnsi" w:hAnsiTheme="majorHAnsi"/>
                <w:color w:val="00000A"/>
                <w:sz w:val="20"/>
                <w:szCs w:val="20"/>
              </w:rPr>
            </w:pPr>
          </w:p>
        </w:tc>
        <w:tc>
          <w:tcPr>
            <w:tcW w:w="855" w:type="dxa"/>
          </w:tcPr>
          <w:p w14:paraId="5DAD9FE6" w14:textId="77777777" w:rsidR="00455F87" w:rsidRPr="00B17741" w:rsidRDefault="00455F87" w:rsidP="002E2F04">
            <w:pPr>
              <w:pStyle w:val="ListParagraph"/>
              <w:ind w:left="360"/>
              <w:rPr>
                <w:rFonts w:asciiTheme="majorHAnsi" w:hAnsiTheme="majorHAnsi"/>
                <w:sz w:val="22"/>
                <w:szCs w:val="22"/>
                <w:highlight w:val="green"/>
              </w:rPr>
            </w:pPr>
          </w:p>
        </w:tc>
      </w:tr>
      <w:tr w:rsidR="002E2F04" w:rsidRPr="00BA7E12" w14:paraId="7D27CF9D" w14:textId="77777777" w:rsidTr="00661B03">
        <w:trPr>
          <w:cantSplit/>
          <w:jc w:val="center"/>
        </w:trPr>
        <w:tc>
          <w:tcPr>
            <w:tcW w:w="1444" w:type="dxa"/>
          </w:tcPr>
          <w:p w14:paraId="13BF5C18" w14:textId="2F3CB426" w:rsidR="0084047B" w:rsidRDefault="002E2F04" w:rsidP="00D05330">
            <w:pPr>
              <w:rPr>
                <w:rFonts w:asciiTheme="majorHAnsi" w:hAnsiTheme="majorHAnsi"/>
                <w:b/>
                <w:sz w:val="20"/>
                <w:szCs w:val="20"/>
              </w:rPr>
            </w:pPr>
            <w:r w:rsidRPr="00BA7E12">
              <w:rPr>
                <w:rFonts w:asciiTheme="majorHAnsi" w:hAnsiTheme="majorHAnsi"/>
                <w:b/>
                <w:sz w:val="20"/>
                <w:szCs w:val="20"/>
              </w:rPr>
              <w:t>DT C</w:t>
            </w:r>
            <w:r w:rsidR="007A18E4">
              <w:rPr>
                <w:rFonts w:asciiTheme="majorHAnsi" w:hAnsiTheme="majorHAnsi"/>
                <w:b/>
                <w:sz w:val="20"/>
                <w:szCs w:val="20"/>
              </w:rPr>
              <w:t xml:space="preserve"> </w:t>
            </w:r>
            <w:r w:rsidR="0084047B">
              <w:rPr>
                <w:rFonts w:asciiTheme="majorHAnsi" w:hAnsiTheme="majorHAnsi"/>
                <w:b/>
                <w:sz w:val="20"/>
                <w:szCs w:val="20"/>
              </w:rPr>
              <w:t>–</w:t>
            </w:r>
            <w:r w:rsidR="007A18E4">
              <w:rPr>
                <w:rFonts w:asciiTheme="majorHAnsi" w:hAnsiTheme="majorHAnsi"/>
                <w:b/>
                <w:sz w:val="20"/>
                <w:szCs w:val="20"/>
              </w:rPr>
              <w:t xml:space="preserve"> </w:t>
            </w:r>
            <w:r w:rsidR="0084047B">
              <w:rPr>
                <w:rFonts w:asciiTheme="majorHAnsi" w:hAnsiTheme="majorHAnsi"/>
                <w:b/>
                <w:sz w:val="20"/>
                <w:szCs w:val="20"/>
              </w:rPr>
              <w:t xml:space="preserve">DT M </w:t>
            </w:r>
          </w:p>
          <w:p w14:paraId="0575BCAA" w14:textId="658AAA97" w:rsidR="002E2F04" w:rsidRPr="00BA7E12" w:rsidRDefault="00D05330" w:rsidP="00D05330">
            <w:pPr>
              <w:rPr>
                <w:rFonts w:asciiTheme="majorHAnsi" w:hAnsiTheme="majorHAnsi"/>
                <w:b/>
                <w:sz w:val="20"/>
                <w:szCs w:val="20"/>
              </w:rPr>
            </w:pPr>
            <w:r>
              <w:rPr>
                <w:rFonts w:asciiTheme="majorHAnsi" w:hAnsiTheme="majorHAnsi"/>
                <w:b/>
                <w:sz w:val="20"/>
                <w:szCs w:val="20"/>
              </w:rPr>
              <w:t>Disputes</w:t>
            </w:r>
          </w:p>
        </w:tc>
        <w:tc>
          <w:tcPr>
            <w:tcW w:w="4282" w:type="dxa"/>
          </w:tcPr>
          <w:p w14:paraId="10D37C75" w14:textId="46D7EED2" w:rsidR="002E2F04" w:rsidRPr="00305B74" w:rsidRDefault="00305B74" w:rsidP="0084047B">
            <w:pPr>
              <w:rPr>
                <w:rFonts w:asciiTheme="majorHAnsi" w:hAnsiTheme="majorHAnsi"/>
                <w:sz w:val="20"/>
                <w:szCs w:val="20"/>
                <w:lang w:val="en-GB"/>
              </w:rPr>
            </w:pPr>
            <w:r w:rsidRPr="00305B74">
              <w:rPr>
                <w:rFonts w:asciiTheme="majorHAnsi" w:hAnsiTheme="majorHAnsi"/>
                <w:sz w:val="20"/>
                <w:szCs w:val="20"/>
                <w:lang w:val="en-GB"/>
              </w:rPr>
              <w:t xml:space="preserve">Disputes about agreed service levels or performance that arise between </w:t>
            </w:r>
            <w:bookmarkStart w:id="1" w:name="OLE_LINK3"/>
            <w:bookmarkStart w:id="2" w:name="OLE_LINK4"/>
            <w:bookmarkStart w:id="3" w:name="OLE_LINK5"/>
            <w:r w:rsidRPr="00305B74">
              <w:rPr>
                <w:rFonts w:asciiTheme="majorHAnsi" w:hAnsiTheme="majorHAnsi"/>
                <w:sz w:val="20"/>
                <w:szCs w:val="20"/>
                <w:lang w:val="en-GB"/>
              </w:rPr>
              <w:t>a TLD registry operator</w:t>
            </w:r>
            <w:bookmarkEnd w:id="1"/>
            <w:bookmarkEnd w:id="2"/>
            <w:bookmarkEnd w:id="3"/>
            <w:r w:rsidRPr="00305B74">
              <w:rPr>
                <w:rFonts w:asciiTheme="majorHAnsi" w:hAnsiTheme="majorHAnsi"/>
                <w:sz w:val="20"/>
                <w:szCs w:val="20"/>
                <w:lang w:val="en-GB"/>
              </w:rPr>
              <w:t xml:space="preserve"> and the IFM should be addressed, in the first instance, between the two parties. In instances where direct negotiation cannot resolve a dispute the escalation mechanisms should be activated. The first of these mechanisms is a “Direct User Group” (DUG).</w:t>
            </w:r>
            <w:r>
              <w:rPr>
                <w:rFonts w:asciiTheme="majorHAnsi" w:hAnsiTheme="majorHAnsi"/>
                <w:sz w:val="20"/>
                <w:szCs w:val="20"/>
                <w:lang w:val="en-GB"/>
              </w:rPr>
              <w:t xml:space="preserve"> </w:t>
            </w:r>
          </w:p>
        </w:tc>
        <w:tc>
          <w:tcPr>
            <w:tcW w:w="855" w:type="dxa"/>
          </w:tcPr>
          <w:p w14:paraId="1C5A5EE9" w14:textId="08A4B6A5" w:rsidR="002E2F04" w:rsidRPr="00BA7E12" w:rsidRDefault="0084047B" w:rsidP="00ED13E0">
            <w:pPr>
              <w:pStyle w:val="ListParagraph"/>
              <w:ind w:left="0"/>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c>
          <w:tcPr>
            <w:tcW w:w="4822" w:type="dxa"/>
          </w:tcPr>
          <w:p w14:paraId="53578EE4" w14:textId="73DD947D" w:rsidR="002E2F04" w:rsidRPr="00BA7E12" w:rsidRDefault="002E2F04" w:rsidP="00EA7C86">
            <w:pPr>
              <w:rPr>
                <w:rFonts w:asciiTheme="majorHAnsi" w:hAnsiTheme="majorHAnsi"/>
                <w:color w:val="00000A"/>
                <w:sz w:val="20"/>
                <w:szCs w:val="20"/>
              </w:rPr>
            </w:pPr>
          </w:p>
        </w:tc>
        <w:tc>
          <w:tcPr>
            <w:tcW w:w="855" w:type="dxa"/>
          </w:tcPr>
          <w:p w14:paraId="6111A65B" w14:textId="77777777" w:rsidR="002E2F04" w:rsidRPr="00BA7E12" w:rsidRDefault="002E2F04" w:rsidP="002E2F04">
            <w:pPr>
              <w:pStyle w:val="ListParagraph"/>
              <w:ind w:left="360"/>
              <w:rPr>
                <w:rFonts w:asciiTheme="majorHAnsi" w:hAnsiTheme="majorHAnsi"/>
                <w:color w:val="00000A"/>
                <w:sz w:val="20"/>
                <w:szCs w:val="20"/>
              </w:rPr>
            </w:pPr>
          </w:p>
        </w:tc>
      </w:tr>
      <w:tr w:rsidR="00EA7C86" w:rsidRPr="00BA7E12" w14:paraId="45C83A4E" w14:textId="77777777" w:rsidTr="00661B03">
        <w:trPr>
          <w:cantSplit/>
          <w:jc w:val="center"/>
        </w:trPr>
        <w:tc>
          <w:tcPr>
            <w:tcW w:w="1444" w:type="dxa"/>
          </w:tcPr>
          <w:p w14:paraId="79BD8A10" w14:textId="28E441BA" w:rsidR="00EA7C86" w:rsidRPr="00BA7E12" w:rsidRDefault="007A18E4" w:rsidP="006C49F5">
            <w:pPr>
              <w:keepNext/>
              <w:rPr>
                <w:rFonts w:asciiTheme="majorHAnsi" w:hAnsiTheme="majorHAnsi"/>
                <w:b/>
                <w:sz w:val="20"/>
                <w:szCs w:val="20"/>
              </w:rPr>
            </w:pPr>
            <w:r>
              <w:rPr>
                <w:rFonts w:asciiTheme="majorHAnsi" w:hAnsiTheme="majorHAnsi"/>
                <w:b/>
                <w:sz w:val="20"/>
                <w:szCs w:val="20"/>
              </w:rPr>
              <w:t xml:space="preserve">DT C </w:t>
            </w:r>
            <w:r w:rsidR="006C49F5">
              <w:rPr>
                <w:rFonts w:asciiTheme="majorHAnsi" w:hAnsiTheme="majorHAnsi"/>
                <w:b/>
                <w:sz w:val="20"/>
                <w:szCs w:val="20"/>
              </w:rPr>
              <w:t>–</w:t>
            </w:r>
            <w:r>
              <w:rPr>
                <w:rFonts w:asciiTheme="majorHAnsi" w:hAnsiTheme="majorHAnsi"/>
                <w:b/>
                <w:sz w:val="20"/>
                <w:szCs w:val="20"/>
              </w:rPr>
              <w:t xml:space="preserve"> Formation</w:t>
            </w:r>
          </w:p>
        </w:tc>
        <w:tc>
          <w:tcPr>
            <w:tcW w:w="4282" w:type="dxa"/>
            <w:shd w:val="clear" w:color="auto" w:fill="00FF00"/>
          </w:tcPr>
          <w:p w14:paraId="776686D0" w14:textId="18469ADA" w:rsidR="00EA7C86" w:rsidRPr="00FB16F3" w:rsidRDefault="00305B74" w:rsidP="007B0780">
            <w:pPr>
              <w:pStyle w:val="CommentText"/>
              <w:rPr>
                <w:rFonts w:asciiTheme="majorHAnsi" w:hAnsiTheme="majorHAnsi"/>
                <w:sz w:val="20"/>
                <w:szCs w:val="20"/>
                <w:lang w:val="en-GB"/>
              </w:rPr>
            </w:pPr>
            <w:r w:rsidRPr="00305B74">
              <w:rPr>
                <w:rFonts w:asciiTheme="majorHAnsi" w:hAnsiTheme="majorHAnsi"/>
                <w:sz w:val="20"/>
                <w:szCs w:val="20"/>
                <w:lang w:val="en-GB"/>
              </w:rPr>
              <w:t xml:space="preserve">The DUG will be a standing body that will operate under a Charter defining the role of the group, including the appointment of a Chair and </w:t>
            </w:r>
          </w:p>
        </w:tc>
        <w:tc>
          <w:tcPr>
            <w:tcW w:w="855" w:type="dxa"/>
          </w:tcPr>
          <w:p w14:paraId="334ED545" w14:textId="7ECBA892" w:rsidR="00EA7C86" w:rsidRPr="00BA7E12" w:rsidRDefault="006C49F5" w:rsidP="00ED13E0">
            <w:pPr>
              <w:pStyle w:val="ListParagraph"/>
              <w:ind w:left="0"/>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c>
          <w:tcPr>
            <w:tcW w:w="4822" w:type="dxa"/>
            <w:shd w:val="clear" w:color="auto" w:fill="00FF00"/>
          </w:tcPr>
          <w:p w14:paraId="72588DB5" w14:textId="1017E274" w:rsidR="00EA7C86" w:rsidRPr="00BA7E12" w:rsidRDefault="00EA7C86" w:rsidP="006C49F5">
            <w:pPr>
              <w:rPr>
                <w:rFonts w:asciiTheme="majorHAnsi" w:hAnsiTheme="majorHAnsi"/>
                <w:color w:val="00000A"/>
                <w:sz w:val="20"/>
                <w:szCs w:val="20"/>
              </w:rPr>
            </w:pPr>
            <w:r w:rsidRPr="00BA7E12">
              <w:rPr>
                <w:rFonts w:asciiTheme="majorHAnsi" w:hAnsiTheme="majorHAnsi"/>
                <w:color w:val="00000A"/>
                <w:sz w:val="20"/>
                <w:szCs w:val="20"/>
              </w:rPr>
              <w:t xml:space="preserve">Concerns regarding the accountability of the CSC could be minimized by clearly defining its mandate and scope in founding documents, </w:t>
            </w:r>
          </w:p>
        </w:tc>
        <w:tc>
          <w:tcPr>
            <w:tcW w:w="855" w:type="dxa"/>
          </w:tcPr>
          <w:p w14:paraId="4A414A32" w14:textId="660ED888" w:rsidR="00EA7C86" w:rsidRPr="00BA7E12" w:rsidRDefault="006C49F5" w:rsidP="00ED13E0">
            <w:pPr>
              <w:pStyle w:val="ListParagraph"/>
              <w:ind w:left="0"/>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r>
      <w:tr w:rsidR="007B0780" w:rsidRPr="00BA7E12" w14:paraId="1C5D63DA" w14:textId="77777777" w:rsidTr="00661B03">
        <w:trPr>
          <w:cantSplit/>
          <w:jc w:val="center"/>
        </w:trPr>
        <w:tc>
          <w:tcPr>
            <w:tcW w:w="1444" w:type="dxa"/>
          </w:tcPr>
          <w:p w14:paraId="685CB38B" w14:textId="77777777" w:rsidR="007B0780" w:rsidRDefault="007B0780" w:rsidP="007B0780">
            <w:pPr>
              <w:keepNext/>
              <w:rPr>
                <w:rFonts w:asciiTheme="majorHAnsi" w:hAnsiTheme="majorHAnsi"/>
                <w:b/>
                <w:sz w:val="20"/>
                <w:szCs w:val="20"/>
              </w:rPr>
            </w:pPr>
            <w:r>
              <w:rPr>
                <w:rFonts w:asciiTheme="majorHAnsi" w:hAnsiTheme="majorHAnsi"/>
                <w:b/>
                <w:sz w:val="20"/>
                <w:szCs w:val="20"/>
              </w:rPr>
              <w:t xml:space="preserve">DT C </w:t>
            </w:r>
          </w:p>
          <w:p w14:paraId="1E9AF3D0" w14:textId="67D6AAD9" w:rsidR="007B0780" w:rsidRDefault="007B0780" w:rsidP="007B0780">
            <w:pPr>
              <w:keepNext/>
              <w:rPr>
                <w:rFonts w:asciiTheme="majorHAnsi" w:hAnsiTheme="majorHAnsi"/>
                <w:b/>
                <w:sz w:val="20"/>
                <w:szCs w:val="20"/>
              </w:rPr>
            </w:pPr>
            <w:r>
              <w:rPr>
                <w:rFonts w:asciiTheme="majorHAnsi" w:hAnsiTheme="majorHAnsi"/>
                <w:b/>
                <w:sz w:val="20"/>
                <w:szCs w:val="20"/>
              </w:rPr>
              <w:t>IANA link</w:t>
            </w:r>
          </w:p>
        </w:tc>
        <w:tc>
          <w:tcPr>
            <w:tcW w:w="4282" w:type="dxa"/>
          </w:tcPr>
          <w:p w14:paraId="398838EC" w14:textId="67AF55C4" w:rsidR="007B0780" w:rsidRPr="00305B74" w:rsidRDefault="007B0780" w:rsidP="00FB16F3">
            <w:pPr>
              <w:pStyle w:val="CommentText"/>
              <w:rPr>
                <w:rFonts w:asciiTheme="majorHAnsi" w:hAnsiTheme="majorHAnsi"/>
                <w:sz w:val="20"/>
                <w:szCs w:val="20"/>
                <w:lang w:val="en-GB"/>
              </w:rPr>
            </w:pPr>
            <w:proofErr w:type="gramStart"/>
            <w:r w:rsidRPr="00305B74">
              <w:rPr>
                <w:rFonts w:asciiTheme="majorHAnsi" w:hAnsiTheme="majorHAnsi"/>
                <w:sz w:val="20"/>
                <w:szCs w:val="20"/>
                <w:lang w:val="en-GB"/>
              </w:rPr>
              <w:t>set</w:t>
            </w:r>
            <w:proofErr w:type="gramEnd"/>
            <w:r w:rsidRPr="00305B74">
              <w:rPr>
                <w:rFonts w:asciiTheme="majorHAnsi" w:hAnsiTheme="majorHAnsi"/>
                <w:sz w:val="20"/>
                <w:szCs w:val="20"/>
                <w:lang w:val="en-GB"/>
              </w:rPr>
              <w:t xml:space="preserve"> out the lines of communication between the DUG and IANA staff.</w:t>
            </w:r>
          </w:p>
        </w:tc>
        <w:tc>
          <w:tcPr>
            <w:tcW w:w="855" w:type="dxa"/>
          </w:tcPr>
          <w:p w14:paraId="39FC7EB7" w14:textId="543619C9" w:rsidR="007B0780" w:rsidRPr="00BA7E12" w:rsidRDefault="007B0780" w:rsidP="00ED13E0">
            <w:pPr>
              <w:pStyle w:val="ListParagraph"/>
              <w:ind w:left="0"/>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c>
          <w:tcPr>
            <w:tcW w:w="4822" w:type="dxa"/>
          </w:tcPr>
          <w:p w14:paraId="2696092D" w14:textId="77777777" w:rsidR="007B0780" w:rsidRPr="00BA7E12" w:rsidRDefault="007B0780" w:rsidP="00EA7C86">
            <w:pPr>
              <w:rPr>
                <w:rFonts w:asciiTheme="majorHAnsi" w:hAnsiTheme="majorHAnsi"/>
                <w:color w:val="00000A"/>
                <w:sz w:val="20"/>
                <w:szCs w:val="20"/>
              </w:rPr>
            </w:pPr>
          </w:p>
        </w:tc>
        <w:tc>
          <w:tcPr>
            <w:tcW w:w="855" w:type="dxa"/>
          </w:tcPr>
          <w:p w14:paraId="64EABCE4" w14:textId="77777777" w:rsidR="007B0780" w:rsidRPr="00B17741" w:rsidRDefault="007B0780" w:rsidP="002E2F04">
            <w:pPr>
              <w:pStyle w:val="ListParagraph"/>
              <w:ind w:left="360"/>
              <w:rPr>
                <w:rFonts w:asciiTheme="majorHAnsi" w:hAnsiTheme="majorHAnsi"/>
                <w:sz w:val="22"/>
                <w:szCs w:val="22"/>
                <w:highlight w:val="green"/>
              </w:rPr>
            </w:pPr>
          </w:p>
        </w:tc>
      </w:tr>
      <w:tr w:rsidR="006C49F5" w:rsidRPr="00BA7E12" w14:paraId="6E2F1513" w14:textId="77777777" w:rsidTr="00661B03">
        <w:trPr>
          <w:cantSplit/>
          <w:jc w:val="center"/>
        </w:trPr>
        <w:tc>
          <w:tcPr>
            <w:tcW w:w="1444" w:type="dxa"/>
          </w:tcPr>
          <w:p w14:paraId="54FAF2F7" w14:textId="51E6CE3F" w:rsidR="006C49F5" w:rsidRDefault="006C49F5" w:rsidP="0084047B">
            <w:pPr>
              <w:keepNext/>
              <w:rPr>
                <w:rFonts w:asciiTheme="majorHAnsi" w:hAnsiTheme="majorHAnsi"/>
                <w:b/>
                <w:sz w:val="20"/>
                <w:szCs w:val="20"/>
              </w:rPr>
            </w:pPr>
            <w:r>
              <w:rPr>
                <w:rFonts w:asciiTheme="majorHAnsi" w:hAnsiTheme="majorHAnsi"/>
                <w:b/>
                <w:sz w:val="20"/>
                <w:szCs w:val="20"/>
              </w:rPr>
              <w:t>DT C / DT N Transparency</w:t>
            </w:r>
          </w:p>
        </w:tc>
        <w:tc>
          <w:tcPr>
            <w:tcW w:w="4282" w:type="dxa"/>
          </w:tcPr>
          <w:p w14:paraId="3A47E2D8" w14:textId="77777777" w:rsidR="006C49F5" w:rsidRPr="00305B74" w:rsidRDefault="006C49F5" w:rsidP="00FB16F3">
            <w:pPr>
              <w:pStyle w:val="CommentText"/>
              <w:rPr>
                <w:rFonts w:asciiTheme="majorHAnsi" w:hAnsiTheme="majorHAnsi"/>
                <w:sz w:val="20"/>
                <w:szCs w:val="20"/>
                <w:lang w:val="en-GB"/>
              </w:rPr>
            </w:pPr>
          </w:p>
        </w:tc>
        <w:tc>
          <w:tcPr>
            <w:tcW w:w="855" w:type="dxa"/>
          </w:tcPr>
          <w:p w14:paraId="72D64EA2" w14:textId="77777777" w:rsidR="006C49F5" w:rsidRPr="00BA7E12" w:rsidRDefault="006C49F5" w:rsidP="00ED13E0">
            <w:pPr>
              <w:pStyle w:val="ListParagraph"/>
              <w:ind w:left="360"/>
              <w:jc w:val="center"/>
              <w:rPr>
                <w:rFonts w:asciiTheme="majorHAnsi" w:hAnsiTheme="majorHAnsi"/>
                <w:color w:val="00000A"/>
                <w:sz w:val="20"/>
                <w:szCs w:val="20"/>
              </w:rPr>
            </w:pPr>
          </w:p>
        </w:tc>
        <w:tc>
          <w:tcPr>
            <w:tcW w:w="4822" w:type="dxa"/>
          </w:tcPr>
          <w:p w14:paraId="229398B6" w14:textId="7F57445E" w:rsidR="006C49F5" w:rsidRPr="00BA7E12" w:rsidRDefault="006C49F5" w:rsidP="00EA7C86">
            <w:pPr>
              <w:rPr>
                <w:rFonts w:asciiTheme="majorHAnsi" w:hAnsiTheme="majorHAnsi"/>
                <w:color w:val="00000A"/>
                <w:sz w:val="20"/>
                <w:szCs w:val="20"/>
              </w:rPr>
            </w:pPr>
            <w:proofErr w:type="gramStart"/>
            <w:r w:rsidRPr="00BA7E12">
              <w:rPr>
                <w:rFonts w:asciiTheme="majorHAnsi" w:hAnsiTheme="majorHAnsi"/>
                <w:color w:val="00000A"/>
                <w:sz w:val="20"/>
                <w:szCs w:val="20"/>
              </w:rPr>
              <w:t>through</w:t>
            </w:r>
            <w:proofErr w:type="gramEnd"/>
            <w:r w:rsidRPr="00BA7E12">
              <w:rPr>
                <w:rFonts w:asciiTheme="majorHAnsi" w:hAnsiTheme="majorHAnsi"/>
                <w:color w:val="00000A"/>
                <w:sz w:val="20"/>
                <w:szCs w:val="20"/>
              </w:rPr>
              <w:t xml:space="preserve"> clearly stated transparency and openness requirements in founding documents, and by solidifying wider community participation in periodic review processes, including any that would have the potential to change the scope of the CSC’s work.</w:t>
            </w:r>
          </w:p>
        </w:tc>
        <w:tc>
          <w:tcPr>
            <w:tcW w:w="855" w:type="dxa"/>
          </w:tcPr>
          <w:p w14:paraId="13563B56" w14:textId="41505C98" w:rsidR="006C49F5" w:rsidRPr="00BA7E12" w:rsidRDefault="006C49F5" w:rsidP="00ED13E0">
            <w:pPr>
              <w:pStyle w:val="ListParagraph"/>
              <w:ind w:left="0"/>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r>
      <w:tr w:rsidR="00EA7C86" w:rsidRPr="00BA7E12" w14:paraId="6FE71F35" w14:textId="77777777" w:rsidTr="00661B03">
        <w:trPr>
          <w:cantSplit/>
          <w:jc w:val="center"/>
        </w:trPr>
        <w:tc>
          <w:tcPr>
            <w:tcW w:w="1444" w:type="dxa"/>
          </w:tcPr>
          <w:p w14:paraId="42FD1107" w14:textId="01832345" w:rsidR="00EA7C86" w:rsidRDefault="006C49F5">
            <w:pPr>
              <w:rPr>
                <w:rFonts w:asciiTheme="majorHAnsi" w:hAnsiTheme="majorHAnsi"/>
                <w:b/>
                <w:sz w:val="20"/>
                <w:szCs w:val="20"/>
              </w:rPr>
            </w:pPr>
            <w:r>
              <w:rPr>
                <w:rFonts w:asciiTheme="majorHAnsi" w:hAnsiTheme="majorHAnsi"/>
                <w:b/>
                <w:sz w:val="20"/>
                <w:szCs w:val="20"/>
              </w:rPr>
              <w:t>DT C</w:t>
            </w:r>
          </w:p>
          <w:p w14:paraId="227BE612" w14:textId="1EECCCDC" w:rsidR="006C49F5" w:rsidRPr="00BA7E12" w:rsidRDefault="006C49F5">
            <w:pPr>
              <w:rPr>
                <w:rFonts w:asciiTheme="majorHAnsi" w:hAnsiTheme="majorHAnsi"/>
                <w:b/>
                <w:sz w:val="20"/>
                <w:szCs w:val="20"/>
              </w:rPr>
            </w:pPr>
            <w:r>
              <w:rPr>
                <w:rFonts w:asciiTheme="majorHAnsi" w:hAnsiTheme="majorHAnsi"/>
                <w:b/>
                <w:sz w:val="20"/>
                <w:szCs w:val="20"/>
              </w:rPr>
              <w:t>Composition</w:t>
            </w:r>
          </w:p>
        </w:tc>
        <w:tc>
          <w:tcPr>
            <w:tcW w:w="4282" w:type="dxa"/>
            <w:shd w:val="clear" w:color="auto" w:fill="00FF00"/>
          </w:tcPr>
          <w:p w14:paraId="06360D0B" w14:textId="58611FCE" w:rsidR="00EA7C86" w:rsidRPr="00305B74" w:rsidRDefault="00305B74" w:rsidP="006C49F5">
            <w:pPr>
              <w:rPr>
                <w:rFonts w:asciiTheme="majorHAnsi" w:hAnsiTheme="majorHAnsi"/>
                <w:b/>
                <w:sz w:val="20"/>
                <w:szCs w:val="20"/>
              </w:rPr>
            </w:pPr>
            <w:r w:rsidRPr="00305B74">
              <w:rPr>
                <w:rFonts w:asciiTheme="majorHAnsi" w:hAnsiTheme="majorHAnsi"/>
                <w:sz w:val="20"/>
                <w:szCs w:val="20"/>
                <w:lang w:val="en-GB"/>
              </w:rPr>
              <w:t xml:space="preserve">The DUG is intended to represent the direct naming functions customers of IANA and so its membership will be drawn from the </w:t>
            </w:r>
            <w:proofErr w:type="spellStart"/>
            <w:r w:rsidRPr="00305B74">
              <w:rPr>
                <w:rFonts w:asciiTheme="majorHAnsi" w:hAnsiTheme="majorHAnsi"/>
                <w:sz w:val="20"/>
                <w:szCs w:val="20"/>
                <w:lang w:val="en-GB"/>
              </w:rPr>
              <w:t>ccTLD</w:t>
            </w:r>
            <w:proofErr w:type="spellEnd"/>
            <w:r w:rsidRPr="00305B74">
              <w:rPr>
                <w:rFonts w:asciiTheme="majorHAnsi" w:hAnsiTheme="majorHAnsi"/>
                <w:sz w:val="20"/>
                <w:szCs w:val="20"/>
                <w:lang w:val="en-GB"/>
              </w:rPr>
              <w:t xml:space="preserve"> and </w:t>
            </w:r>
            <w:proofErr w:type="spellStart"/>
            <w:r w:rsidRPr="00305B74">
              <w:rPr>
                <w:rFonts w:asciiTheme="majorHAnsi" w:hAnsiTheme="majorHAnsi"/>
                <w:sz w:val="20"/>
                <w:szCs w:val="20"/>
                <w:lang w:val="en-GB"/>
              </w:rPr>
              <w:t>gTLD</w:t>
            </w:r>
            <w:proofErr w:type="spellEnd"/>
            <w:r w:rsidRPr="00305B74">
              <w:rPr>
                <w:rFonts w:asciiTheme="majorHAnsi" w:hAnsiTheme="majorHAnsi"/>
                <w:sz w:val="20"/>
                <w:szCs w:val="20"/>
                <w:lang w:val="en-GB"/>
              </w:rPr>
              <w:t xml:space="preserve"> registry community.</w:t>
            </w:r>
            <w:r w:rsidRPr="00305B74">
              <w:rPr>
                <w:rStyle w:val="FootnoteReference"/>
                <w:rFonts w:asciiTheme="majorHAnsi" w:hAnsiTheme="majorHAnsi"/>
                <w:sz w:val="20"/>
                <w:szCs w:val="20"/>
                <w:lang w:val="en-GB"/>
              </w:rPr>
              <w:footnoteReference w:id="1"/>
            </w:r>
            <w:r w:rsidRPr="00305B74">
              <w:rPr>
                <w:rFonts w:asciiTheme="majorHAnsi" w:hAnsiTheme="majorHAnsi"/>
                <w:sz w:val="20"/>
                <w:szCs w:val="20"/>
                <w:lang w:val="en-GB"/>
              </w:rPr>
              <w:t xml:space="preserve"> </w:t>
            </w:r>
          </w:p>
        </w:tc>
        <w:tc>
          <w:tcPr>
            <w:tcW w:w="855" w:type="dxa"/>
          </w:tcPr>
          <w:p w14:paraId="629F23EE" w14:textId="1DE5A5FB" w:rsidR="00EA7C86" w:rsidRPr="00BA7E12" w:rsidRDefault="007B0780" w:rsidP="00ED13E0">
            <w:pPr>
              <w:pStyle w:val="ListParagraph"/>
              <w:ind w:left="25" w:hanging="25"/>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c>
          <w:tcPr>
            <w:tcW w:w="4822" w:type="dxa"/>
            <w:shd w:val="clear" w:color="auto" w:fill="00FF00"/>
          </w:tcPr>
          <w:p w14:paraId="0E323F80" w14:textId="61F0CC43" w:rsidR="00EA7C86" w:rsidRPr="00BA7E12" w:rsidRDefault="007B0780" w:rsidP="006C49F5">
            <w:pPr>
              <w:rPr>
                <w:rFonts w:asciiTheme="majorHAnsi" w:hAnsiTheme="majorHAnsi"/>
                <w:color w:val="00000A"/>
                <w:sz w:val="20"/>
                <w:szCs w:val="20"/>
              </w:rPr>
            </w:pPr>
            <w:r w:rsidRPr="007B0780">
              <w:rPr>
                <w:rFonts w:asciiTheme="majorHAnsi" w:hAnsiTheme="majorHAnsi"/>
                <w:color w:val="00000A"/>
                <w:sz w:val="20"/>
                <w:szCs w:val="20"/>
              </w:rPr>
              <w:t>This technical experience that is most likely to come from the direct customers of the IANA Functions or technical bodies such as the SSAC or RSSAC.</w:t>
            </w:r>
          </w:p>
        </w:tc>
        <w:tc>
          <w:tcPr>
            <w:tcW w:w="855" w:type="dxa"/>
          </w:tcPr>
          <w:p w14:paraId="38BAC367" w14:textId="0E1D49D4" w:rsidR="00EA7C86" w:rsidRPr="00BA7E12" w:rsidRDefault="007B0780" w:rsidP="00ED13E0">
            <w:pPr>
              <w:pStyle w:val="ListParagraph"/>
              <w:ind w:left="-72"/>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r>
      <w:tr w:rsidR="006C49F5" w:rsidRPr="00BA7E12" w14:paraId="45C7B239" w14:textId="77777777" w:rsidTr="00661B03">
        <w:trPr>
          <w:cantSplit/>
          <w:jc w:val="center"/>
        </w:trPr>
        <w:tc>
          <w:tcPr>
            <w:tcW w:w="1444" w:type="dxa"/>
          </w:tcPr>
          <w:p w14:paraId="69D4B200" w14:textId="1FBD9BE5" w:rsidR="006C49F5" w:rsidRDefault="007B0780">
            <w:pPr>
              <w:rPr>
                <w:rFonts w:asciiTheme="majorHAnsi" w:hAnsiTheme="majorHAnsi"/>
                <w:b/>
                <w:sz w:val="20"/>
                <w:szCs w:val="20"/>
              </w:rPr>
            </w:pPr>
            <w:r>
              <w:rPr>
                <w:rFonts w:asciiTheme="majorHAnsi" w:hAnsiTheme="majorHAnsi"/>
                <w:b/>
                <w:sz w:val="20"/>
                <w:szCs w:val="20"/>
              </w:rPr>
              <w:t xml:space="preserve">DT C </w:t>
            </w:r>
          </w:p>
          <w:p w14:paraId="33BE8163" w14:textId="48125743" w:rsidR="007B0780" w:rsidRDefault="007B0780">
            <w:pPr>
              <w:rPr>
                <w:rFonts w:asciiTheme="majorHAnsi" w:hAnsiTheme="majorHAnsi"/>
                <w:b/>
                <w:sz w:val="20"/>
                <w:szCs w:val="20"/>
              </w:rPr>
            </w:pPr>
            <w:r>
              <w:rPr>
                <w:rFonts w:asciiTheme="majorHAnsi" w:hAnsiTheme="majorHAnsi"/>
                <w:b/>
                <w:sz w:val="20"/>
                <w:szCs w:val="20"/>
              </w:rPr>
              <w:t>Expertise</w:t>
            </w:r>
          </w:p>
        </w:tc>
        <w:tc>
          <w:tcPr>
            <w:tcW w:w="4282" w:type="dxa"/>
            <w:shd w:val="clear" w:color="auto" w:fill="00FF00"/>
          </w:tcPr>
          <w:p w14:paraId="2E767C05" w14:textId="30A5A50C" w:rsidR="006C49F5" w:rsidRPr="00305B74" w:rsidRDefault="006C49F5">
            <w:pPr>
              <w:rPr>
                <w:rFonts w:asciiTheme="majorHAnsi" w:hAnsiTheme="majorHAnsi"/>
                <w:sz w:val="20"/>
                <w:szCs w:val="20"/>
                <w:lang w:val="en-GB"/>
              </w:rPr>
            </w:pPr>
            <w:r w:rsidRPr="00305B74">
              <w:rPr>
                <w:rFonts w:asciiTheme="majorHAnsi" w:hAnsiTheme="majorHAnsi"/>
                <w:sz w:val="20"/>
                <w:szCs w:val="20"/>
                <w:lang w:val="en-GB"/>
              </w:rPr>
              <w:t>Members of the DUG must possess relevant technical experience.</w:t>
            </w:r>
          </w:p>
        </w:tc>
        <w:tc>
          <w:tcPr>
            <w:tcW w:w="855" w:type="dxa"/>
          </w:tcPr>
          <w:p w14:paraId="1280A97B" w14:textId="14A613F9" w:rsidR="006C49F5" w:rsidRPr="00BA7E12" w:rsidRDefault="007B0780" w:rsidP="00ED13E0">
            <w:pPr>
              <w:pStyle w:val="ListParagraph"/>
              <w:ind w:left="0"/>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c>
          <w:tcPr>
            <w:tcW w:w="4822" w:type="dxa"/>
            <w:shd w:val="clear" w:color="auto" w:fill="00FF00"/>
          </w:tcPr>
          <w:p w14:paraId="6CF2891B" w14:textId="4D1C6249" w:rsidR="006C49F5" w:rsidRPr="00BA7E12" w:rsidRDefault="006C49F5" w:rsidP="000F69F1">
            <w:pPr>
              <w:rPr>
                <w:rFonts w:asciiTheme="majorHAnsi" w:hAnsiTheme="majorHAnsi"/>
                <w:color w:val="00000A"/>
                <w:sz w:val="20"/>
                <w:szCs w:val="20"/>
              </w:rPr>
            </w:pPr>
            <w:r w:rsidRPr="00BA7E12">
              <w:rPr>
                <w:rFonts w:asciiTheme="majorHAnsi" w:hAnsiTheme="majorHAnsi"/>
                <w:color w:val="00000A"/>
                <w:sz w:val="20"/>
                <w:szCs w:val="20"/>
              </w:rPr>
              <w:t>It would be critical to identify participants and define composition on the basis of possessing the relevant experience, expertise, and skills to carry out the task at hand.</w:t>
            </w:r>
          </w:p>
        </w:tc>
        <w:tc>
          <w:tcPr>
            <w:tcW w:w="855" w:type="dxa"/>
          </w:tcPr>
          <w:p w14:paraId="2F82BE35" w14:textId="4258F5A6" w:rsidR="006C49F5" w:rsidRPr="00BA7E12" w:rsidRDefault="007B0780" w:rsidP="00ED13E0">
            <w:pPr>
              <w:pStyle w:val="ListParagraph"/>
              <w:ind w:left="18"/>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r>
      <w:tr w:rsidR="006C49F5" w:rsidRPr="00BA7E12" w14:paraId="246F31B2" w14:textId="77777777" w:rsidTr="00661B03">
        <w:trPr>
          <w:cantSplit/>
          <w:jc w:val="center"/>
        </w:trPr>
        <w:tc>
          <w:tcPr>
            <w:tcW w:w="1444" w:type="dxa"/>
          </w:tcPr>
          <w:p w14:paraId="02AA9297" w14:textId="64C657E3" w:rsidR="006C49F5" w:rsidRDefault="007B0780">
            <w:pPr>
              <w:rPr>
                <w:rFonts w:asciiTheme="majorHAnsi" w:hAnsiTheme="majorHAnsi"/>
                <w:b/>
                <w:sz w:val="20"/>
                <w:szCs w:val="20"/>
              </w:rPr>
            </w:pPr>
            <w:r>
              <w:rPr>
                <w:rFonts w:asciiTheme="majorHAnsi" w:hAnsiTheme="majorHAnsi"/>
                <w:b/>
                <w:sz w:val="20"/>
                <w:szCs w:val="20"/>
              </w:rPr>
              <w:t xml:space="preserve">DT C </w:t>
            </w:r>
          </w:p>
          <w:p w14:paraId="024F93D4" w14:textId="28267FAD" w:rsidR="007B0780" w:rsidRDefault="007B0780">
            <w:pPr>
              <w:rPr>
                <w:rFonts w:asciiTheme="majorHAnsi" w:hAnsiTheme="majorHAnsi"/>
                <w:b/>
                <w:sz w:val="20"/>
                <w:szCs w:val="20"/>
              </w:rPr>
            </w:pPr>
            <w:r>
              <w:rPr>
                <w:rFonts w:asciiTheme="majorHAnsi" w:hAnsiTheme="majorHAnsi"/>
                <w:b/>
                <w:sz w:val="20"/>
                <w:szCs w:val="20"/>
              </w:rPr>
              <w:t>Size</w:t>
            </w:r>
          </w:p>
        </w:tc>
        <w:tc>
          <w:tcPr>
            <w:tcW w:w="4282" w:type="dxa"/>
            <w:shd w:val="clear" w:color="auto" w:fill="00FF00"/>
          </w:tcPr>
          <w:p w14:paraId="41E6D9F2" w14:textId="210E07BE" w:rsidR="006C49F5" w:rsidRPr="00305B74" w:rsidRDefault="006C49F5">
            <w:pPr>
              <w:rPr>
                <w:rFonts w:asciiTheme="majorHAnsi" w:hAnsiTheme="majorHAnsi"/>
                <w:sz w:val="20"/>
                <w:szCs w:val="20"/>
                <w:lang w:val="en-GB"/>
              </w:rPr>
            </w:pPr>
            <w:r w:rsidRPr="00305B74">
              <w:rPr>
                <w:rFonts w:asciiTheme="majorHAnsi" w:hAnsiTheme="majorHAnsi"/>
                <w:sz w:val="20"/>
                <w:szCs w:val="20"/>
                <w:lang w:val="en-GB"/>
              </w:rPr>
              <w:t xml:space="preserve">While the structure of the DUG must allow it to be representative of direct stakeholders, its size should not limit its efficiency and responsiveness. As such, a sensible size for the committee would be 8 participants with two or three non-voting liaisons from the technical community.  </w:t>
            </w:r>
          </w:p>
        </w:tc>
        <w:tc>
          <w:tcPr>
            <w:tcW w:w="855" w:type="dxa"/>
          </w:tcPr>
          <w:p w14:paraId="50440004" w14:textId="27C427CB" w:rsidR="006C49F5" w:rsidRPr="00BA7E12" w:rsidRDefault="007B0780" w:rsidP="00ED13E0">
            <w:pPr>
              <w:pStyle w:val="ListParagraph"/>
              <w:ind w:left="0"/>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c>
          <w:tcPr>
            <w:tcW w:w="4822" w:type="dxa"/>
            <w:shd w:val="clear" w:color="auto" w:fill="00FF00"/>
          </w:tcPr>
          <w:p w14:paraId="5BC187E5" w14:textId="6C48D458" w:rsidR="006C49F5" w:rsidRPr="00BA7E12" w:rsidRDefault="006C49F5" w:rsidP="000F69F1">
            <w:pPr>
              <w:rPr>
                <w:rFonts w:asciiTheme="majorHAnsi" w:hAnsiTheme="majorHAnsi"/>
                <w:color w:val="00000A"/>
                <w:sz w:val="20"/>
                <w:szCs w:val="20"/>
              </w:rPr>
            </w:pPr>
            <w:r w:rsidRPr="00BA7E12">
              <w:rPr>
                <w:rFonts w:asciiTheme="majorHAnsi" w:hAnsiTheme="majorHAnsi"/>
                <w:color w:val="00000A"/>
                <w:sz w:val="20"/>
                <w:szCs w:val="20"/>
              </w:rPr>
              <w:t xml:space="preserve">The CSC should be kept small in size and its composition fit-for-purpose. This group could be kept to a minimum two official representatives from the community of </w:t>
            </w:r>
            <w:proofErr w:type="spellStart"/>
            <w:r w:rsidRPr="00BA7E12">
              <w:rPr>
                <w:rFonts w:asciiTheme="majorHAnsi" w:hAnsiTheme="majorHAnsi"/>
                <w:color w:val="00000A"/>
                <w:sz w:val="20"/>
                <w:szCs w:val="20"/>
              </w:rPr>
              <w:t>ccTLD</w:t>
            </w:r>
            <w:proofErr w:type="spellEnd"/>
            <w:r w:rsidRPr="00BA7E12">
              <w:rPr>
                <w:rFonts w:asciiTheme="majorHAnsi" w:hAnsiTheme="majorHAnsi"/>
                <w:color w:val="00000A"/>
                <w:sz w:val="20"/>
                <w:szCs w:val="20"/>
              </w:rPr>
              <w:t xml:space="preserve"> operators and two from the </w:t>
            </w:r>
            <w:proofErr w:type="spellStart"/>
            <w:r w:rsidRPr="00BA7E12">
              <w:rPr>
                <w:rFonts w:asciiTheme="majorHAnsi" w:hAnsiTheme="majorHAnsi"/>
                <w:color w:val="00000A"/>
                <w:sz w:val="20"/>
                <w:szCs w:val="20"/>
              </w:rPr>
              <w:t>gTLD</w:t>
            </w:r>
            <w:proofErr w:type="spellEnd"/>
            <w:r w:rsidRPr="00BA7E12">
              <w:rPr>
                <w:rFonts w:asciiTheme="majorHAnsi" w:hAnsiTheme="majorHAnsi"/>
                <w:color w:val="00000A"/>
                <w:sz w:val="20"/>
                <w:szCs w:val="20"/>
              </w:rPr>
              <w:t xml:space="preserve"> registry operators, and one other representative from the technical community with relevant expertise.</w:t>
            </w:r>
          </w:p>
        </w:tc>
        <w:tc>
          <w:tcPr>
            <w:tcW w:w="855" w:type="dxa"/>
          </w:tcPr>
          <w:p w14:paraId="2A87525B" w14:textId="12491429" w:rsidR="006C49F5" w:rsidRPr="00BA7E12" w:rsidRDefault="0038109A" w:rsidP="00ED13E0">
            <w:pPr>
              <w:pStyle w:val="ListParagraph"/>
              <w:ind w:left="0"/>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r>
      <w:tr w:rsidR="00EA7C86" w:rsidRPr="00BA7E12" w14:paraId="3AEADE52" w14:textId="77777777" w:rsidTr="00661B03">
        <w:trPr>
          <w:cantSplit/>
          <w:jc w:val="center"/>
        </w:trPr>
        <w:tc>
          <w:tcPr>
            <w:tcW w:w="1444" w:type="dxa"/>
          </w:tcPr>
          <w:p w14:paraId="76848D10" w14:textId="5624926D" w:rsidR="00EA7C86" w:rsidRDefault="0038109A">
            <w:pPr>
              <w:rPr>
                <w:rFonts w:asciiTheme="majorHAnsi" w:hAnsiTheme="majorHAnsi"/>
                <w:b/>
                <w:sz w:val="20"/>
                <w:szCs w:val="20"/>
              </w:rPr>
            </w:pPr>
            <w:r>
              <w:rPr>
                <w:rFonts w:asciiTheme="majorHAnsi" w:hAnsiTheme="majorHAnsi"/>
                <w:b/>
                <w:sz w:val="20"/>
                <w:szCs w:val="20"/>
              </w:rPr>
              <w:t xml:space="preserve">DT C </w:t>
            </w:r>
          </w:p>
          <w:p w14:paraId="2CB4BC36" w14:textId="541243ED" w:rsidR="0038109A" w:rsidRPr="00BA7E12" w:rsidRDefault="0038109A">
            <w:pPr>
              <w:rPr>
                <w:rFonts w:asciiTheme="majorHAnsi" w:hAnsiTheme="majorHAnsi"/>
                <w:b/>
                <w:sz w:val="20"/>
                <w:szCs w:val="20"/>
              </w:rPr>
            </w:pPr>
            <w:r>
              <w:rPr>
                <w:rFonts w:asciiTheme="majorHAnsi" w:hAnsiTheme="majorHAnsi"/>
                <w:b/>
                <w:sz w:val="20"/>
                <w:szCs w:val="20"/>
              </w:rPr>
              <w:t>Compensation</w:t>
            </w:r>
          </w:p>
        </w:tc>
        <w:tc>
          <w:tcPr>
            <w:tcW w:w="4282" w:type="dxa"/>
          </w:tcPr>
          <w:p w14:paraId="2CA525B5" w14:textId="77777777" w:rsidR="00EA7C86" w:rsidRPr="00BA7E12" w:rsidRDefault="00EA7C86">
            <w:pPr>
              <w:rPr>
                <w:rFonts w:asciiTheme="majorHAnsi" w:hAnsiTheme="majorHAnsi"/>
                <w:b/>
                <w:sz w:val="20"/>
                <w:szCs w:val="20"/>
              </w:rPr>
            </w:pPr>
          </w:p>
        </w:tc>
        <w:tc>
          <w:tcPr>
            <w:tcW w:w="855" w:type="dxa"/>
          </w:tcPr>
          <w:p w14:paraId="56A44C2C" w14:textId="77777777" w:rsidR="00EA7C86" w:rsidRPr="00BA7E12" w:rsidRDefault="00EA7C86" w:rsidP="00ED13E0">
            <w:pPr>
              <w:pStyle w:val="ListParagraph"/>
              <w:ind w:left="360"/>
              <w:jc w:val="center"/>
              <w:rPr>
                <w:rFonts w:asciiTheme="majorHAnsi" w:hAnsiTheme="majorHAnsi"/>
                <w:color w:val="00000A"/>
                <w:sz w:val="20"/>
                <w:szCs w:val="20"/>
              </w:rPr>
            </w:pPr>
          </w:p>
        </w:tc>
        <w:tc>
          <w:tcPr>
            <w:tcW w:w="4822" w:type="dxa"/>
          </w:tcPr>
          <w:p w14:paraId="780B0F65" w14:textId="48EFCE11" w:rsidR="00EA7C86" w:rsidRPr="00BA7E12" w:rsidRDefault="00EA7C86" w:rsidP="00EA7C86">
            <w:pPr>
              <w:rPr>
                <w:rFonts w:asciiTheme="majorHAnsi" w:hAnsiTheme="majorHAnsi"/>
                <w:color w:val="00000A"/>
                <w:sz w:val="20"/>
                <w:szCs w:val="20"/>
              </w:rPr>
            </w:pPr>
            <w:r w:rsidRPr="00BA7E12">
              <w:rPr>
                <w:rFonts w:asciiTheme="majorHAnsi" w:hAnsiTheme="majorHAnsi"/>
                <w:color w:val="00000A"/>
                <w:sz w:val="20"/>
                <w:szCs w:val="20"/>
              </w:rPr>
              <w:t>CSC membership should be on a volunteer basis and not be compensated</w:t>
            </w:r>
          </w:p>
        </w:tc>
        <w:tc>
          <w:tcPr>
            <w:tcW w:w="855" w:type="dxa"/>
          </w:tcPr>
          <w:p w14:paraId="5B5A869B" w14:textId="1897116F" w:rsidR="00EA7C86" w:rsidRPr="00BA7E12" w:rsidRDefault="0038109A" w:rsidP="002E2F04">
            <w:pPr>
              <w:pStyle w:val="ListParagraph"/>
              <w:ind w:left="360"/>
              <w:rPr>
                <w:rFonts w:asciiTheme="majorHAnsi" w:hAnsiTheme="majorHAnsi"/>
                <w:color w:val="00000A"/>
                <w:sz w:val="20"/>
                <w:szCs w:val="20"/>
              </w:rPr>
            </w:pPr>
            <w:r w:rsidRPr="00B17741">
              <w:rPr>
                <w:rFonts w:asciiTheme="majorHAnsi" w:hAnsiTheme="majorHAnsi"/>
                <w:sz w:val="22"/>
                <w:szCs w:val="22"/>
                <w:highlight w:val="green"/>
              </w:rPr>
              <w:sym w:font="Symbol" w:char="F0D6"/>
            </w:r>
          </w:p>
        </w:tc>
      </w:tr>
      <w:tr w:rsidR="00EA7C86" w:rsidRPr="00BA7E12" w14:paraId="63519B30" w14:textId="77777777" w:rsidTr="00661B03">
        <w:trPr>
          <w:cantSplit/>
          <w:jc w:val="center"/>
        </w:trPr>
        <w:tc>
          <w:tcPr>
            <w:tcW w:w="1444" w:type="dxa"/>
          </w:tcPr>
          <w:p w14:paraId="5BC4BD41" w14:textId="259D3E82" w:rsidR="00EA7C86" w:rsidRDefault="0038109A" w:rsidP="00002776">
            <w:pPr>
              <w:rPr>
                <w:rFonts w:asciiTheme="majorHAnsi" w:hAnsiTheme="majorHAnsi"/>
                <w:b/>
                <w:sz w:val="20"/>
                <w:szCs w:val="20"/>
              </w:rPr>
            </w:pPr>
            <w:r>
              <w:rPr>
                <w:rFonts w:asciiTheme="majorHAnsi" w:hAnsiTheme="majorHAnsi"/>
                <w:b/>
                <w:sz w:val="20"/>
                <w:szCs w:val="20"/>
              </w:rPr>
              <w:t>DT C</w:t>
            </w:r>
          </w:p>
          <w:p w14:paraId="27ADAEF8" w14:textId="1C73B72D" w:rsidR="0038109A" w:rsidRPr="00BA7E12" w:rsidRDefault="0038109A" w:rsidP="00002776">
            <w:pPr>
              <w:rPr>
                <w:rFonts w:asciiTheme="majorHAnsi" w:hAnsiTheme="majorHAnsi"/>
                <w:b/>
                <w:sz w:val="20"/>
                <w:szCs w:val="20"/>
              </w:rPr>
            </w:pPr>
            <w:r>
              <w:rPr>
                <w:rFonts w:asciiTheme="majorHAnsi" w:hAnsiTheme="majorHAnsi"/>
                <w:b/>
                <w:sz w:val="20"/>
                <w:szCs w:val="20"/>
              </w:rPr>
              <w:t>Transparency</w:t>
            </w:r>
          </w:p>
        </w:tc>
        <w:tc>
          <w:tcPr>
            <w:tcW w:w="4282" w:type="dxa"/>
          </w:tcPr>
          <w:p w14:paraId="4D1E3A02" w14:textId="77777777" w:rsidR="00EA7C86" w:rsidRPr="00BA7E12" w:rsidRDefault="00EA7C86" w:rsidP="00002776">
            <w:pPr>
              <w:rPr>
                <w:rFonts w:asciiTheme="majorHAnsi" w:hAnsiTheme="majorHAnsi"/>
                <w:b/>
                <w:sz w:val="20"/>
                <w:szCs w:val="20"/>
              </w:rPr>
            </w:pPr>
          </w:p>
        </w:tc>
        <w:tc>
          <w:tcPr>
            <w:tcW w:w="855" w:type="dxa"/>
          </w:tcPr>
          <w:p w14:paraId="1BA4375F" w14:textId="77777777" w:rsidR="00EA7C86" w:rsidRPr="00BA7E12" w:rsidRDefault="00EA7C86" w:rsidP="00002776">
            <w:pPr>
              <w:pStyle w:val="ListParagraph"/>
              <w:ind w:left="360"/>
              <w:jc w:val="center"/>
              <w:rPr>
                <w:rFonts w:asciiTheme="majorHAnsi" w:hAnsiTheme="majorHAnsi"/>
                <w:color w:val="00000A"/>
                <w:sz w:val="20"/>
                <w:szCs w:val="20"/>
              </w:rPr>
            </w:pPr>
          </w:p>
        </w:tc>
        <w:tc>
          <w:tcPr>
            <w:tcW w:w="4822" w:type="dxa"/>
          </w:tcPr>
          <w:p w14:paraId="7E9C6CB0" w14:textId="77777777" w:rsidR="0038109A" w:rsidRDefault="00EA7C86" w:rsidP="00002776">
            <w:pPr>
              <w:rPr>
                <w:rFonts w:asciiTheme="majorHAnsi" w:hAnsiTheme="majorHAnsi"/>
                <w:color w:val="00000A"/>
                <w:sz w:val="20"/>
                <w:szCs w:val="20"/>
              </w:rPr>
            </w:pPr>
            <w:r w:rsidRPr="00BA7E12">
              <w:rPr>
                <w:rFonts w:asciiTheme="majorHAnsi" w:hAnsiTheme="majorHAnsi"/>
                <w:color w:val="00000A"/>
                <w:sz w:val="20"/>
                <w:szCs w:val="20"/>
              </w:rPr>
              <w:t>The creation of a narrow oversight body could be balanced out with robust provisions for openness and transparency, so as to enable broader multi-stakeholder participation in oversig</w:t>
            </w:r>
            <w:r w:rsidR="0038109A">
              <w:rPr>
                <w:rFonts w:asciiTheme="majorHAnsi" w:hAnsiTheme="majorHAnsi"/>
                <w:color w:val="00000A"/>
                <w:sz w:val="20"/>
                <w:szCs w:val="20"/>
              </w:rPr>
              <w:t xml:space="preserve">ht of the IANA Naming Functions, such as: </w:t>
            </w:r>
          </w:p>
          <w:p w14:paraId="4910241E" w14:textId="77777777" w:rsidR="0038109A" w:rsidRPr="0038109A" w:rsidRDefault="0038109A" w:rsidP="00002776">
            <w:pPr>
              <w:pStyle w:val="ListParagraph"/>
              <w:numPr>
                <w:ilvl w:val="0"/>
                <w:numId w:val="10"/>
              </w:numPr>
              <w:rPr>
                <w:rFonts w:asciiTheme="majorHAnsi" w:hAnsiTheme="majorHAnsi"/>
                <w:color w:val="00000A"/>
                <w:sz w:val="20"/>
                <w:szCs w:val="20"/>
              </w:rPr>
            </w:pPr>
            <w:r w:rsidRPr="0038109A">
              <w:rPr>
                <w:rFonts w:asciiTheme="majorHAnsi" w:hAnsiTheme="majorHAnsi"/>
                <w:color w:val="00000A"/>
                <w:sz w:val="20"/>
                <w:szCs w:val="20"/>
              </w:rPr>
              <w:t xml:space="preserve">Continuing to conduct regularly scheduled independent audits of the performance of the IANA Functions Operator; </w:t>
            </w:r>
          </w:p>
          <w:p w14:paraId="0B46761B" w14:textId="77777777" w:rsidR="0038109A" w:rsidRPr="0038109A" w:rsidRDefault="0038109A" w:rsidP="00002776">
            <w:pPr>
              <w:pStyle w:val="ListParagraph"/>
              <w:numPr>
                <w:ilvl w:val="0"/>
                <w:numId w:val="10"/>
              </w:numPr>
              <w:rPr>
                <w:rFonts w:asciiTheme="majorHAnsi" w:hAnsiTheme="majorHAnsi"/>
                <w:color w:val="00000A"/>
                <w:sz w:val="20"/>
                <w:szCs w:val="20"/>
              </w:rPr>
            </w:pPr>
            <w:r w:rsidRPr="0038109A">
              <w:rPr>
                <w:rFonts w:asciiTheme="majorHAnsi" w:hAnsiTheme="majorHAnsi"/>
                <w:color w:val="00000A"/>
                <w:sz w:val="20"/>
                <w:szCs w:val="20"/>
              </w:rPr>
              <w:t>Making meetings of the CSC open, as appropriate;</w:t>
            </w:r>
          </w:p>
          <w:p w14:paraId="292DB02B" w14:textId="77777777" w:rsidR="0038109A" w:rsidRPr="0038109A" w:rsidRDefault="0038109A" w:rsidP="00002776">
            <w:pPr>
              <w:pStyle w:val="ListParagraph"/>
              <w:numPr>
                <w:ilvl w:val="0"/>
                <w:numId w:val="10"/>
              </w:numPr>
              <w:rPr>
                <w:rFonts w:asciiTheme="majorHAnsi" w:hAnsiTheme="majorHAnsi"/>
                <w:color w:val="00000A"/>
                <w:sz w:val="20"/>
                <w:szCs w:val="20"/>
              </w:rPr>
            </w:pPr>
            <w:r w:rsidRPr="0038109A">
              <w:rPr>
                <w:rFonts w:asciiTheme="majorHAnsi" w:hAnsiTheme="majorHAnsi"/>
                <w:color w:val="00000A"/>
                <w:sz w:val="20"/>
                <w:szCs w:val="20"/>
              </w:rPr>
              <w:t xml:space="preserve">Publishing transcripts and recordings </w:t>
            </w:r>
            <w:proofErr w:type="gramStart"/>
            <w:r w:rsidRPr="0038109A">
              <w:rPr>
                <w:rFonts w:asciiTheme="majorHAnsi" w:hAnsiTheme="majorHAnsi"/>
                <w:color w:val="00000A"/>
                <w:sz w:val="20"/>
                <w:szCs w:val="20"/>
              </w:rPr>
              <w:t>of  CSC</w:t>
            </w:r>
            <w:proofErr w:type="gramEnd"/>
            <w:r w:rsidRPr="0038109A">
              <w:rPr>
                <w:rFonts w:asciiTheme="majorHAnsi" w:hAnsiTheme="majorHAnsi"/>
                <w:color w:val="00000A"/>
                <w:sz w:val="20"/>
                <w:szCs w:val="20"/>
              </w:rPr>
              <w:t xml:space="preserve"> meetings;</w:t>
            </w:r>
          </w:p>
          <w:p w14:paraId="58CC2A9A" w14:textId="77777777" w:rsidR="0038109A" w:rsidRPr="0038109A" w:rsidRDefault="0038109A" w:rsidP="00002776">
            <w:pPr>
              <w:pStyle w:val="ListParagraph"/>
              <w:numPr>
                <w:ilvl w:val="0"/>
                <w:numId w:val="10"/>
              </w:numPr>
              <w:rPr>
                <w:rFonts w:asciiTheme="majorHAnsi" w:hAnsiTheme="majorHAnsi"/>
                <w:color w:val="00000A"/>
                <w:sz w:val="20"/>
                <w:szCs w:val="20"/>
              </w:rPr>
            </w:pPr>
            <w:r w:rsidRPr="0038109A">
              <w:rPr>
                <w:rFonts w:asciiTheme="majorHAnsi" w:hAnsiTheme="majorHAnsi"/>
                <w:color w:val="00000A"/>
                <w:sz w:val="20"/>
                <w:szCs w:val="20"/>
              </w:rPr>
              <w:t>Ensuring that all reporting by the IANA functions operator remains timely and transparent so that any interested party could undertake unofficial monitoring and flag issues;</w:t>
            </w:r>
          </w:p>
          <w:p w14:paraId="2B8B2CA4" w14:textId="77777777" w:rsidR="0038109A" w:rsidRPr="0038109A" w:rsidRDefault="0038109A" w:rsidP="00002776">
            <w:pPr>
              <w:pStyle w:val="ListParagraph"/>
              <w:numPr>
                <w:ilvl w:val="0"/>
                <w:numId w:val="10"/>
              </w:numPr>
              <w:rPr>
                <w:rFonts w:asciiTheme="majorHAnsi" w:hAnsiTheme="majorHAnsi"/>
                <w:color w:val="00000A"/>
                <w:sz w:val="20"/>
                <w:szCs w:val="20"/>
              </w:rPr>
            </w:pPr>
            <w:r w:rsidRPr="0038109A">
              <w:rPr>
                <w:rFonts w:asciiTheme="majorHAnsi" w:hAnsiTheme="majorHAnsi"/>
                <w:color w:val="00000A"/>
                <w:sz w:val="20"/>
                <w:szCs w:val="20"/>
              </w:rPr>
              <w:t xml:space="preserve">Providing public comment periods for any material changes recommended by the CSC; </w:t>
            </w:r>
          </w:p>
          <w:p w14:paraId="153C4920" w14:textId="77777777" w:rsidR="0038109A" w:rsidRPr="0038109A" w:rsidRDefault="0038109A" w:rsidP="00002776">
            <w:pPr>
              <w:pStyle w:val="ListParagraph"/>
              <w:numPr>
                <w:ilvl w:val="0"/>
                <w:numId w:val="10"/>
              </w:numPr>
              <w:rPr>
                <w:rFonts w:asciiTheme="majorHAnsi" w:hAnsiTheme="majorHAnsi"/>
                <w:color w:val="00000A"/>
                <w:sz w:val="20"/>
                <w:szCs w:val="20"/>
              </w:rPr>
            </w:pPr>
            <w:r w:rsidRPr="0038109A">
              <w:rPr>
                <w:rFonts w:asciiTheme="majorHAnsi" w:hAnsiTheme="majorHAnsi"/>
                <w:color w:val="00000A"/>
                <w:sz w:val="20"/>
                <w:szCs w:val="20"/>
              </w:rPr>
              <w:t>Soliciting community participation in any regular review of the IANA function facilitated by the CSC; and</w:t>
            </w:r>
          </w:p>
          <w:p w14:paraId="05ECE66C" w14:textId="02995DA5" w:rsidR="00EA7C86" w:rsidRPr="0038109A" w:rsidRDefault="0038109A" w:rsidP="00002776">
            <w:pPr>
              <w:pStyle w:val="ListParagraph"/>
              <w:numPr>
                <w:ilvl w:val="0"/>
                <w:numId w:val="10"/>
              </w:numPr>
              <w:rPr>
                <w:rFonts w:asciiTheme="majorHAnsi" w:hAnsiTheme="majorHAnsi"/>
                <w:color w:val="00000A"/>
                <w:sz w:val="20"/>
                <w:szCs w:val="20"/>
              </w:rPr>
            </w:pPr>
            <w:r w:rsidRPr="0038109A">
              <w:rPr>
                <w:rFonts w:asciiTheme="majorHAnsi" w:hAnsiTheme="majorHAnsi"/>
                <w:color w:val="00000A"/>
                <w:sz w:val="20"/>
                <w:szCs w:val="20"/>
              </w:rPr>
              <w:t xml:space="preserve">Ensuring that a decision to move the IANA functions was supported by the multi-stakeholder community. </w:t>
            </w:r>
          </w:p>
        </w:tc>
        <w:tc>
          <w:tcPr>
            <w:tcW w:w="855" w:type="dxa"/>
          </w:tcPr>
          <w:p w14:paraId="6C506578" w14:textId="29B04EE5" w:rsidR="00EA7C86" w:rsidRPr="00BA7E12" w:rsidRDefault="0038109A" w:rsidP="00002776">
            <w:pPr>
              <w:pStyle w:val="ListParagraph"/>
              <w:ind w:left="0"/>
              <w:jc w:val="center"/>
              <w:rPr>
                <w:rFonts w:asciiTheme="majorHAnsi" w:hAnsiTheme="majorHAnsi"/>
                <w:color w:val="00000A"/>
                <w:sz w:val="20"/>
                <w:szCs w:val="20"/>
              </w:rPr>
            </w:pPr>
            <w:r w:rsidRPr="00B17741">
              <w:rPr>
                <w:rFonts w:asciiTheme="majorHAnsi" w:hAnsiTheme="majorHAnsi"/>
                <w:sz w:val="22"/>
                <w:szCs w:val="22"/>
                <w:highlight w:val="yellow"/>
              </w:rPr>
              <w:sym w:font="Symbol" w:char="F02A"/>
            </w:r>
          </w:p>
        </w:tc>
      </w:tr>
      <w:tr w:rsidR="00384F17" w:rsidRPr="00BA7E12" w14:paraId="0572E3B5" w14:textId="77777777" w:rsidTr="00661B03">
        <w:trPr>
          <w:cantSplit/>
          <w:jc w:val="center"/>
        </w:trPr>
        <w:tc>
          <w:tcPr>
            <w:tcW w:w="1444" w:type="dxa"/>
          </w:tcPr>
          <w:p w14:paraId="23964F40" w14:textId="586B2270" w:rsidR="00384F17" w:rsidRDefault="00384F17" w:rsidP="00661B03">
            <w:pPr>
              <w:keepNext/>
              <w:rPr>
                <w:rFonts w:asciiTheme="majorHAnsi" w:hAnsiTheme="majorHAnsi"/>
                <w:b/>
                <w:sz w:val="20"/>
                <w:szCs w:val="20"/>
              </w:rPr>
            </w:pPr>
            <w:r>
              <w:rPr>
                <w:rFonts w:asciiTheme="majorHAnsi" w:hAnsiTheme="majorHAnsi"/>
                <w:b/>
                <w:sz w:val="20"/>
                <w:szCs w:val="20"/>
              </w:rPr>
              <w:t>DT C</w:t>
            </w:r>
          </w:p>
          <w:p w14:paraId="03600A94" w14:textId="21151AE0" w:rsidR="00384F17" w:rsidRDefault="00384F17" w:rsidP="00661B03">
            <w:pPr>
              <w:keepNext/>
              <w:rPr>
                <w:rFonts w:asciiTheme="majorHAnsi" w:hAnsiTheme="majorHAnsi"/>
                <w:b/>
                <w:sz w:val="20"/>
                <w:szCs w:val="20"/>
              </w:rPr>
            </w:pPr>
            <w:r>
              <w:rPr>
                <w:rFonts w:asciiTheme="majorHAnsi" w:hAnsiTheme="majorHAnsi"/>
                <w:b/>
                <w:sz w:val="20"/>
                <w:szCs w:val="20"/>
              </w:rPr>
              <w:t>Reporting</w:t>
            </w:r>
          </w:p>
        </w:tc>
        <w:tc>
          <w:tcPr>
            <w:tcW w:w="4282" w:type="dxa"/>
          </w:tcPr>
          <w:p w14:paraId="16827828" w14:textId="0CE5825C" w:rsidR="00384F17" w:rsidRPr="00BA7E12" w:rsidRDefault="00384F17" w:rsidP="00661B03">
            <w:pPr>
              <w:keepNext/>
              <w:rPr>
                <w:rFonts w:asciiTheme="majorHAnsi" w:hAnsiTheme="majorHAnsi"/>
                <w:b/>
                <w:sz w:val="20"/>
                <w:szCs w:val="20"/>
              </w:rPr>
            </w:pPr>
            <w:r w:rsidRPr="00384F17">
              <w:rPr>
                <w:rFonts w:asciiTheme="majorHAnsi" w:hAnsiTheme="majorHAnsi"/>
                <w:color w:val="00000A"/>
                <w:sz w:val="20"/>
                <w:szCs w:val="20"/>
              </w:rPr>
              <w:t>The IFM will develop, and publish, regular performance reports. The DUG will review these against agreed service levels and performance metrics. The DUG can provide advice to the IFM on the type, frequency and content of the reports</w:t>
            </w:r>
            <w:r>
              <w:rPr>
                <w:rFonts w:asciiTheme="majorHAnsi" w:hAnsiTheme="majorHAnsi"/>
                <w:color w:val="00000A"/>
                <w:sz w:val="20"/>
                <w:szCs w:val="20"/>
              </w:rPr>
              <w:t>.</w:t>
            </w:r>
          </w:p>
        </w:tc>
        <w:tc>
          <w:tcPr>
            <w:tcW w:w="855" w:type="dxa"/>
          </w:tcPr>
          <w:p w14:paraId="26484656" w14:textId="2CE31F57" w:rsidR="00384F17" w:rsidRPr="00BA7E12" w:rsidRDefault="00384F17" w:rsidP="00661B03">
            <w:pPr>
              <w:pStyle w:val="ListParagraph"/>
              <w:keepNext/>
              <w:ind w:left="25"/>
              <w:jc w:val="center"/>
              <w:rPr>
                <w:rFonts w:asciiTheme="majorHAnsi" w:hAnsiTheme="majorHAnsi"/>
                <w:color w:val="00000A"/>
                <w:sz w:val="20"/>
                <w:szCs w:val="20"/>
              </w:rPr>
            </w:pPr>
            <w:r w:rsidRPr="00B17741">
              <w:rPr>
                <w:rFonts w:asciiTheme="majorHAnsi" w:hAnsiTheme="majorHAnsi"/>
                <w:sz w:val="22"/>
                <w:szCs w:val="22"/>
                <w:highlight w:val="green"/>
              </w:rPr>
              <w:sym w:font="Symbol" w:char="F0D6"/>
            </w:r>
          </w:p>
        </w:tc>
        <w:tc>
          <w:tcPr>
            <w:tcW w:w="4822" w:type="dxa"/>
          </w:tcPr>
          <w:p w14:paraId="3DBF26BC" w14:textId="77777777" w:rsidR="00384F17" w:rsidRPr="00BA7E12" w:rsidRDefault="00384F17" w:rsidP="00661B03">
            <w:pPr>
              <w:keepNext/>
              <w:rPr>
                <w:rFonts w:asciiTheme="majorHAnsi" w:hAnsiTheme="majorHAnsi"/>
                <w:color w:val="00000A"/>
                <w:sz w:val="20"/>
                <w:szCs w:val="20"/>
              </w:rPr>
            </w:pPr>
          </w:p>
        </w:tc>
        <w:tc>
          <w:tcPr>
            <w:tcW w:w="855" w:type="dxa"/>
          </w:tcPr>
          <w:p w14:paraId="693DDDCD" w14:textId="77777777" w:rsidR="00384F17" w:rsidRPr="00B17741" w:rsidRDefault="00384F17" w:rsidP="00661B03">
            <w:pPr>
              <w:pStyle w:val="ListParagraph"/>
              <w:keepNext/>
              <w:ind w:left="288"/>
              <w:rPr>
                <w:rFonts w:asciiTheme="majorHAnsi" w:hAnsiTheme="majorHAnsi"/>
                <w:sz w:val="22"/>
                <w:szCs w:val="22"/>
                <w:highlight w:val="yellow"/>
              </w:rPr>
            </w:pPr>
          </w:p>
        </w:tc>
      </w:tr>
      <w:tr w:rsidR="007B2EA5" w:rsidRPr="00BA7E12" w14:paraId="7571C8CD" w14:textId="77777777" w:rsidTr="00661B03">
        <w:trPr>
          <w:cantSplit/>
          <w:jc w:val="center"/>
        </w:trPr>
        <w:tc>
          <w:tcPr>
            <w:tcW w:w="1444" w:type="dxa"/>
          </w:tcPr>
          <w:p w14:paraId="194DE56B" w14:textId="5C66F31D" w:rsidR="007B2EA5" w:rsidRDefault="007B2EA5" w:rsidP="00661B03">
            <w:pPr>
              <w:keepNext/>
              <w:rPr>
                <w:rFonts w:asciiTheme="majorHAnsi" w:hAnsiTheme="majorHAnsi"/>
                <w:b/>
                <w:sz w:val="20"/>
                <w:szCs w:val="20"/>
              </w:rPr>
            </w:pPr>
            <w:r>
              <w:rPr>
                <w:rFonts w:asciiTheme="majorHAnsi" w:hAnsiTheme="majorHAnsi"/>
                <w:b/>
                <w:sz w:val="20"/>
                <w:szCs w:val="20"/>
              </w:rPr>
              <w:t>DT C – DT J</w:t>
            </w:r>
          </w:p>
          <w:p w14:paraId="33EAA6DE" w14:textId="7489970B" w:rsidR="007B2EA5" w:rsidRPr="00BA7E12" w:rsidRDefault="007B2EA5" w:rsidP="00661B03">
            <w:pPr>
              <w:keepNext/>
              <w:rPr>
                <w:rFonts w:asciiTheme="majorHAnsi" w:hAnsiTheme="majorHAnsi"/>
                <w:b/>
                <w:sz w:val="20"/>
                <w:szCs w:val="20"/>
              </w:rPr>
            </w:pPr>
            <w:r>
              <w:rPr>
                <w:rFonts w:asciiTheme="majorHAnsi" w:hAnsiTheme="majorHAnsi"/>
                <w:b/>
                <w:sz w:val="20"/>
                <w:szCs w:val="20"/>
              </w:rPr>
              <w:t>Confidentiality</w:t>
            </w:r>
          </w:p>
        </w:tc>
        <w:tc>
          <w:tcPr>
            <w:tcW w:w="4282" w:type="dxa"/>
          </w:tcPr>
          <w:p w14:paraId="4C10514A" w14:textId="5D747655" w:rsidR="007B2EA5" w:rsidRPr="007B2EA5" w:rsidRDefault="007B2EA5" w:rsidP="00661B03">
            <w:pPr>
              <w:keepNext/>
              <w:rPr>
                <w:lang w:val="en-GB"/>
              </w:rPr>
            </w:pPr>
            <w:r w:rsidRPr="007B2EA5">
              <w:rPr>
                <w:rFonts w:asciiTheme="majorHAnsi" w:hAnsiTheme="majorHAnsi"/>
                <w:color w:val="00000A"/>
                <w:sz w:val="20"/>
                <w:szCs w:val="20"/>
              </w:rPr>
              <w:t>Information provided to the DUG regarding such disputes will remain confidential, unless the involved parties agree otherwise.</w:t>
            </w:r>
          </w:p>
        </w:tc>
        <w:tc>
          <w:tcPr>
            <w:tcW w:w="855" w:type="dxa"/>
          </w:tcPr>
          <w:p w14:paraId="290B5807" w14:textId="19CBF23D" w:rsidR="007B2EA5" w:rsidRPr="00BA7E12" w:rsidRDefault="007B2EA5" w:rsidP="00661B03">
            <w:pPr>
              <w:keepNext/>
              <w:jc w:val="center"/>
              <w:rPr>
                <w:rFonts w:asciiTheme="majorHAnsi" w:hAnsiTheme="majorHAnsi"/>
                <w:b/>
                <w:sz w:val="20"/>
                <w:szCs w:val="20"/>
              </w:rPr>
            </w:pPr>
            <w:r w:rsidRPr="00B17741">
              <w:rPr>
                <w:rFonts w:asciiTheme="majorHAnsi" w:hAnsiTheme="majorHAnsi"/>
                <w:sz w:val="22"/>
                <w:szCs w:val="22"/>
                <w:highlight w:val="red"/>
              </w:rPr>
              <w:sym w:font="Symbol" w:char="F044"/>
            </w:r>
          </w:p>
        </w:tc>
        <w:tc>
          <w:tcPr>
            <w:tcW w:w="4822" w:type="dxa"/>
          </w:tcPr>
          <w:p w14:paraId="333CDDB5" w14:textId="77777777" w:rsidR="007B2EA5" w:rsidRPr="00BA7E12" w:rsidRDefault="007B2EA5" w:rsidP="00661B03">
            <w:pPr>
              <w:keepNext/>
              <w:rPr>
                <w:rFonts w:asciiTheme="majorHAnsi" w:hAnsiTheme="majorHAnsi"/>
                <w:b/>
                <w:sz w:val="20"/>
                <w:szCs w:val="20"/>
              </w:rPr>
            </w:pPr>
          </w:p>
        </w:tc>
        <w:tc>
          <w:tcPr>
            <w:tcW w:w="855" w:type="dxa"/>
          </w:tcPr>
          <w:p w14:paraId="41124870" w14:textId="77777777" w:rsidR="007B2EA5" w:rsidRPr="00BA7E12" w:rsidRDefault="007B2EA5" w:rsidP="00661B03">
            <w:pPr>
              <w:keepNext/>
              <w:rPr>
                <w:rFonts w:asciiTheme="majorHAnsi" w:hAnsiTheme="majorHAnsi"/>
                <w:b/>
                <w:sz w:val="20"/>
                <w:szCs w:val="20"/>
              </w:rPr>
            </w:pPr>
          </w:p>
        </w:tc>
      </w:tr>
      <w:tr w:rsidR="002E2F04" w:rsidRPr="00BA7E12" w14:paraId="4D39417B" w14:textId="77777777" w:rsidTr="00661B03">
        <w:trPr>
          <w:cantSplit/>
          <w:jc w:val="center"/>
        </w:trPr>
        <w:tc>
          <w:tcPr>
            <w:tcW w:w="1444" w:type="dxa"/>
          </w:tcPr>
          <w:p w14:paraId="2EBB9017" w14:textId="6C939693" w:rsidR="002E2F04" w:rsidRDefault="002E2F04" w:rsidP="00661B03">
            <w:pPr>
              <w:keepNext/>
              <w:rPr>
                <w:rFonts w:asciiTheme="majorHAnsi" w:hAnsiTheme="majorHAnsi"/>
                <w:b/>
                <w:sz w:val="20"/>
                <w:szCs w:val="20"/>
              </w:rPr>
            </w:pPr>
            <w:r w:rsidRPr="00BA7E12">
              <w:rPr>
                <w:rFonts w:asciiTheme="majorHAnsi" w:hAnsiTheme="majorHAnsi"/>
                <w:b/>
                <w:sz w:val="20"/>
                <w:szCs w:val="20"/>
              </w:rPr>
              <w:t>DT M</w:t>
            </w:r>
            <w:r w:rsidR="00D9435B">
              <w:rPr>
                <w:rFonts w:asciiTheme="majorHAnsi" w:hAnsiTheme="majorHAnsi"/>
                <w:b/>
                <w:sz w:val="20"/>
                <w:szCs w:val="20"/>
              </w:rPr>
              <w:t xml:space="preserve"> </w:t>
            </w:r>
          </w:p>
          <w:p w14:paraId="75414B45" w14:textId="08F7BE05" w:rsidR="00D9435B" w:rsidRPr="00BA7E12" w:rsidRDefault="00D9435B" w:rsidP="00661B03">
            <w:pPr>
              <w:keepNext/>
              <w:rPr>
                <w:rFonts w:asciiTheme="majorHAnsi" w:hAnsiTheme="majorHAnsi"/>
                <w:b/>
                <w:sz w:val="20"/>
                <w:szCs w:val="20"/>
              </w:rPr>
            </w:pPr>
            <w:r>
              <w:rPr>
                <w:rFonts w:asciiTheme="majorHAnsi" w:hAnsiTheme="majorHAnsi"/>
                <w:b/>
                <w:sz w:val="20"/>
                <w:szCs w:val="20"/>
              </w:rPr>
              <w:t>Conditions for Separation</w:t>
            </w:r>
          </w:p>
        </w:tc>
        <w:tc>
          <w:tcPr>
            <w:tcW w:w="4282" w:type="dxa"/>
          </w:tcPr>
          <w:p w14:paraId="64F189C1" w14:textId="3D525524" w:rsidR="002E2F04" w:rsidRPr="00B63D39" w:rsidRDefault="002E2F04" w:rsidP="00661B03">
            <w:pPr>
              <w:keepNext/>
              <w:rPr>
                <w:rFonts w:asciiTheme="majorHAnsi" w:hAnsiTheme="majorHAnsi"/>
                <w:color w:val="00000A"/>
                <w:sz w:val="20"/>
                <w:szCs w:val="20"/>
              </w:rPr>
            </w:pPr>
          </w:p>
        </w:tc>
        <w:tc>
          <w:tcPr>
            <w:tcW w:w="855" w:type="dxa"/>
          </w:tcPr>
          <w:p w14:paraId="213E9C56" w14:textId="25882948" w:rsidR="002E2F04" w:rsidRPr="00BA7E12" w:rsidRDefault="002E2F04" w:rsidP="00661B03">
            <w:pPr>
              <w:keepNext/>
              <w:jc w:val="center"/>
              <w:rPr>
                <w:rFonts w:asciiTheme="majorHAnsi" w:hAnsiTheme="majorHAnsi"/>
                <w:b/>
                <w:sz w:val="20"/>
                <w:szCs w:val="20"/>
              </w:rPr>
            </w:pPr>
          </w:p>
        </w:tc>
        <w:tc>
          <w:tcPr>
            <w:tcW w:w="4822" w:type="dxa"/>
          </w:tcPr>
          <w:p w14:paraId="7A00664E" w14:textId="5C9BBF3E" w:rsidR="002E2F04" w:rsidRPr="00BA7E12" w:rsidRDefault="00BA7E12" w:rsidP="00661B03">
            <w:pPr>
              <w:keepNext/>
              <w:rPr>
                <w:rFonts w:asciiTheme="majorHAnsi" w:hAnsiTheme="majorHAnsi"/>
                <w:color w:val="00000A"/>
                <w:sz w:val="20"/>
                <w:szCs w:val="20"/>
              </w:rPr>
            </w:pPr>
            <w:r w:rsidRPr="00BA7E12">
              <w:rPr>
                <w:rFonts w:asciiTheme="majorHAnsi" w:hAnsiTheme="majorHAnsi"/>
                <w:color w:val="00000A"/>
                <w:sz w:val="20"/>
                <w:szCs w:val="20"/>
              </w:rPr>
              <w:t xml:space="preserve">The conditions for separation should be clearly defined. The community needs to develop a clear process in order to trigger the removal of the functions from under ICANN’s management. Specifically, the functions should not be severed without: 1) the direct agreement of the direct customers of the IANA functions; and 2) in direct response to failures to conduct the IANA operations in a manner acceptable to these direct customers. Further, this can only take place after a pre-existing and comprehensive escalation process allowing ICANN time to remedy poor performance has been exhausted. </w:t>
            </w:r>
          </w:p>
        </w:tc>
        <w:tc>
          <w:tcPr>
            <w:tcW w:w="855" w:type="dxa"/>
          </w:tcPr>
          <w:p w14:paraId="7C61C115" w14:textId="0958B234" w:rsidR="002E2F04" w:rsidRPr="00BA7E12" w:rsidRDefault="007856B8" w:rsidP="00661B03">
            <w:pPr>
              <w:keepNext/>
              <w:jc w:val="center"/>
              <w:rPr>
                <w:rFonts w:asciiTheme="majorHAnsi" w:hAnsiTheme="majorHAnsi"/>
                <w:b/>
                <w:sz w:val="20"/>
                <w:szCs w:val="20"/>
              </w:rPr>
            </w:pPr>
            <w:r w:rsidRPr="00B17741">
              <w:rPr>
                <w:rFonts w:asciiTheme="majorHAnsi" w:hAnsiTheme="majorHAnsi"/>
                <w:sz w:val="22"/>
                <w:szCs w:val="22"/>
                <w:highlight w:val="yellow"/>
              </w:rPr>
              <w:sym w:font="Symbol" w:char="F02A"/>
            </w:r>
          </w:p>
        </w:tc>
      </w:tr>
      <w:tr w:rsidR="00D9435B" w:rsidRPr="00BA7E12" w14:paraId="222DE59A" w14:textId="77777777" w:rsidTr="00661B03">
        <w:trPr>
          <w:cantSplit/>
          <w:jc w:val="center"/>
        </w:trPr>
        <w:tc>
          <w:tcPr>
            <w:tcW w:w="1444" w:type="dxa"/>
          </w:tcPr>
          <w:p w14:paraId="55CDFD71" w14:textId="613E14DA" w:rsidR="00D9435B" w:rsidRDefault="00D9435B" w:rsidP="00B63D39">
            <w:pPr>
              <w:keepNext/>
              <w:rPr>
                <w:rFonts w:asciiTheme="majorHAnsi" w:hAnsiTheme="majorHAnsi"/>
                <w:b/>
                <w:sz w:val="20"/>
                <w:szCs w:val="20"/>
              </w:rPr>
            </w:pPr>
            <w:r>
              <w:rPr>
                <w:rFonts w:asciiTheme="majorHAnsi" w:hAnsiTheme="majorHAnsi"/>
                <w:b/>
                <w:sz w:val="20"/>
                <w:szCs w:val="20"/>
              </w:rPr>
              <w:t>DT M / CCWG</w:t>
            </w:r>
          </w:p>
          <w:p w14:paraId="3BB1BC6C" w14:textId="15F60C59" w:rsidR="00D9435B" w:rsidRPr="00BA7E12" w:rsidRDefault="00D9435B" w:rsidP="00661B03">
            <w:pPr>
              <w:rPr>
                <w:rFonts w:asciiTheme="majorHAnsi" w:hAnsiTheme="majorHAnsi"/>
                <w:b/>
                <w:sz w:val="20"/>
                <w:szCs w:val="20"/>
              </w:rPr>
            </w:pPr>
            <w:r>
              <w:rPr>
                <w:rFonts w:asciiTheme="majorHAnsi" w:hAnsiTheme="majorHAnsi"/>
                <w:b/>
                <w:sz w:val="20"/>
                <w:szCs w:val="20"/>
              </w:rPr>
              <w:t>Assurances</w:t>
            </w:r>
          </w:p>
        </w:tc>
        <w:tc>
          <w:tcPr>
            <w:tcW w:w="4282" w:type="dxa"/>
          </w:tcPr>
          <w:p w14:paraId="1A99241E" w14:textId="077CFE8D" w:rsidR="00D9435B" w:rsidRPr="00B63D39" w:rsidRDefault="00D9435B" w:rsidP="00D9435B">
            <w:pPr>
              <w:rPr>
                <w:rFonts w:asciiTheme="majorHAnsi" w:hAnsiTheme="majorHAnsi"/>
                <w:color w:val="00000A"/>
                <w:sz w:val="20"/>
                <w:szCs w:val="20"/>
              </w:rPr>
            </w:pPr>
            <w:r w:rsidRPr="00B63D39">
              <w:rPr>
                <w:rFonts w:asciiTheme="majorHAnsi" w:hAnsiTheme="majorHAnsi"/>
                <w:color w:val="00000A"/>
                <w:sz w:val="20"/>
                <w:szCs w:val="20"/>
              </w:rPr>
              <w:t>The escalation plan</w:t>
            </w:r>
            <w:r>
              <w:rPr>
                <w:rFonts w:asciiTheme="majorHAnsi" w:hAnsiTheme="majorHAnsi"/>
                <w:color w:val="00000A"/>
                <w:sz w:val="20"/>
                <w:szCs w:val="20"/>
              </w:rPr>
              <w:t xml:space="preserve"> and assurances of powers </w:t>
            </w:r>
            <w:r w:rsidRPr="00B63D39">
              <w:rPr>
                <w:rFonts w:asciiTheme="majorHAnsi" w:hAnsiTheme="majorHAnsi"/>
                <w:color w:val="00000A"/>
                <w:sz w:val="20"/>
                <w:szCs w:val="20"/>
              </w:rPr>
              <w:t xml:space="preserve">in the DUG and SOs and ACs, cannot be overturned or rejected by the ICANN Board. </w:t>
            </w:r>
          </w:p>
          <w:p w14:paraId="284229A1" w14:textId="77777777" w:rsidR="00D9435B" w:rsidRDefault="00D9435B" w:rsidP="00D9435B">
            <w:pPr>
              <w:rPr>
                <w:rFonts w:asciiTheme="majorHAnsi" w:hAnsiTheme="majorHAnsi"/>
                <w:color w:val="00000A"/>
                <w:sz w:val="20"/>
                <w:szCs w:val="20"/>
              </w:rPr>
            </w:pPr>
            <w:r w:rsidRPr="00B63D39">
              <w:rPr>
                <w:rFonts w:asciiTheme="majorHAnsi" w:hAnsiTheme="majorHAnsi"/>
                <w:color w:val="00000A"/>
                <w:sz w:val="20"/>
                <w:szCs w:val="20"/>
              </w:rPr>
              <w:t>A variety of mechanisms that could provide this assurance are currently under consideration by the community. These include the ability to move the IANA function away from ICANN through the establishment of external structures such as a “Contract Co” or internal solutions such as a “Golden Bylaw” amendment and, internal ICANN based accountability mechanisms such a spilling the ICANN Board.</w:t>
            </w:r>
          </w:p>
          <w:p w14:paraId="2C9649FC" w14:textId="000B44CE" w:rsidR="00661B03" w:rsidRPr="00B63D39" w:rsidRDefault="00661B03" w:rsidP="00D9435B">
            <w:pPr>
              <w:rPr>
                <w:rFonts w:asciiTheme="majorHAnsi" w:hAnsiTheme="majorHAnsi"/>
                <w:color w:val="00000A"/>
                <w:sz w:val="20"/>
                <w:szCs w:val="20"/>
              </w:rPr>
            </w:pPr>
          </w:p>
        </w:tc>
        <w:tc>
          <w:tcPr>
            <w:tcW w:w="855" w:type="dxa"/>
          </w:tcPr>
          <w:p w14:paraId="1CA11EB8" w14:textId="73A4810D" w:rsidR="00D9435B" w:rsidRPr="00B17741" w:rsidRDefault="00D9435B" w:rsidP="00ED13E0">
            <w:pPr>
              <w:jc w:val="center"/>
              <w:rPr>
                <w:rFonts w:asciiTheme="majorHAnsi" w:hAnsiTheme="majorHAnsi"/>
                <w:sz w:val="22"/>
                <w:szCs w:val="22"/>
                <w:highlight w:val="yellow"/>
              </w:rPr>
            </w:pPr>
            <w:r w:rsidRPr="00B17741">
              <w:rPr>
                <w:rFonts w:asciiTheme="majorHAnsi" w:hAnsiTheme="majorHAnsi"/>
                <w:sz w:val="22"/>
                <w:szCs w:val="22"/>
                <w:highlight w:val="yellow"/>
              </w:rPr>
              <w:sym w:font="Symbol" w:char="F02A"/>
            </w:r>
          </w:p>
        </w:tc>
        <w:tc>
          <w:tcPr>
            <w:tcW w:w="4822" w:type="dxa"/>
          </w:tcPr>
          <w:p w14:paraId="6C2427F9" w14:textId="77777777" w:rsidR="00D9435B" w:rsidRPr="00BA7E12" w:rsidRDefault="00D9435B" w:rsidP="007856B8">
            <w:pPr>
              <w:rPr>
                <w:rFonts w:asciiTheme="majorHAnsi" w:hAnsiTheme="majorHAnsi"/>
                <w:color w:val="00000A"/>
                <w:sz w:val="20"/>
                <w:szCs w:val="20"/>
              </w:rPr>
            </w:pPr>
          </w:p>
        </w:tc>
        <w:tc>
          <w:tcPr>
            <w:tcW w:w="855" w:type="dxa"/>
          </w:tcPr>
          <w:p w14:paraId="421E5EF6" w14:textId="77777777" w:rsidR="00D9435B" w:rsidRPr="00B17741" w:rsidRDefault="00D9435B" w:rsidP="007856B8">
            <w:pPr>
              <w:jc w:val="center"/>
              <w:rPr>
                <w:rFonts w:asciiTheme="majorHAnsi" w:hAnsiTheme="majorHAnsi"/>
                <w:sz w:val="22"/>
                <w:szCs w:val="22"/>
                <w:highlight w:val="yellow"/>
              </w:rPr>
            </w:pPr>
          </w:p>
        </w:tc>
      </w:tr>
      <w:tr w:rsidR="00305B74" w:rsidRPr="00BA7E12" w14:paraId="68400A88" w14:textId="77777777" w:rsidTr="00661B03">
        <w:trPr>
          <w:jc w:val="center"/>
        </w:trPr>
        <w:tc>
          <w:tcPr>
            <w:tcW w:w="1444" w:type="dxa"/>
          </w:tcPr>
          <w:p w14:paraId="66FEF6CB" w14:textId="2893259D" w:rsidR="00305B74" w:rsidRDefault="00D9435B" w:rsidP="00661B03">
            <w:pPr>
              <w:keepNext/>
              <w:rPr>
                <w:rFonts w:asciiTheme="majorHAnsi" w:hAnsiTheme="majorHAnsi"/>
                <w:b/>
                <w:sz w:val="20"/>
                <w:szCs w:val="20"/>
              </w:rPr>
            </w:pPr>
            <w:r>
              <w:rPr>
                <w:rFonts w:asciiTheme="majorHAnsi" w:hAnsiTheme="majorHAnsi"/>
                <w:b/>
                <w:sz w:val="20"/>
                <w:szCs w:val="20"/>
              </w:rPr>
              <w:t>DT M / DT C</w:t>
            </w:r>
          </w:p>
          <w:p w14:paraId="776DC26E" w14:textId="0B6D7194" w:rsidR="00D9435B" w:rsidRPr="00BA7E12" w:rsidRDefault="00D9435B" w:rsidP="00661B03">
            <w:pPr>
              <w:keepNext/>
              <w:rPr>
                <w:rFonts w:asciiTheme="majorHAnsi" w:hAnsiTheme="majorHAnsi"/>
                <w:b/>
                <w:sz w:val="20"/>
                <w:szCs w:val="20"/>
              </w:rPr>
            </w:pPr>
            <w:r>
              <w:rPr>
                <w:rFonts w:asciiTheme="majorHAnsi" w:hAnsiTheme="majorHAnsi"/>
                <w:b/>
                <w:sz w:val="20"/>
                <w:szCs w:val="20"/>
              </w:rPr>
              <w:t>Escalation</w:t>
            </w:r>
          </w:p>
        </w:tc>
        <w:tc>
          <w:tcPr>
            <w:tcW w:w="4282" w:type="dxa"/>
          </w:tcPr>
          <w:p w14:paraId="7BE0FE36" w14:textId="77777777" w:rsidR="00305B74" w:rsidRPr="00B63D39" w:rsidRDefault="00305B74" w:rsidP="00661B03">
            <w:pPr>
              <w:keepNext/>
              <w:rPr>
                <w:rFonts w:asciiTheme="majorHAnsi" w:hAnsiTheme="majorHAnsi"/>
                <w:color w:val="00000A"/>
                <w:sz w:val="20"/>
                <w:szCs w:val="20"/>
              </w:rPr>
            </w:pPr>
            <w:r w:rsidRPr="00B63D39">
              <w:rPr>
                <w:rFonts w:asciiTheme="majorHAnsi" w:hAnsiTheme="majorHAnsi"/>
                <w:color w:val="00000A"/>
                <w:sz w:val="20"/>
                <w:szCs w:val="20"/>
              </w:rPr>
              <w:t>As noted above, engagement of the DUG will be the first step in dispute escalation, both in instances of individual party disputes and systemic failure.</w:t>
            </w:r>
          </w:p>
          <w:p w14:paraId="018552A9" w14:textId="77777777" w:rsidR="00305B74" w:rsidRPr="00B63D39" w:rsidRDefault="00305B74" w:rsidP="00661B03">
            <w:pPr>
              <w:keepNext/>
              <w:rPr>
                <w:rFonts w:asciiTheme="majorHAnsi" w:hAnsiTheme="majorHAnsi"/>
                <w:color w:val="00000A"/>
                <w:sz w:val="20"/>
                <w:szCs w:val="20"/>
              </w:rPr>
            </w:pPr>
            <w:r w:rsidRPr="00B63D39">
              <w:rPr>
                <w:rFonts w:asciiTheme="majorHAnsi" w:hAnsiTheme="majorHAnsi"/>
                <w:color w:val="00000A"/>
                <w:sz w:val="20"/>
                <w:szCs w:val="20"/>
              </w:rPr>
              <w:t>Individual party dispute</w:t>
            </w:r>
          </w:p>
          <w:p w14:paraId="72C0C661" w14:textId="50973B8C" w:rsidR="00305B74" w:rsidRPr="00B63D39" w:rsidRDefault="00305B74" w:rsidP="00661B03">
            <w:pPr>
              <w:pStyle w:val="ListParagraph"/>
              <w:keepNext/>
              <w:numPr>
                <w:ilvl w:val="0"/>
                <w:numId w:val="5"/>
              </w:numPr>
              <w:rPr>
                <w:rFonts w:asciiTheme="majorHAnsi" w:hAnsiTheme="majorHAnsi"/>
                <w:color w:val="00000A"/>
                <w:sz w:val="20"/>
                <w:szCs w:val="20"/>
              </w:rPr>
            </w:pPr>
            <w:r w:rsidRPr="00B63D39">
              <w:rPr>
                <w:rFonts w:asciiTheme="majorHAnsi" w:hAnsiTheme="majorHAnsi"/>
                <w:color w:val="00000A"/>
                <w:sz w:val="20"/>
                <w:szCs w:val="20"/>
              </w:rPr>
              <w:t>Where a TLD registry operator has a dispute regarding agreed levels of service or performance with the IFM, and the parties have been unable to negotiate a satisfactory outcome, the TLD registry operator may lodge a written complaint with the DUG. The DUG will request a written response from the IFM within 10 working days, will assess the circumstances, and will attempt to facilitate an agreed outcome between the parties. All disputes between the IFM and TLD registry operators will be archived for future reference.</w:t>
            </w:r>
          </w:p>
          <w:p w14:paraId="2C4C51D0" w14:textId="10E6C7E4" w:rsidR="00305B74" w:rsidRPr="00B63D39" w:rsidRDefault="00305B74" w:rsidP="00661B03">
            <w:pPr>
              <w:pStyle w:val="ListParagraph"/>
              <w:keepNext/>
              <w:numPr>
                <w:ilvl w:val="0"/>
                <w:numId w:val="5"/>
              </w:numPr>
              <w:rPr>
                <w:rFonts w:asciiTheme="majorHAnsi" w:hAnsiTheme="majorHAnsi"/>
                <w:color w:val="00000A"/>
                <w:sz w:val="20"/>
                <w:szCs w:val="20"/>
              </w:rPr>
            </w:pPr>
            <w:r w:rsidRPr="00B63D39">
              <w:rPr>
                <w:rFonts w:asciiTheme="majorHAnsi" w:hAnsiTheme="majorHAnsi"/>
                <w:color w:val="00000A"/>
                <w:sz w:val="20"/>
                <w:szCs w:val="20"/>
              </w:rPr>
              <w:t xml:space="preserve">Should this stage of resolution fail, the DUG will engage the services of an external mediator and will provide reports to the mediator on previous attempts at resolution. The IFM will also provide a report to the mediator. If the mediator is able to bring the parties to an agreed outcome, appropriate remedial action will be taken and records of the dispute will be archived. </w:t>
            </w:r>
          </w:p>
          <w:p w14:paraId="06EB57A8" w14:textId="77777777" w:rsidR="00305B74" w:rsidRPr="00B63D39" w:rsidRDefault="00305B74" w:rsidP="00661B03">
            <w:pPr>
              <w:pStyle w:val="ListParagraph"/>
              <w:keepNext/>
              <w:numPr>
                <w:ilvl w:val="0"/>
                <w:numId w:val="5"/>
              </w:numPr>
              <w:rPr>
                <w:rFonts w:asciiTheme="majorHAnsi" w:hAnsiTheme="majorHAnsi"/>
                <w:color w:val="00000A"/>
                <w:sz w:val="20"/>
                <w:szCs w:val="20"/>
              </w:rPr>
            </w:pPr>
            <w:proofErr w:type="gramStart"/>
            <w:r w:rsidRPr="00B63D39">
              <w:rPr>
                <w:rFonts w:asciiTheme="majorHAnsi" w:hAnsiTheme="majorHAnsi"/>
                <w:color w:val="00000A"/>
                <w:sz w:val="20"/>
                <w:szCs w:val="20"/>
              </w:rPr>
              <w:t>Should mediation fail, an Independent Appeals Panel (IAP – see below) will be engaged by the DUG</w:t>
            </w:r>
            <w:proofErr w:type="gramEnd"/>
            <w:r w:rsidRPr="00B63D39">
              <w:rPr>
                <w:rFonts w:asciiTheme="majorHAnsi" w:hAnsiTheme="majorHAnsi"/>
                <w:color w:val="00000A"/>
                <w:sz w:val="20"/>
                <w:szCs w:val="20"/>
              </w:rPr>
              <w:t>. All previous attempts at resolution will be considered. The IAP will take a decision that is binding upon both the TLD registry operator and IFM. The IAP's decision will be binding upon the registry based upon that entity's explicit agreement to enter into the escalation and mediation process outlined above.</w:t>
            </w:r>
            <w:r w:rsidRPr="00B63D39">
              <w:rPr>
                <w:color w:val="00000A"/>
              </w:rPr>
              <w:footnoteReference w:id="2"/>
            </w:r>
          </w:p>
          <w:p w14:paraId="0D8E7943" w14:textId="77777777" w:rsidR="00305B74" w:rsidRPr="00B63D39" w:rsidRDefault="00305B74" w:rsidP="00661B03">
            <w:pPr>
              <w:pStyle w:val="ListParagraph"/>
              <w:keepNext/>
              <w:rPr>
                <w:rFonts w:asciiTheme="majorHAnsi" w:hAnsiTheme="majorHAnsi"/>
                <w:color w:val="00000A"/>
                <w:sz w:val="20"/>
                <w:szCs w:val="20"/>
              </w:rPr>
            </w:pPr>
          </w:p>
          <w:p w14:paraId="2DCEBFC8" w14:textId="77777777" w:rsidR="00305B74" w:rsidRPr="00B63D39" w:rsidRDefault="00305B74" w:rsidP="00661B03">
            <w:pPr>
              <w:keepNext/>
              <w:rPr>
                <w:rFonts w:asciiTheme="majorHAnsi" w:hAnsiTheme="majorHAnsi"/>
                <w:color w:val="00000A"/>
                <w:sz w:val="20"/>
                <w:szCs w:val="20"/>
              </w:rPr>
            </w:pPr>
            <w:r w:rsidRPr="00B63D39">
              <w:rPr>
                <w:rFonts w:asciiTheme="majorHAnsi" w:hAnsiTheme="majorHAnsi"/>
                <w:color w:val="00000A"/>
                <w:sz w:val="20"/>
                <w:szCs w:val="20"/>
              </w:rPr>
              <w:t>“Systemic failure”</w:t>
            </w:r>
          </w:p>
          <w:p w14:paraId="6FA01739" w14:textId="77777777" w:rsidR="00305B74" w:rsidRPr="00B63D39" w:rsidRDefault="00305B74" w:rsidP="00661B03">
            <w:pPr>
              <w:keepNext/>
              <w:rPr>
                <w:rFonts w:asciiTheme="majorHAnsi" w:hAnsiTheme="majorHAnsi"/>
                <w:color w:val="00000A"/>
                <w:sz w:val="20"/>
                <w:szCs w:val="20"/>
              </w:rPr>
            </w:pPr>
            <w:r w:rsidRPr="00B63D39">
              <w:rPr>
                <w:rFonts w:asciiTheme="majorHAnsi" w:hAnsiTheme="majorHAnsi"/>
                <w:color w:val="00000A"/>
                <w:sz w:val="20"/>
                <w:szCs w:val="20"/>
              </w:rPr>
              <w:t>The escalation process for a systemic or critical failure of the IFM regarding agreed levels of service or performance will follow different processes to those associated with a dispute raised by a TLD registry operator.</w:t>
            </w:r>
          </w:p>
          <w:p w14:paraId="1FBF34EA" w14:textId="7042FCFC" w:rsidR="00305B74" w:rsidRPr="00B63D39" w:rsidRDefault="00305B74" w:rsidP="00661B03">
            <w:pPr>
              <w:pStyle w:val="ListParagraph"/>
              <w:keepNext/>
              <w:numPr>
                <w:ilvl w:val="0"/>
                <w:numId w:val="6"/>
              </w:numPr>
              <w:rPr>
                <w:rFonts w:asciiTheme="majorHAnsi" w:hAnsiTheme="majorHAnsi"/>
                <w:color w:val="00000A"/>
                <w:sz w:val="20"/>
                <w:szCs w:val="20"/>
              </w:rPr>
            </w:pPr>
            <w:r w:rsidRPr="00B63D39">
              <w:rPr>
                <w:rFonts w:asciiTheme="majorHAnsi" w:hAnsiTheme="majorHAnsi"/>
                <w:color w:val="00000A"/>
                <w:sz w:val="20"/>
                <w:szCs w:val="20"/>
              </w:rPr>
              <w:t xml:space="preserve">The DUG is empowered to determine a significant or systemic failure of the IFM, either due to the outcome of a periodic audit or the DUG’s evaluation of a rising number of TLD registry operator complaints. </w:t>
            </w:r>
          </w:p>
          <w:p w14:paraId="75C1E6F5" w14:textId="2B1BDB35" w:rsidR="00305B74" w:rsidRPr="00B63D39" w:rsidRDefault="00305B74" w:rsidP="00661B03">
            <w:pPr>
              <w:pStyle w:val="ListParagraph"/>
              <w:keepNext/>
              <w:numPr>
                <w:ilvl w:val="0"/>
                <w:numId w:val="6"/>
              </w:numPr>
              <w:rPr>
                <w:rFonts w:asciiTheme="majorHAnsi" w:hAnsiTheme="majorHAnsi"/>
                <w:color w:val="00000A"/>
                <w:sz w:val="20"/>
                <w:szCs w:val="20"/>
              </w:rPr>
            </w:pPr>
            <w:r w:rsidRPr="00B63D39">
              <w:rPr>
                <w:rFonts w:asciiTheme="majorHAnsi" w:hAnsiTheme="majorHAnsi"/>
                <w:color w:val="00000A"/>
                <w:sz w:val="20"/>
                <w:szCs w:val="20"/>
              </w:rPr>
              <w:t>In the instance of a failure, the DUG will appoint a team of experts, with appropriate technical knowledge, to engage with the IFM to ascertain the problem and its root cause.</w:t>
            </w:r>
          </w:p>
          <w:p w14:paraId="10B93244" w14:textId="066F1BF2" w:rsidR="00305B74" w:rsidRPr="00B63D39" w:rsidRDefault="00305B74" w:rsidP="00661B03">
            <w:pPr>
              <w:pStyle w:val="ListParagraph"/>
              <w:keepNext/>
              <w:numPr>
                <w:ilvl w:val="0"/>
                <w:numId w:val="6"/>
              </w:numPr>
              <w:rPr>
                <w:rFonts w:asciiTheme="majorHAnsi" w:hAnsiTheme="majorHAnsi"/>
                <w:color w:val="00000A"/>
                <w:sz w:val="20"/>
                <w:szCs w:val="20"/>
              </w:rPr>
            </w:pPr>
            <w:r w:rsidRPr="00B63D39">
              <w:rPr>
                <w:rFonts w:asciiTheme="majorHAnsi" w:hAnsiTheme="majorHAnsi"/>
                <w:color w:val="00000A"/>
                <w:sz w:val="20"/>
                <w:szCs w:val="20"/>
              </w:rPr>
              <w:t xml:space="preserve">The DUG and its technical experts will discuss planned remediation with the IFM and work with the IFM to complete the remediation. </w:t>
            </w:r>
          </w:p>
          <w:p w14:paraId="03521815" w14:textId="4BCE8A49" w:rsidR="00305B74" w:rsidRPr="00B63D39" w:rsidRDefault="00305B74" w:rsidP="00661B03">
            <w:pPr>
              <w:pStyle w:val="ListParagraph"/>
              <w:keepNext/>
              <w:numPr>
                <w:ilvl w:val="0"/>
                <w:numId w:val="6"/>
              </w:numPr>
              <w:rPr>
                <w:rFonts w:asciiTheme="majorHAnsi" w:hAnsiTheme="majorHAnsi"/>
                <w:color w:val="00000A"/>
                <w:sz w:val="20"/>
                <w:szCs w:val="20"/>
              </w:rPr>
            </w:pPr>
            <w:r w:rsidRPr="00B63D39">
              <w:rPr>
                <w:rFonts w:asciiTheme="majorHAnsi" w:hAnsiTheme="majorHAnsi"/>
                <w:color w:val="00000A"/>
                <w:sz w:val="20"/>
                <w:szCs w:val="20"/>
              </w:rPr>
              <w:t xml:space="preserve">The DUG-appointed experts will then advise on whether the issue is deemed a critical or systemic failure. If this determination is made, further escalation steps will be taken to ensure necessary </w:t>
            </w:r>
            <w:proofErr w:type="gramStart"/>
            <w:r w:rsidRPr="00B63D39">
              <w:rPr>
                <w:rFonts w:asciiTheme="majorHAnsi" w:hAnsiTheme="majorHAnsi"/>
                <w:color w:val="00000A"/>
                <w:sz w:val="20"/>
                <w:szCs w:val="20"/>
              </w:rPr>
              <w:t>long term</w:t>
            </w:r>
            <w:proofErr w:type="gramEnd"/>
            <w:r w:rsidRPr="00B63D39">
              <w:rPr>
                <w:rFonts w:asciiTheme="majorHAnsi" w:hAnsiTheme="majorHAnsi"/>
                <w:color w:val="00000A"/>
                <w:sz w:val="20"/>
                <w:szCs w:val="20"/>
              </w:rPr>
              <w:t xml:space="preserve"> changes are implemented.</w:t>
            </w:r>
          </w:p>
          <w:p w14:paraId="69EAA255" w14:textId="67A60557" w:rsidR="00305B74" w:rsidRPr="00B63D39" w:rsidRDefault="00305B74" w:rsidP="00661B03">
            <w:pPr>
              <w:pStyle w:val="ListParagraph"/>
              <w:keepNext/>
              <w:numPr>
                <w:ilvl w:val="0"/>
                <w:numId w:val="6"/>
              </w:numPr>
              <w:rPr>
                <w:rFonts w:asciiTheme="majorHAnsi" w:hAnsiTheme="majorHAnsi"/>
                <w:color w:val="00000A"/>
                <w:sz w:val="20"/>
                <w:szCs w:val="20"/>
              </w:rPr>
            </w:pPr>
            <w:r w:rsidRPr="00B63D39">
              <w:rPr>
                <w:rFonts w:asciiTheme="majorHAnsi" w:hAnsiTheme="majorHAnsi"/>
                <w:color w:val="00000A"/>
                <w:sz w:val="20"/>
                <w:szCs w:val="20"/>
              </w:rPr>
              <w:t>Should this stage of resolution fail, the DUG will engage the services of an external mediator and will provide reports to the mediator on previous attempts at resolution. If the mediator is able to bring the parties to an agreement, appropriate remedial action will be taken and records of the dispute will be archived.</w:t>
            </w:r>
          </w:p>
          <w:p w14:paraId="48C8E561" w14:textId="2E2CDB5A" w:rsidR="00305B74" w:rsidRPr="00B63D39" w:rsidRDefault="00305B74" w:rsidP="00661B03">
            <w:pPr>
              <w:pStyle w:val="ListParagraph"/>
              <w:keepNext/>
              <w:numPr>
                <w:ilvl w:val="0"/>
                <w:numId w:val="6"/>
              </w:numPr>
              <w:rPr>
                <w:rFonts w:asciiTheme="majorHAnsi" w:hAnsiTheme="majorHAnsi"/>
                <w:color w:val="00000A"/>
                <w:sz w:val="20"/>
                <w:szCs w:val="20"/>
              </w:rPr>
            </w:pPr>
            <w:proofErr w:type="gramStart"/>
            <w:r w:rsidRPr="00B63D39">
              <w:rPr>
                <w:rFonts w:asciiTheme="majorHAnsi" w:hAnsiTheme="majorHAnsi"/>
                <w:color w:val="00000A"/>
                <w:sz w:val="20"/>
                <w:szCs w:val="20"/>
              </w:rPr>
              <w:t>Should mediation fail, an Independent Appeals Panel (IAP – see below) will be engaged by the DUG</w:t>
            </w:r>
            <w:proofErr w:type="gramEnd"/>
            <w:r w:rsidRPr="00B63D39">
              <w:rPr>
                <w:rFonts w:asciiTheme="majorHAnsi" w:hAnsiTheme="majorHAnsi"/>
                <w:color w:val="00000A"/>
                <w:sz w:val="20"/>
                <w:szCs w:val="20"/>
              </w:rPr>
              <w:t xml:space="preserve">. All previous attempts at resolution will be considered. The IAP will take a decision that is binding upon the TLD registry operator (where applicable), DUG and IFM. </w:t>
            </w:r>
          </w:p>
        </w:tc>
        <w:tc>
          <w:tcPr>
            <w:tcW w:w="855" w:type="dxa"/>
          </w:tcPr>
          <w:p w14:paraId="5E1497F9" w14:textId="158BA059" w:rsidR="00305B74" w:rsidRPr="00BA7E12" w:rsidRDefault="00D9435B" w:rsidP="00661B03">
            <w:pPr>
              <w:keepNext/>
              <w:jc w:val="center"/>
              <w:rPr>
                <w:rFonts w:asciiTheme="majorHAnsi" w:hAnsiTheme="majorHAnsi"/>
                <w:b/>
                <w:sz w:val="20"/>
                <w:szCs w:val="20"/>
              </w:rPr>
            </w:pPr>
            <w:r w:rsidRPr="00B17741">
              <w:rPr>
                <w:rFonts w:asciiTheme="majorHAnsi" w:hAnsiTheme="majorHAnsi"/>
                <w:sz w:val="22"/>
                <w:szCs w:val="22"/>
                <w:highlight w:val="green"/>
              </w:rPr>
              <w:sym w:font="Symbol" w:char="F0D6"/>
            </w:r>
          </w:p>
        </w:tc>
        <w:tc>
          <w:tcPr>
            <w:tcW w:w="4822" w:type="dxa"/>
          </w:tcPr>
          <w:p w14:paraId="57170E36" w14:textId="77777777" w:rsidR="00305B74" w:rsidRPr="00BA7E12" w:rsidRDefault="00305B74" w:rsidP="00661B03">
            <w:pPr>
              <w:keepNext/>
              <w:rPr>
                <w:rFonts w:asciiTheme="majorHAnsi" w:hAnsiTheme="majorHAnsi"/>
                <w:color w:val="00000A"/>
                <w:sz w:val="20"/>
                <w:szCs w:val="20"/>
              </w:rPr>
            </w:pPr>
          </w:p>
        </w:tc>
        <w:tc>
          <w:tcPr>
            <w:tcW w:w="855" w:type="dxa"/>
          </w:tcPr>
          <w:p w14:paraId="2A8916E5" w14:textId="77777777" w:rsidR="00305B74" w:rsidRPr="00BA7E12" w:rsidRDefault="00305B74" w:rsidP="00661B03">
            <w:pPr>
              <w:keepNext/>
              <w:rPr>
                <w:rFonts w:asciiTheme="majorHAnsi" w:hAnsiTheme="majorHAnsi"/>
                <w:b/>
                <w:sz w:val="20"/>
                <w:szCs w:val="20"/>
              </w:rPr>
            </w:pPr>
          </w:p>
        </w:tc>
      </w:tr>
      <w:tr w:rsidR="001812B7" w:rsidRPr="00BA7E12" w14:paraId="348186E1" w14:textId="77777777" w:rsidTr="00661B03">
        <w:trPr>
          <w:cantSplit/>
          <w:jc w:val="center"/>
        </w:trPr>
        <w:tc>
          <w:tcPr>
            <w:tcW w:w="1444" w:type="dxa"/>
          </w:tcPr>
          <w:p w14:paraId="47201AD3" w14:textId="35B1F821" w:rsidR="001812B7" w:rsidRDefault="001A05E9" w:rsidP="001812B7">
            <w:pPr>
              <w:rPr>
                <w:rFonts w:asciiTheme="majorHAnsi" w:hAnsiTheme="majorHAnsi"/>
                <w:b/>
                <w:sz w:val="20"/>
                <w:szCs w:val="20"/>
              </w:rPr>
            </w:pPr>
            <w:r>
              <w:rPr>
                <w:rFonts w:asciiTheme="majorHAnsi" w:hAnsiTheme="majorHAnsi"/>
                <w:b/>
                <w:sz w:val="20"/>
                <w:szCs w:val="20"/>
              </w:rPr>
              <w:t>DT N</w:t>
            </w:r>
          </w:p>
          <w:p w14:paraId="794BE97A" w14:textId="0788DDE9" w:rsidR="001A05E9" w:rsidRDefault="001A05E9" w:rsidP="001812B7">
            <w:pPr>
              <w:rPr>
                <w:rFonts w:asciiTheme="majorHAnsi" w:hAnsiTheme="majorHAnsi"/>
                <w:b/>
                <w:sz w:val="20"/>
                <w:szCs w:val="20"/>
              </w:rPr>
            </w:pPr>
            <w:r>
              <w:rPr>
                <w:rFonts w:asciiTheme="majorHAnsi" w:hAnsiTheme="majorHAnsi"/>
                <w:b/>
                <w:sz w:val="20"/>
                <w:szCs w:val="20"/>
              </w:rPr>
              <w:t>Need for periodic review</w:t>
            </w:r>
          </w:p>
        </w:tc>
        <w:tc>
          <w:tcPr>
            <w:tcW w:w="4282" w:type="dxa"/>
            <w:shd w:val="clear" w:color="auto" w:fill="00FF00"/>
          </w:tcPr>
          <w:p w14:paraId="7048EF3E" w14:textId="682043D9" w:rsidR="001812B7" w:rsidRPr="00DB48F9" w:rsidRDefault="001812B7" w:rsidP="001812B7">
            <w:pPr>
              <w:rPr>
                <w:rFonts w:asciiTheme="majorHAnsi" w:hAnsiTheme="majorHAnsi"/>
                <w:sz w:val="20"/>
                <w:szCs w:val="20"/>
                <w:lang w:val="en-GB"/>
              </w:rPr>
            </w:pPr>
            <w:proofErr w:type="gramStart"/>
            <w:r w:rsidRPr="00DB48F9">
              <w:rPr>
                <w:rFonts w:asciiTheme="majorHAnsi" w:hAnsiTheme="majorHAnsi"/>
                <w:sz w:val="20"/>
                <w:szCs w:val="20"/>
                <w:lang w:val="en-GB"/>
              </w:rPr>
              <w:t>in</w:t>
            </w:r>
            <w:proofErr w:type="gramEnd"/>
            <w:r w:rsidRPr="00DB48F9">
              <w:rPr>
                <w:rFonts w:asciiTheme="majorHAnsi" w:hAnsiTheme="majorHAnsi"/>
                <w:sz w:val="20"/>
                <w:szCs w:val="20"/>
                <w:lang w:val="en-GB"/>
              </w:rPr>
              <w:t xml:space="preserve"> order to conduct significant, scheduled reviews of the performance of IANA's naming function</w:t>
            </w:r>
          </w:p>
        </w:tc>
        <w:tc>
          <w:tcPr>
            <w:tcW w:w="855" w:type="dxa"/>
          </w:tcPr>
          <w:p w14:paraId="390F1C87" w14:textId="21068EB9" w:rsidR="001812B7" w:rsidRPr="00B17741" w:rsidRDefault="001A05E9" w:rsidP="00ED13E0">
            <w:pPr>
              <w:pStyle w:val="ListParagraph"/>
              <w:ind w:left="25"/>
              <w:jc w:val="center"/>
              <w:rPr>
                <w:rFonts w:asciiTheme="majorHAnsi" w:hAnsiTheme="majorHAnsi"/>
                <w:sz w:val="22"/>
                <w:szCs w:val="22"/>
                <w:highlight w:val="red"/>
              </w:rPr>
            </w:pPr>
            <w:r w:rsidRPr="00B17741">
              <w:rPr>
                <w:rFonts w:asciiTheme="majorHAnsi" w:hAnsiTheme="majorHAnsi"/>
                <w:sz w:val="22"/>
                <w:szCs w:val="22"/>
                <w:highlight w:val="green"/>
              </w:rPr>
              <w:sym w:font="Symbol" w:char="F0D6"/>
            </w:r>
          </w:p>
        </w:tc>
        <w:tc>
          <w:tcPr>
            <w:tcW w:w="4822" w:type="dxa"/>
            <w:shd w:val="clear" w:color="auto" w:fill="00FF00"/>
          </w:tcPr>
          <w:p w14:paraId="400EFBA2" w14:textId="4110EEB0" w:rsidR="00661B03" w:rsidRDefault="001812B7" w:rsidP="001812B7">
            <w:pPr>
              <w:rPr>
                <w:rFonts w:asciiTheme="majorHAnsi" w:hAnsiTheme="majorHAnsi"/>
                <w:color w:val="00000A"/>
                <w:sz w:val="20"/>
                <w:szCs w:val="20"/>
              </w:rPr>
            </w:pPr>
            <w:r w:rsidRPr="001812B7">
              <w:rPr>
                <w:rFonts w:asciiTheme="majorHAnsi" w:hAnsiTheme="majorHAnsi"/>
                <w:color w:val="00000A"/>
                <w:sz w:val="20"/>
                <w:szCs w:val="20"/>
              </w:rPr>
              <w:t xml:space="preserve">As registries, we believe it fundamental that any </w:t>
            </w:r>
            <w:proofErr w:type="gramStart"/>
            <w:r w:rsidRPr="001812B7">
              <w:rPr>
                <w:rFonts w:asciiTheme="majorHAnsi" w:hAnsiTheme="majorHAnsi"/>
                <w:color w:val="00000A"/>
                <w:sz w:val="20"/>
                <w:szCs w:val="20"/>
              </w:rPr>
              <w:t>proposal provide</w:t>
            </w:r>
            <w:proofErr w:type="gramEnd"/>
            <w:r w:rsidRPr="001812B7">
              <w:rPr>
                <w:rFonts w:asciiTheme="majorHAnsi" w:hAnsiTheme="majorHAnsi"/>
                <w:color w:val="00000A"/>
                <w:sz w:val="20"/>
                <w:szCs w:val="20"/>
              </w:rPr>
              <w:t xml:space="preserve"> for opportunities to improve the performance of the IANA functions, as well as to review key aspects of the proposed oversight structure, as needed.</w:t>
            </w:r>
            <w:r w:rsidR="00661B03">
              <w:rPr>
                <w:rFonts w:asciiTheme="majorHAnsi" w:hAnsiTheme="majorHAnsi"/>
                <w:color w:val="00000A"/>
                <w:sz w:val="20"/>
                <w:szCs w:val="20"/>
              </w:rPr>
              <w:t xml:space="preserve"> (…)</w:t>
            </w:r>
          </w:p>
          <w:p w14:paraId="13C63C64" w14:textId="19D8516B" w:rsidR="00661B03" w:rsidRPr="001812B7" w:rsidRDefault="00661B03" w:rsidP="001812B7">
            <w:pPr>
              <w:rPr>
                <w:rFonts w:asciiTheme="majorHAnsi" w:hAnsiTheme="majorHAnsi"/>
                <w:color w:val="00000A"/>
                <w:sz w:val="20"/>
                <w:szCs w:val="20"/>
              </w:rPr>
            </w:pPr>
            <w:r w:rsidRPr="00BA7E12">
              <w:rPr>
                <w:rFonts w:asciiTheme="majorHAnsi" w:hAnsiTheme="majorHAnsi"/>
                <w:color w:val="00000A"/>
                <w:sz w:val="20"/>
                <w:szCs w:val="20"/>
              </w:rPr>
              <w:t>These could include the requirement for regularly scheduled reviews of the performance</w:t>
            </w:r>
            <w:r>
              <w:rPr>
                <w:rFonts w:asciiTheme="majorHAnsi" w:hAnsiTheme="majorHAnsi"/>
                <w:color w:val="00000A"/>
                <w:sz w:val="20"/>
                <w:szCs w:val="20"/>
              </w:rPr>
              <w:t xml:space="preserve"> of the IANA Naming Functions</w:t>
            </w:r>
          </w:p>
        </w:tc>
        <w:tc>
          <w:tcPr>
            <w:tcW w:w="855" w:type="dxa"/>
          </w:tcPr>
          <w:p w14:paraId="37077789" w14:textId="0CB1912B" w:rsidR="001812B7" w:rsidRPr="00B17741" w:rsidRDefault="001812B7" w:rsidP="00ED13E0">
            <w:pPr>
              <w:pStyle w:val="ListParagraph"/>
              <w:ind w:left="-72"/>
              <w:jc w:val="center"/>
              <w:rPr>
                <w:rFonts w:asciiTheme="majorHAnsi" w:hAnsiTheme="majorHAnsi"/>
                <w:sz w:val="22"/>
                <w:szCs w:val="22"/>
                <w:highlight w:val="green"/>
              </w:rPr>
            </w:pPr>
            <w:r w:rsidRPr="00B17741">
              <w:rPr>
                <w:rFonts w:asciiTheme="majorHAnsi" w:hAnsiTheme="majorHAnsi"/>
                <w:sz w:val="22"/>
                <w:szCs w:val="22"/>
                <w:highlight w:val="green"/>
              </w:rPr>
              <w:sym w:font="Symbol" w:char="F0D6"/>
            </w:r>
          </w:p>
        </w:tc>
      </w:tr>
      <w:tr w:rsidR="00661B03" w:rsidRPr="00BA7E12" w14:paraId="2EC8E231" w14:textId="77777777" w:rsidTr="00661B03">
        <w:trPr>
          <w:cantSplit/>
          <w:jc w:val="center"/>
        </w:trPr>
        <w:tc>
          <w:tcPr>
            <w:tcW w:w="1444" w:type="dxa"/>
          </w:tcPr>
          <w:p w14:paraId="7862D305" w14:textId="02466CF1" w:rsidR="00661B03" w:rsidRDefault="00661B03" w:rsidP="001812B7">
            <w:pPr>
              <w:rPr>
                <w:rFonts w:asciiTheme="majorHAnsi" w:hAnsiTheme="majorHAnsi"/>
                <w:b/>
                <w:sz w:val="20"/>
                <w:szCs w:val="20"/>
              </w:rPr>
            </w:pPr>
            <w:r>
              <w:rPr>
                <w:rFonts w:asciiTheme="majorHAnsi" w:hAnsiTheme="majorHAnsi"/>
                <w:b/>
                <w:sz w:val="20"/>
                <w:szCs w:val="20"/>
              </w:rPr>
              <w:t>DT N</w:t>
            </w:r>
          </w:p>
          <w:p w14:paraId="11F6D60B" w14:textId="0F2B94E9" w:rsidR="00661B03" w:rsidRDefault="00661B03" w:rsidP="00661B03">
            <w:pPr>
              <w:rPr>
                <w:rFonts w:asciiTheme="majorHAnsi" w:hAnsiTheme="majorHAnsi"/>
                <w:b/>
                <w:sz w:val="20"/>
                <w:szCs w:val="20"/>
              </w:rPr>
            </w:pPr>
            <w:r>
              <w:rPr>
                <w:rFonts w:asciiTheme="majorHAnsi" w:hAnsiTheme="majorHAnsi"/>
                <w:b/>
                <w:sz w:val="20"/>
                <w:szCs w:val="20"/>
              </w:rPr>
              <w:t>Implement Recs</w:t>
            </w:r>
          </w:p>
        </w:tc>
        <w:tc>
          <w:tcPr>
            <w:tcW w:w="4282" w:type="dxa"/>
          </w:tcPr>
          <w:p w14:paraId="457E135A" w14:textId="77777777" w:rsidR="00661B03" w:rsidRPr="00DB48F9" w:rsidRDefault="00661B03" w:rsidP="001812B7">
            <w:pPr>
              <w:rPr>
                <w:rFonts w:asciiTheme="majorHAnsi" w:hAnsiTheme="majorHAnsi"/>
                <w:sz w:val="20"/>
                <w:szCs w:val="20"/>
                <w:lang w:val="en-GB"/>
              </w:rPr>
            </w:pPr>
          </w:p>
        </w:tc>
        <w:tc>
          <w:tcPr>
            <w:tcW w:w="855" w:type="dxa"/>
          </w:tcPr>
          <w:p w14:paraId="10B935BF" w14:textId="77777777" w:rsidR="00661B03" w:rsidRPr="00B17741" w:rsidRDefault="00661B03" w:rsidP="00ED13E0">
            <w:pPr>
              <w:pStyle w:val="ListParagraph"/>
              <w:ind w:left="0"/>
              <w:jc w:val="center"/>
              <w:rPr>
                <w:rFonts w:asciiTheme="majorHAnsi" w:hAnsiTheme="majorHAnsi"/>
                <w:sz w:val="22"/>
                <w:szCs w:val="22"/>
                <w:highlight w:val="red"/>
              </w:rPr>
            </w:pPr>
          </w:p>
        </w:tc>
        <w:tc>
          <w:tcPr>
            <w:tcW w:w="4822" w:type="dxa"/>
          </w:tcPr>
          <w:p w14:paraId="2C4F8FE5" w14:textId="41A1BAB7" w:rsidR="00661B03" w:rsidRPr="00BA7E12" w:rsidRDefault="00661B03" w:rsidP="001812B7">
            <w:pPr>
              <w:rPr>
                <w:rFonts w:asciiTheme="majorHAnsi" w:hAnsiTheme="majorHAnsi"/>
                <w:color w:val="00000A"/>
                <w:sz w:val="20"/>
                <w:szCs w:val="20"/>
              </w:rPr>
            </w:pPr>
            <w:r w:rsidRPr="00BA7E12">
              <w:rPr>
                <w:rFonts w:asciiTheme="majorHAnsi" w:hAnsiTheme="majorHAnsi"/>
                <w:color w:val="00000A"/>
                <w:sz w:val="20"/>
                <w:szCs w:val="20"/>
              </w:rPr>
              <w:t>It could also include a requirement that the IANA Functions Operator would implement recommendations supported by a critical mass of the registry community provided that they were within scope.</w:t>
            </w:r>
          </w:p>
        </w:tc>
        <w:tc>
          <w:tcPr>
            <w:tcW w:w="855" w:type="dxa"/>
          </w:tcPr>
          <w:p w14:paraId="034FFDD1" w14:textId="1D80FC7C" w:rsidR="00661B03" w:rsidRPr="00BA7E12" w:rsidRDefault="00661B03" w:rsidP="00661B03">
            <w:pPr>
              <w:pStyle w:val="ListParagraph"/>
              <w:ind w:left="0" w:firstLine="18"/>
              <w:jc w:val="center"/>
              <w:rPr>
                <w:rFonts w:asciiTheme="majorHAnsi" w:hAnsiTheme="majorHAnsi"/>
                <w:color w:val="00000A"/>
                <w:sz w:val="20"/>
                <w:szCs w:val="20"/>
              </w:rPr>
            </w:pPr>
            <w:r w:rsidRPr="00B17741">
              <w:rPr>
                <w:rFonts w:asciiTheme="majorHAnsi" w:hAnsiTheme="majorHAnsi"/>
                <w:sz w:val="22"/>
                <w:szCs w:val="22"/>
                <w:highlight w:val="yellow"/>
              </w:rPr>
              <w:sym w:font="Symbol" w:char="F02A"/>
            </w:r>
          </w:p>
        </w:tc>
      </w:tr>
      <w:tr w:rsidR="001812B7" w:rsidRPr="00BA7E12" w14:paraId="5EA42AE3" w14:textId="77777777" w:rsidTr="00661B03">
        <w:trPr>
          <w:jc w:val="center"/>
        </w:trPr>
        <w:tc>
          <w:tcPr>
            <w:tcW w:w="1444" w:type="dxa"/>
          </w:tcPr>
          <w:p w14:paraId="093420A7" w14:textId="77777777" w:rsidR="001812B7" w:rsidRDefault="001812B7" w:rsidP="001812B7">
            <w:pPr>
              <w:rPr>
                <w:rFonts w:asciiTheme="majorHAnsi" w:hAnsiTheme="majorHAnsi"/>
                <w:b/>
                <w:sz w:val="20"/>
                <w:szCs w:val="20"/>
              </w:rPr>
            </w:pPr>
            <w:r>
              <w:rPr>
                <w:rFonts w:asciiTheme="majorHAnsi" w:hAnsiTheme="majorHAnsi"/>
                <w:b/>
                <w:sz w:val="20"/>
                <w:szCs w:val="20"/>
              </w:rPr>
              <w:t xml:space="preserve">DT C / DT N </w:t>
            </w:r>
          </w:p>
          <w:p w14:paraId="2FD55C9E" w14:textId="77777777" w:rsidR="001812B7" w:rsidRPr="00BA7E12" w:rsidRDefault="001812B7" w:rsidP="001812B7">
            <w:pPr>
              <w:rPr>
                <w:rFonts w:asciiTheme="majorHAnsi" w:hAnsiTheme="majorHAnsi"/>
                <w:b/>
                <w:sz w:val="20"/>
                <w:szCs w:val="20"/>
              </w:rPr>
            </w:pPr>
            <w:r>
              <w:rPr>
                <w:rFonts w:asciiTheme="majorHAnsi" w:hAnsiTheme="majorHAnsi"/>
                <w:b/>
                <w:sz w:val="20"/>
                <w:szCs w:val="20"/>
              </w:rPr>
              <w:t>Periodic Review</w:t>
            </w:r>
          </w:p>
        </w:tc>
        <w:tc>
          <w:tcPr>
            <w:tcW w:w="4282" w:type="dxa"/>
          </w:tcPr>
          <w:p w14:paraId="274EEAD9" w14:textId="77777777" w:rsidR="001812B7" w:rsidRPr="00DB48F9" w:rsidRDefault="001812B7" w:rsidP="001812B7">
            <w:pPr>
              <w:rPr>
                <w:rFonts w:asciiTheme="majorHAnsi" w:hAnsiTheme="majorHAnsi"/>
                <w:sz w:val="20"/>
                <w:szCs w:val="20"/>
                <w:lang w:val="en-GB"/>
              </w:rPr>
            </w:pPr>
            <w:r w:rsidRPr="00DB48F9">
              <w:rPr>
                <w:rFonts w:asciiTheme="majorHAnsi" w:hAnsiTheme="majorHAnsi"/>
                <w:sz w:val="20"/>
                <w:szCs w:val="20"/>
                <w:lang w:val="en-GB"/>
              </w:rPr>
              <w:t xml:space="preserve">The IANA Performance Review Team (IPRT) will play a role distinct from the DUG. The IPRT will engage periodically, in order to conduct significant, scheduled reviews of the performance of IANA's naming function. As such, it will not be a "standing body", though will convene based upon established guidelines.  </w:t>
            </w:r>
          </w:p>
          <w:p w14:paraId="19944B52" w14:textId="77777777" w:rsidR="001812B7" w:rsidRPr="00DB48F9" w:rsidRDefault="001812B7" w:rsidP="001812B7">
            <w:pPr>
              <w:rPr>
                <w:rFonts w:asciiTheme="majorHAnsi" w:hAnsiTheme="majorHAnsi"/>
                <w:sz w:val="20"/>
                <w:szCs w:val="20"/>
                <w:lang w:val="en-GB"/>
              </w:rPr>
            </w:pPr>
            <w:r w:rsidRPr="00DB48F9">
              <w:rPr>
                <w:rFonts w:asciiTheme="majorHAnsi" w:hAnsiTheme="majorHAnsi"/>
                <w:sz w:val="20"/>
                <w:szCs w:val="20"/>
                <w:lang w:val="en-GB"/>
              </w:rPr>
              <w:t>Membership of the IPRT will be drawn from a broad cross-section of the Internet community. At a minimum this will include representatives from all SOs and ACs and members of the technical community. As with the DUG, the IPRT must be representative, but not unwieldy. Further, direct customers must represent the majority of the team. As such, it is suggested that the IPRT could be composed of 14 members:</w:t>
            </w:r>
          </w:p>
          <w:p w14:paraId="691A3D03" w14:textId="77777777" w:rsidR="001812B7" w:rsidRPr="00DB48F9" w:rsidRDefault="001812B7" w:rsidP="001812B7">
            <w:pPr>
              <w:pStyle w:val="ListParagraph"/>
              <w:numPr>
                <w:ilvl w:val="0"/>
                <w:numId w:val="8"/>
              </w:numPr>
              <w:spacing w:after="200" w:line="276" w:lineRule="auto"/>
              <w:rPr>
                <w:rFonts w:asciiTheme="majorHAnsi" w:hAnsiTheme="majorHAnsi"/>
                <w:sz w:val="20"/>
                <w:szCs w:val="20"/>
                <w:lang w:val="en-GB"/>
              </w:rPr>
            </w:pPr>
            <w:r w:rsidRPr="00DB48F9">
              <w:rPr>
                <w:rFonts w:asciiTheme="majorHAnsi" w:hAnsiTheme="majorHAnsi"/>
                <w:sz w:val="20"/>
                <w:szCs w:val="20"/>
                <w:lang w:val="en-GB"/>
              </w:rPr>
              <w:t xml:space="preserve">8 representing registry customers, </w:t>
            </w:r>
          </w:p>
          <w:p w14:paraId="2EA38D15" w14:textId="77777777" w:rsidR="001812B7" w:rsidRPr="00DB48F9" w:rsidRDefault="001812B7" w:rsidP="001812B7">
            <w:pPr>
              <w:pStyle w:val="ListParagraph"/>
              <w:numPr>
                <w:ilvl w:val="0"/>
                <w:numId w:val="8"/>
              </w:numPr>
              <w:spacing w:after="200" w:line="276" w:lineRule="auto"/>
              <w:rPr>
                <w:rFonts w:asciiTheme="majorHAnsi" w:hAnsiTheme="majorHAnsi"/>
                <w:sz w:val="20"/>
                <w:szCs w:val="20"/>
                <w:lang w:val="en-GB"/>
              </w:rPr>
            </w:pPr>
            <w:r w:rsidRPr="00DB48F9">
              <w:rPr>
                <w:rFonts w:asciiTheme="majorHAnsi" w:hAnsiTheme="majorHAnsi"/>
                <w:sz w:val="20"/>
                <w:szCs w:val="20"/>
                <w:lang w:val="en-GB"/>
              </w:rPr>
              <w:t>1 from the GAC</w:t>
            </w:r>
          </w:p>
          <w:p w14:paraId="5368352C" w14:textId="77777777" w:rsidR="001812B7" w:rsidRPr="00DB48F9" w:rsidRDefault="001812B7" w:rsidP="001812B7">
            <w:pPr>
              <w:pStyle w:val="ListParagraph"/>
              <w:numPr>
                <w:ilvl w:val="0"/>
                <w:numId w:val="8"/>
              </w:numPr>
              <w:spacing w:after="200" w:line="276" w:lineRule="auto"/>
              <w:rPr>
                <w:rFonts w:asciiTheme="majorHAnsi" w:hAnsiTheme="majorHAnsi"/>
                <w:sz w:val="20"/>
                <w:szCs w:val="20"/>
                <w:lang w:val="en-GB"/>
              </w:rPr>
            </w:pPr>
            <w:r w:rsidRPr="00DB48F9">
              <w:rPr>
                <w:rFonts w:asciiTheme="majorHAnsi" w:hAnsiTheme="majorHAnsi"/>
                <w:sz w:val="20"/>
                <w:szCs w:val="20"/>
                <w:lang w:val="en-GB"/>
              </w:rPr>
              <w:t>1 from the ALAC</w:t>
            </w:r>
          </w:p>
          <w:p w14:paraId="5FCCAAF4" w14:textId="77777777" w:rsidR="001812B7" w:rsidRPr="00DB48F9" w:rsidRDefault="001812B7" w:rsidP="001812B7">
            <w:pPr>
              <w:pStyle w:val="ListParagraph"/>
              <w:numPr>
                <w:ilvl w:val="0"/>
                <w:numId w:val="8"/>
              </w:numPr>
              <w:spacing w:after="200" w:line="276" w:lineRule="auto"/>
              <w:rPr>
                <w:rFonts w:asciiTheme="majorHAnsi" w:hAnsiTheme="majorHAnsi"/>
                <w:sz w:val="20"/>
                <w:szCs w:val="20"/>
                <w:lang w:val="en-GB"/>
              </w:rPr>
            </w:pPr>
            <w:r w:rsidRPr="00DB48F9">
              <w:rPr>
                <w:rFonts w:asciiTheme="majorHAnsi" w:hAnsiTheme="majorHAnsi"/>
                <w:sz w:val="20"/>
                <w:szCs w:val="20"/>
                <w:lang w:val="en-GB"/>
              </w:rPr>
              <w:t>1 from the SSAC</w:t>
            </w:r>
          </w:p>
          <w:p w14:paraId="49C747E7" w14:textId="77777777" w:rsidR="001812B7" w:rsidRPr="00DB48F9" w:rsidRDefault="001812B7" w:rsidP="001812B7">
            <w:pPr>
              <w:pStyle w:val="ListParagraph"/>
              <w:numPr>
                <w:ilvl w:val="0"/>
                <w:numId w:val="8"/>
              </w:numPr>
              <w:spacing w:after="200" w:line="276" w:lineRule="auto"/>
              <w:rPr>
                <w:rFonts w:asciiTheme="majorHAnsi" w:hAnsiTheme="majorHAnsi"/>
                <w:sz w:val="20"/>
                <w:szCs w:val="20"/>
                <w:lang w:val="en-GB"/>
              </w:rPr>
            </w:pPr>
            <w:r w:rsidRPr="00DB48F9">
              <w:rPr>
                <w:rFonts w:asciiTheme="majorHAnsi" w:hAnsiTheme="majorHAnsi"/>
                <w:sz w:val="20"/>
                <w:szCs w:val="20"/>
                <w:lang w:val="en-GB"/>
              </w:rPr>
              <w:t>1 from the RSSAC</w:t>
            </w:r>
          </w:p>
          <w:p w14:paraId="7D1E4D05" w14:textId="77777777" w:rsidR="001812B7" w:rsidRPr="00DB48F9" w:rsidRDefault="001812B7" w:rsidP="001812B7">
            <w:pPr>
              <w:pStyle w:val="ListParagraph"/>
              <w:numPr>
                <w:ilvl w:val="0"/>
                <w:numId w:val="8"/>
              </w:numPr>
              <w:spacing w:after="200" w:line="276" w:lineRule="auto"/>
              <w:rPr>
                <w:rFonts w:asciiTheme="majorHAnsi" w:hAnsiTheme="majorHAnsi"/>
                <w:sz w:val="20"/>
                <w:szCs w:val="20"/>
                <w:lang w:val="en-GB"/>
              </w:rPr>
            </w:pPr>
            <w:r w:rsidRPr="00DB48F9">
              <w:rPr>
                <w:rFonts w:asciiTheme="majorHAnsi" w:hAnsiTheme="majorHAnsi"/>
                <w:sz w:val="20"/>
                <w:szCs w:val="20"/>
                <w:lang w:val="en-GB"/>
              </w:rPr>
              <w:t>1 from the IETF</w:t>
            </w:r>
          </w:p>
          <w:p w14:paraId="0E7DAC6F" w14:textId="77777777" w:rsidR="001812B7" w:rsidRPr="00DB48F9" w:rsidRDefault="001812B7" w:rsidP="001812B7">
            <w:pPr>
              <w:pStyle w:val="ListParagraph"/>
              <w:numPr>
                <w:ilvl w:val="0"/>
                <w:numId w:val="8"/>
              </w:numPr>
              <w:spacing w:after="200" w:line="276" w:lineRule="auto"/>
              <w:rPr>
                <w:rFonts w:asciiTheme="majorHAnsi" w:hAnsiTheme="majorHAnsi"/>
                <w:sz w:val="20"/>
                <w:szCs w:val="20"/>
                <w:lang w:val="en-GB"/>
              </w:rPr>
            </w:pPr>
            <w:r w:rsidRPr="00DB48F9">
              <w:rPr>
                <w:rFonts w:asciiTheme="majorHAnsi" w:hAnsiTheme="majorHAnsi"/>
                <w:sz w:val="20"/>
                <w:szCs w:val="20"/>
                <w:lang w:val="en-GB"/>
              </w:rPr>
              <w:t>1 "other" member, engaged to provide independent input on legal or organisational review matters.</w:t>
            </w:r>
          </w:p>
          <w:p w14:paraId="064CDC4B" w14:textId="77777777" w:rsidR="001812B7" w:rsidRPr="00DB48F9" w:rsidRDefault="001812B7" w:rsidP="001812B7">
            <w:pPr>
              <w:pStyle w:val="ListParagraph"/>
              <w:ind w:left="765"/>
              <w:rPr>
                <w:rFonts w:asciiTheme="majorHAnsi" w:hAnsiTheme="majorHAnsi"/>
                <w:sz w:val="20"/>
                <w:szCs w:val="20"/>
                <w:lang w:val="en-GB"/>
              </w:rPr>
            </w:pPr>
          </w:p>
          <w:p w14:paraId="4DABE50A" w14:textId="77777777" w:rsidR="001812B7" w:rsidRPr="00DB48F9" w:rsidRDefault="001812B7" w:rsidP="001812B7">
            <w:pPr>
              <w:rPr>
                <w:rFonts w:asciiTheme="majorHAnsi" w:hAnsiTheme="majorHAnsi"/>
                <w:sz w:val="20"/>
                <w:szCs w:val="20"/>
                <w:lang w:val="en-GB"/>
              </w:rPr>
            </w:pPr>
            <w:r w:rsidRPr="00DB48F9">
              <w:rPr>
                <w:rFonts w:asciiTheme="majorHAnsi" w:hAnsiTheme="majorHAnsi"/>
                <w:sz w:val="20"/>
                <w:szCs w:val="20"/>
                <w:lang w:val="en-GB"/>
              </w:rPr>
              <w:t xml:space="preserve">The IPRT will perform its first review three years after the initial transition from the NTIA and every four years thereafter. </w:t>
            </w:r>
          </w:p>
          <w:p w14:paraId="567E8886" w14:textId="77777777" w:rsidR="001812B7" w:rsidRPr="00BA7E12" w:rsidRDefault="001812B7" w:rsidP="001812B7">
            <w:pPr>
              <w:rPr>
                <w:rFonts w:asciiTheme="majorHAnsi" w:hAnsiTheme="majorHAnsi"/>
                <w:b/>
                <w:sz w:val="20"/>
                <w:szCs w:val="20"/>
              </w:rPr>
            </w:pPr>
            <w:r w:rsidRPr="00DB48F9">
              <w:rPr>
                <w:rFonts w:asciiTheme="majorHAnsi" w:hAnsiTheme="majorHAnsi"/>
                <w:sz w:val="20"/>
                <w:szCs w:val="20"/>
                <w:lang w:val="en-GB"/>
              </w:rPr>
              <w:t>These reviews would not address operational matters and levels of service (as undertaken by the DUG), but rather broader issues such as whether due process has been followed and policy guidance from the community has been adhered to.  Should the IPRT find that problems do exist in the relationship between the DUG and IANA functions operator, the review team will direct appropriate remedial actions.</w:t>
            </w:r>
          </w:p>
        </w:tc>
        <w:tc>
          <w:tcPr>
            <w:tcW w:w="855" w:type="dxa"/>
          </w:tcPr>
          <w:p w14:paraId="4F4858FE" w14:textId="77777777" w:rsidR="001812B7" w:rsidRPr="00BA7E12" w:rsidRDefault="001812B7" w:rsidP="00ED13E0">
            <w:pPr>
              <w:pStyle w:val="ListParagraph"/>
              <w:ind w:left="0"/>
              <w:jc w:val="center"/>
              <w:rPr>
                <w:rFonts w:asciiTheme="majorHAnsi" w:hAnsiTheme="majorHAnsi"/>
                <w:color w:val="00000A"/>
                <w:sz w:val="20"/>
                <w:szCs w:val="20"/>
              </w:rPr>
            </w:pPr>
            <w:r w:rsidRPr="00B17741">
              <w:rPr>
                <w:rFonts w:asciiTheme="majorHAnsi" w:hAnsiTheme="majorHAnsi"/>
                <w:sz w:val="22"/>
                <w:szCs w:val="22"/>
                <w:highlight w:val="red"/>
              </w:rPr>
              <w:sym w:font="Symbol" w:char="F044"/>
            </w:r>
            <w:r>
              <w:rPr>
                <w:rFonts w:asciiTheme="majorHAnsi" w:hAnsiTheme="majorHAnsi"/>
                <w:sz w:val="22"/>
                <w:szCs w:val="22"/>
              </w:rPr>
              <w:t xml:space="preserve"> / </w:t>
            </w:r>
            <w:r w:rsidRPr="00B17741">
              <w:rPr>
                <w:rFonts w:asciiTheme="majorHAnsi" w:hAnsiTheme="majorHAnsi"/>
                <w:sz w:val="22"/>
                <w:szCs w:val="22"/>
                <w:highlight w:val="yellow"/>
              </w:rPr>
              <w:sym w:font="Symbol" w:char="F02A"/>
            </w:r>
          </w:p>
        </w:tc>
        <w:tc>
          <w:tcPr>
            <w:tcW w:w="4822" w:type="dxa"/>
          </w:tcPr>
          <w:p w14:paraId="258AD9B9" w14:textId="2373F50D" w:rsidR="001812B7" w:rsidRPr="00BA7E12" w:rsidRDefault="001812B7" w:rsidP="001812B7">
            <w:pPr>
              <w:rPr>
                <w:rFonts w:asciiTheme="majorHAnsi" w:hAnsiTheme="majorHAnsi"/>
                <w:color w:val="00000A"/>
                <w:sz w:val="20"/>
                <w:szCs w:val="20"/>
              </w:rPr>
            </w:pPr>
          </w:p>
        </w:tc>
        <w:tc>
          <w:tcPr>
            <w:tcW w:w="855" w:type="dxa"/>
          </w:tcPr>
          <w:p w14:paraId="5ACF52B1" w14:textId="7485ABE3" w:rsidR="001812B7" w:rsidRPr="00BA7E12" w:rsidRDefault="001812B7" w:rsidP="001812B7">
            <w:pPr>
              <w:pStyle w:val="ListParagraph"/>
              <w:ind w:left="360"/>
              <w:rPr>
                <w:rFonts w:asciiTheme="majorHAnsi" w:hAnsiTheme="majorHAnsi"/>
                <w:color w:val="00000A"/>
                <w:sz w:val="20"/>
                <w:szCs w:val="20"/>
              </w:rPr>
            </w:pPr>
          </w:p>
        </w:tc>
      </w:tr>
      <w:tr w:rsidR="001812B7" w:rsidRPr="00BA7E12" w14:paraId="1C651AC5" w14:textId="77777777" w:rsidTr="00661B03">
        <w:trPr>
          <w:cantSplit/>
          <w:jc w:val="center"/>
        </w:trPr>
        <w:tc>
          <w:tcPr>
            <w:tcW w:w="1444" w:type="dxa"/>
          </w:tcPr>
          <w:p w14:paraId="396E8E69" w14:textId="77777777" w:rsidR="001812B7" w:rsidRDefault="001812B7" w:rsidP="001812B7">
            <w:pPr>
              <w:rPr>
                <w:rFonts w:asciiTheme="majorHAnsi" w:hAnsiTheme="majorHAnsi"/>
                <w:b/>
                <w:sz w:val="20"/>
                <w:szCs w:val="20"/>
              </w:rPr>
            </w:pPr>
            <w:r>
              <w:rPr>
                <w:rFonts w:asciiTheme="majorHAnsi" w:hAnsiTheme="majorHAnsi"/>
                <w:b/>
                <w:sz w:val="20"/>
                <w:szCs w:val="20"/>
              </w:rPr>
              <w:t>DT C / DT N</w:t>
            </w:r>
          </w:p>
          <w:p w14:paraId="52AD6750" w14:textId="542E5BA0" w:rsidR="001812B7" w:rsidRDefault="003564AF" w:rsidP="001812B7">
            <w:pPr>
              <w:rPr>
                <w:rFonts w:asciiTheme="majorHAnsi" w:hAnsiTheme="majorHAnsi"/>
                <w:b/>
                <w:sz w:val="20"/>
                <w:szCs w:val="20"/>
              </w:rPr>
            </w:pPr>
            <w:r>
              <w:rPr>
                <w:rFonts w:asciiTheme="majorHAnsi" w:hAnsiTheme="majorHAnsi"/>
                <w:b/>
                <w:sz w:val="20"/>
                <w:szCs w:val="20"/>
              </w:rPr>
              <w:t xml:space="preserve">Independent </w:t>
            </w:r>
            <w:r w:rsidR="001812B7">
              <w:rPr>
                <w:rFonts w:asciiTheme="majorHAnsi" w:hAnsiTheme="majorHAnsi"/>
                <w:b/>
                <w:sz w:val="20"/>
                <w:szCs w:val="20"/>
              </w:rPr>
              <w:t>Audit</w:t>
            </w:r>
          </w:p>
        </w:tc>
        <w:tc>
          <w:tcPr>
            <w:tcW w:w="4282" w:type="dxa"/>
          </w:tcPr>
          <w:p w14:paraId="6DC0A80B" w14:textId="371AD361" w:rsidR="001812B7" w:rsidRPr="001812B7" w:rsidRDefault="001812B7" w:rsidP="001812B7">
            <w:pPr>
              <w:rPr>
                <w:rFonts w:asciiTheme="majorHAnsi" w:hAnsiTheme="majorHAnsi"/>
                <w:sz w:val="20"/>
                <w:szCs w:val="20"/>
                <w:lang w:val="en-GB"/>
              </w:rPr>
            </w:pPr>
            <w:r w:rsidRPr="001812B7">
              <w:rPr>
                <w:rFonts w:asciiTheme="majorHAnsi" w:hAnsiTheme="majorHAnsi"/>
                <w:sz w:val="20"/>
                <w:szCs w:val="20"/>
              </w:rPr>
              <w:t>The DUG will publish the audit results and seek feedback from the community.</w:t>
            </w:r>
            <w:r w:rsidRPr="001812B7">
              <w:rPr>
                <w:rFonts w:asciiTheme="majorHAnsi" w:hAnsiTheme="majorHAnsi"/>
                <w:sz w:val="20"/>
                <w:szCs w:val="20"/>
                <w:lang w:val="en-GB"/>
              </w:rPr>
              <w:t xml:space="preserve"> </w:t>
            </w:r>
          </w:p>
          <w:p w14:paraId="12FB9BD8" w14:textId="77777777" w:rsidR="001812B7" w:rsidRPr="001812B7" w:rsidRDefault="001812B7" w:rsidP="001812B7">
            <w:pPr>
              <w:rPr>
                <w:rFonts w:asciiTheme="majorHAnsi" w:hAnsiTheme="majorHAnsi"/>
                <w:sz w:val="20"/>
                <w:szCs w:val="20"/>
                <w:lang w:val="en-GB"/>
              </w:rPr>
            </w:pPr>
            <w:r w:rsidRPr="001812B7">
              <w:rPr>
                <w:rFonts w:asciiTheme="majorHAnsi" w:hAnsiTheme="majorHAnsi"/>
                <w:sz w:val="20"/>
                <w:szCs w:val="20"/>
                <w:lang w:val="en-GB"/>
              </w:rPr>
              <w:t xml:space="preserve">As a result of this independent audit process and the community feedback the DUG will examine and if necessary refine the agreed levels of service and performance metrics.  </w:t>
            </w:r>
          </w:p>
          <w:p w14:paraId="61615348" w14:textId="59966C08" w:rsidR="001812B7" w:rsidRPr="00DB48F9" w:rsidRDefault="001812B7" w:rsidP="001812B7">
            <w:pPr>
              <w:rPr>
                <w:rFonts w:asciiTheme="majorHAnsi" w:hAnsiTheme="majorHAnsi"/>
                <w:sz w:val="20"/>
                <w:szCs w:val="20"/>
                <w:lang w:val="en-GB"/>
              </w:rPr>
            </w:pPr>
            <w:r w:rsidRPr="001812B7">
              <w:rPr>
                <w:rFonts w:asciiTheme="majorHAnsi" w:hAnsiTheme="majorHAnsi"/>
                <w:sz w:val="20"/>
                <w:szCs w:val="20"/>
                <w:lang w:val="en-GB"/>
              </w:rPr>
              <w:t>The results of the audit will help inform the periodic reviews to be undertaken by the Review Team (see below).</w:t>
            </w:r>
          </w:p>
        </w:tc>
        <w:tc>
          <w:tcPr>
            <w:tcW w:w="855" w:type="dxa"/>
          </w:tcPr>
          <w:p w14:paraId="6DC4EE95" w14:textId="656ECB4D" w:rsidR="001812B7" w:rsidRPr="00B17741" w:rsidRDefault="003564AF" w:rsidP="00ED13E0">
            <w:pPr>
              <w:pStyle w:val="ListParagraph"/>
              <w:ind w:left="0"/>
              <w:jc w:val="center"/>
              <w:rPr>
                <w:rFonts w:asciiTheme="majorHAnsi" w:hAnsiTheme="majorHAnsi"/>
                <w:sz w:val="22"/>
                <w:szCs w:val="22"/>
                <w:highlight w:val="red"/>
              </w:rPr>
            </w:pPr>
            <w:r w:rsidRPr="00B17741">
              <w:rPr>
                <w:rFonts w:asciiTheme="majorHAnsi" w:hAnsiTheme="majorHAnsi"/>
                <w:sz w:val="22"/>
                <w:szCs w:val="22"/>
                <w:highlight w:val="green"/>
              </w:rPr>
              <w:sym w:font="Symbol" w:char="F0D6"/>
            </w:r>
          </w:p>
        </w:tc>
        <w:tc>
          <w:tcPr>
            <w:tcW w:w="4822" w:type="dxa"/>
          </w:tcPr>
          <w:p w14:paraId="3701CCE1" w14:textId="77777777" w:rsidR="001812B7" w:rsidRPr="001812B7" w:rsidRDefault="001812B7" w:rsidP="000F69F1">
            <w:pPr>
              <w:rPr>
                <w:rFonts w:asciiTheme="majorHAnsi" w:hAnsiTheme="majorHAnsi"/>
                <w:color w:val="00000A"/>
                <w:sz w:val="20"/>
                <w:szCs w:val="20"/>
              </w:rPr>
            </w:pPr>
          </w:p>
        </w:tc>
        <w:tc>
          <w:tcPr>
            <w:tcW w:w="855" w:type="dxa"/>
          </w:tcPr>
          <w:p w14:paraId="5B1DAC3A" w14:textId="77777777" w:rsidR="001812B7" w:rsidRPr="00B17741" w:rsidRDefault="001812B7" w:rsidP="002E2F04">
            <w:pPr>
              <w:pStyle w:val="ListParagraph"/>
              <w:ind w:left="360"/>
              <w:rPr>
                <w:rFonts w:asciiTheme="majorHAnsi" w:hAnsiTheme="majorHAnsi"/>
                <w:sz w:val="22"/>
                <w:szCs w:val="22"/>
                <w:highlight w:val="green"/>
              </w:rPr>
            </w:pPr>
          </w:p>
        </w:tc>
      </w:tr>
      <w:tr w:rsidR="003564AF" w:rsidRPr="00BA7E12" w14:paraId="0C6254DB" w14:textId="77777777" w:rsidTr="00661B03">
        <w:trPr>
          <w:cantSplit/>
          <w:jc w:val="center"/>
        </w:trPr>
        <w:tc>
          <w:tcPr>
            <w:tcW w:w="1444" w:type="dxa"/>
          </w:tcPr>
          <w:p w14:paraId="335E1579" w14:textId="3B6A9A79" w:rsidR="003564AF" w:rsidRDefault="003564AF" w:rsidP="003564AF">
            <w:pPr>
              <w:keepNext/>
              <w:rPr>
                <w:rFonts w:asciiTheme="majorHAnsi" w:hAnsiTheme="majorHAnsi"/>
                <w:b/>
                <w:sz w:val="20"/>
                <w:szCs w:val="20"/>
              </w:rPr>
            </w:pPr>
            <w:r>
              <w:rPr>
                <w:rFonts w:asciiTheme="majorHAnsi" w:hAnsiTheme="majorHAnsi"/>
                <w:b/>
                <w:sz w:val="20"/>
                <w:szCs w:val="20"/>
              </w:rPr>
              <w:t>DT C</w:t>
            </w:r>
          </w:p>
          <w:p w14:paraId="733E2335" w14:textId="03B4F3CB" w:rsidR="003564AF" w:rsidRDefault="003564AF" w:rsidP="001812B7">
            <w:pPr>
              <w:rPr>
                <w:rFonts w:asciiTheme="majorHAnsi" w:hAnsiTheme="majorHAnsi"/>
                <w:b/>
                <w:sz w:val="20"/>
                <w:szCs w:val="20"/>
              </w:rPr>
            </w:pPr>
            <w:r>
              <w:rPr>
                <w:rFonts w:asciiTheme="majorHAnsi" w:hAnsiTheme="majorHAnsi"/>
                <w:b/>
                <w:sz w:val="20"/>
                <w:szCs w:val="20"/>
              </w:rPr>
              <w:t>Audit interval</w:t>
            </w:r>
          </w:p>
        </w:tc>
        <w:tc>
          <w:tcPr>
            <w:tcW w:w="4282" w:type="dxa"/>
          </w:tcPr>
          <w:p w14:paraId="31D9A815" w14:textId="447AD3C4" w:rsidR="003564AF" w:rsidRPr="001812B7" w:rsidRDefault="003564AF" w:rsidP="001812B7">
            <w:pPr>
              <w:rPr>
                <w:rFonts w:asciiTheme="majorHAnsi" w:hAnsiTheme="majorHAnsi"/>
                <w:sz w:val="20"/>
                <w:szCs w:val="20"/>
                <w:lang w:val="en-GB"/>
              </w:rPr>
            </w:pPr>
            <w:r w:rsidRPr="001812B7">
              <w:rPr>
                <w:rFonts w:asciiTheme="majorHAnsi" w:hAnsiTheme="majorHAnsi"/>
                <w:sz w:val="20"/>
                <w:szCs w:val="20"/>
                <w:lang w:val="en-GB"/>
              </w:rPr>
              <w:t>Every 3 years the DUG will commission an independent organisation with the relevant technical expertise to undertake a detailed audit of the performance of the IANA functions operator</w:t>
            </w:r>
          </w:p>
        </w:tc>
        <w:tc>
          <w:tcPr>
            <w:tcW w:w="855" w:type="dxa"/>
          </w:tcPr>
          <w:p w14:paraId="061202FA" w14:textId="686C418C" w:rsidR="003564AF" w:rsidRPr="00B17741" w:rsidRDefault="003564AF" w:rsidP="00ED13E0">
            <w:pPr>
              <w:pStyle w:val="ListParagraph"/>
              <w:ind w:left="0"/>
              <w:jc w:val="center"/>
              <w:rPr>
                <w:rFonts w:asciiTheme="majorHAnsi" w:hAnsiTheme="majorHAnsi"/>
                <w:sz w:val="22"/>
                <w:szCs w:val="22"/>
                <w:highlight w:val="yellow"/>
              </w:rPr>
            </w:pPr>
            <w:r w:rsidRPr="00B17741">
              <w:rPr>
                <w:rFonts w:asciiTheme="majorHAnsi" w:hAnsiTheme="majorHAnsi"/>
                <w:sz w:val="22"/>
                <w:szCs w:val="22"/>
                <w:highlight w:val="red"/>
              </w:rPr>
              <w:sym w:font="Symbol" w:char="F044"/>
            </w:r>
          </w:p>
        </w:tc>
        <w:tc>
          <w:tcPr>
            <w:tcW w:w="4822" w:type="dxa"/>
          </w:tcPr>
          <w:p w14:paraId="7C08E006" w14:textId="77777777" w:rsidR="003564AF" w:rsidRPr="001812B7" w:rsidRDefault="003564AF" w:rsidP="000F69F1">
            <w:pPr>
              <w:rPr>
                <w:rFonts w:asciiTheme="majorHAnsi" w:hAnsiTheme="majorHAnsi"/>
                <w:color w:val="00000A"/>
                <w:sz w:val="20"/>
                <w:szCs w:val="20"/>
              </w:rPr>
            </w:pPr>
          </w:p>
        </w:tc>
        <w:tc>
          <w:tcPr>
            <w:tcW w:w="855" w:type="dxa"/>
          </w:tcPr>
          <w:p w14:paraId="7B8730A6" w14:textId="77777777" w:rsidR="003564AF" w:rsidRPr="00B17741" w:rsidRDefault="003564AF" w:rsidP="002E2F04">
            <w:pPr>
              <w:pStyle w:val="ListParagraph"/>
              <w:ind w:left="360"/>
              <w:rPr>
                <w:rFonts w:asciiTheme="majorHAnsi" w:hAnsiTheme="majorHAnsi"/>
                <w:sz w:val="22"/>
                <w:szCs w:val="22"/>
                <w:highlight w:val="green"/>
              </w:rPr>
            </w:pPr>
          </w:p>
        </w:tc>
      </w:tr>
      <w:tr w:rsidR="00AD1634" w:rsidRPr="00BA7E12" w14:paraId="58156395" w14:textId="77777777" w:rsidTr="00661B03">
        <w:trPr>
          <w:cantSplit/>
          <w:jc w:val="center"/>
        </w:trPr>
        <w:tc>
          <w:tcPr>
            <w:tcW w:w="1444" w:type="dxa"/>
          </w:tcPr>
          <w:p w14:paraId="5AA3E5DB" w14:textId="77777777" w:rsidR="00AD1634" w:rsidRDefault="00AD1634" w:rsidP="007A18E4">
            <w:pPr>
              <w:rPr>
                <w:rFonts w:asciiTheme="majorHAnsi" w:hAnsiTheme="majorHAnsi"/>
                <w:b/>
                <w:sz w:val="20"/>
                <w:szCs w:val="20"/>
              </w:rPr>
            </w:pPr>
            <w:r>
              <w:rPr>
                <w:rFonts w:asciiTheme="majorHAnsi" w:hAnsiTheme="majorHAnsi"/>
                <w:b/>
                <w:sz w:val="20"/>
                <w:szCs w:val="20"/>
              </w:rPr>
              <w:t>CCWG/IAP</w:t>
            </w:r>
          </w:p>
          <w:p w14:paraId="371E3553" w14:textId="5CB5E516" w:rsidR="00661B03" w:rsidRPr="00BA7E12" w:rsidRDefault="00661B03" w:rsidP="007A18E4">
            <w:pPr>
              <w:rPr>
                <w:rFonts w:asciiTheme="majorHAnsi" w:hAnsiTheme="majorHAnsi"/>
                <w:b/>
                <w:sz w:val="20"/>
                <w:szCs w:val="20"/>
              </w:rPr>
            </w:pPr>
            <w:r>
              <w:rPr>
                <w:rFonts w:asciiTheme="majorHAnsi" w:hAnsiTheme="majorHAnsi"/>
                <w:b/>
                <w:sz w:val="20"/>
                <w:szCs w:val="20"/>
              </w:rPr>
              <w:t>Development</w:t>
            </w:r>
          </w:p>
        </w:tc>
        <w:tc>
          <w:tcPr>
            <w:tcW w:w="4282" w:type="dxa"/>
            <w:shd w:val="clear" w:color="auto" w:fill="00FF00"/>
          </w:tcPr>
          <w:p w14:paraId="1CF08706" w14:textId="77777777" w:rsidR="00AD1634" w:rsidRPr="00BA7E12" w:rsidRDefault="00AD1634" w:rsidP="007A18E4">
            <w:pPr>
              <w:rPr>
                <w:rFonts w:asciiTheme="majorHAnsi" w:hAnsiTheme="majorHAnsi"/>
                <w:b/>
                <w:sz w:val="20"/>
                <w:szCs w:val="20"/>
              </w:rPr>
            </w:pPr>
            <w:r w:rsidRPr="00974878">
              <w:rPr>
                <w:rFonts w:asciiTheme="majorHAnsi" w:hAnsiTheme="majorHAnsi"/>
                <w:sz w:val="20"/>
                <w:szCs w:val="20"/>
                <w:lang w:val="en-GB"/>
              </w:rPr>
              <w:t xml:space="preserve">The IAP will be a binding mechanism, utilising the services of an independent, external arbitration organisation.  Such an ICANN-wide mechanism </w:t>
            </w:r>
            <w:proofErr w:type="gramStart"/>
            <w:r w:rsidRPr="00974878">
              <w:rPr>
                <w:rFonts w:asciiTheme="majorHAnsi" w:hAnsiTheme="majorHAnsi"/>
                <w:sz w:val="20"/>
                <w:szCs w:val="20"/>
                <w:lang w:val="en-GB"/>
              </w:rPr>
              <w:t>is expected to be developed</w:t>
            </w:r>
            <w:proofErr w:type="gramEnd"/>
            <w:r w:rsidRPr="00974878">
              <w:rPr>
                <w:rFonts w:asciiTheme="majorHAnsi" w:hAnsiTheme="majorHAnsi"/>
                <w:sz w:val="20"/>
                <w:szCs w:val="20"/>
                <w:lang w:val="en-GB"/>
              </w:rPr>
              <w:t xml:space="preserve"> by the CCWG on Accountability.</w:t>
            </w:r>
          </w:p>
        </w:tc>
        <w:tc>
          <w:tcPr>
            <w:tcW w:w="855" w:type="dxa"/>
          </w:tcPr>
          <w:p w14:paraId="5278AACC" w14:textId="730A3BBE" w:rsidR="00AD1634" w:rsidRPr="00BA7E12" w:rsidRDefault="001A05E9" w:rsidP="00ED13E0">
            <w:pPr>
              <w:jc w:val="center"/>
              <w:rPr>
                <w:rFonts w:asciiTheme="majorHAnsi" w:hAnsiTheme="majorHAnsi"/>
                <w:b/>
                <w:sz w:val="20"/>
                <w:szCs w:val="20"/>
              </w:rPr>
            </w:pPr>
            <w:r w:rsidRPr="00B17741">
              <w:rPr>
                <w:rFonts w:asciiTheme="majorHAnsi" w:hAnsiTheme="majorHAnsi"/>
                <w:sz w:val="22"/>
                <w:szCs w:val="22"/>
                <w:highlight w:val="yellow"/>
              </w:rPr>
              <w:sym w:font="Symbol" w:char="F02A"/>
            </w:r>
          </w:p>
        </w:tc>
        <w:tc>
          <w:tcPr>
            <w:tcW w:w="4822" w:type="dxa"/>
            <w:shd w:val="clear" w:color="auto" w:fill="00FF00"/>
          </w:tcPr>
          <w:p w14:paraId="7A3D4818" w14:textId="77777777" w:rsidR="00AD1634" w:rsidRPr="00BA7E12" w:rsidRDefault="00AD1634" w:rsidP="007A18E4">
            <w:pPr>
              <w:rPr>
                <w:rFonts w:asciiTheme="majorHAnsi" w:hAnsiTheme="majorHAnsi"/>
                <w:b/>
                <w:sz w:val="20"/>
                <w:szCs w:val="20"/>
              </w:rPr>
            </w:pPr>
            <w:r w:rsidRPr="00BA7E12">
              <w:rPr>
                <w:rFonts w:asciiTheme="majorHAnsi" w:hAnsiTheme="majorHAnsi"/>
                <w:color w:val="00000A"/>
                <w:sz w:val="20"/>
                <w:szCs w:val="20"/>
              </w:rPr>
              <w:t xml:space="preserve">We believe that further development of the Independent Appeals Panel (IAP) should be deferred until </w:t>
            </w:r>
            <w:proofErr w:type="gramStart"/>
            <w:r w:rsidRPr="00BA7E12">
              <w:rPr>
                <w:rFonts w:asciiTheme="majorHAnsi" w:hAnsiTheme="majorHAnsi"/>
                <w:color w:val="00000A"/>
                <w:sz w:val="20"/>
                <w:szCs w:val="20"/>
              </w:rPr>
              <w:t>an assessment can be made of whether the requirements of the IAP might be addressed by one of the mechanisms under discussion by the CCWG Accountability</w:t>
            </w:r>
            <w:proofErr w:type="gramEnd"/>
            <w:r w:rsidRPr="00BA7E12">
              <w:rPr>
                <w:rFonts w:asciiTheme="majorHAnsi" w:hAnsiTheme="majorHAnsi"/>
                <w:color w:val="00000A"/>
                <w:sz w:val="20"/>
                <w:szCs w:val="20"/>
              </w:rPr>
              <w:t>. We note that the CCWG Accountability has formed a Work Party to recommend review and redress mechanisms that would benefit ICANN’s overall accountability framework and that the IAP has been specifically recognized as an issue for which the mandates of the two groups overlap. To avoid the development of duplicative mechanisms and the potential problems of forum shopping, we urge that further discussion of the IAP be deferred to the CCWG Accountability.</w:t>
            </w:r>
          </w:p>
        </w:tc>
        <w:tc>
          <w:tcPr>
            <w:tcW w:w="855" w:type="dxa"/>
          </w:tcPr>
          <w:p w14:paraId="1C03C7D1" w14:textId="6AA2ECDE" w:rsidR="00AD1634" w:rsidRPr="00BA7E12" w:rsidRDefault="001A05E9" w:rsidP="001A05E9">
            <w:pPr>
              <w:jc w:val="center"/>
              <w:rPr>
                <w:rFonts w:asciiTheme="majorHAnsi" w:hAnsiTheme="majorHAnsi"/>
                <w:b/>
                <w:sz w:val="20"/>
                <w:szCs w:val="20"/>
              </w:rPr>
            </w:pPr>
            <w:r w:rsidRPr="00B17741">
              <w:rPr>
                <w:rFonts w:asciiTheme="majorHAnsi" w:hAnsiTheme="majorHAnsi"/>
                <w:sz w:val="22"/>
                <w:szCs w:val="22"/>
                <w:highlight w:val="yellow"/>
              </w:rPr>
              <w:sym w:font="Symbol" w:char="F02A"/>
            </w:r>
          </w:p>
        </w:tc>
      </w:tr>
      <w:tr w:rsidR="00AD1634" w:rsidRPr="00BA7E12" w14:paraId="64F4D621" w14:textId="77777777" w:rsidTr="00661B03">
        <w:trPr>
          <w:cantSplit/>
          <w:jc w:val="center"/>
        </w:trPr>
        <w:tc>
          <w:tcPr>
            <w:tcW w:w="1444" w:type="dxa"/>
          </w:tcPr>
          <w:p w14:paraId="0EA826E7" w14:textId="63E932CC" w:rsidR="00AD1634" w:rsidRDefault="00661B03" w:rsidP="007A18E4">
            <w:pPr>
              <w:rPr>
                <w:rFonts w:asciiTheme="majorHAnsi" w:hAnsiTheme="majorHAnsi"/>
                <w:b/>
                <w:sz w:val="20"/>
                <w:szCs w:val="20"/>
              </w:rPr>
            </w:pPr>
            <w:r>
              <w:rPr>
                <w:rFonts w:asciiTheme="majorHAnsi" w:hAnsiTheme="majorHAnsi"/>
                <w:b/>
                <w:sz w:val="20"/>
                <w:szCs w:val="20"/>
              </w:rPr>
              <w:t>CCWG/IAP</w:t>
            </w:r>
          </w:p>
          <w:p w14:paraId="479A2FFB" w14:textId="044EB5DF" w:rsidR="00661B03" w:rsidRPr="00BA7E12" w:rsidRDefault="00661B03" w:rsidP="007A18E4">
            <w:pPr>
              <w:rPr>
                <w:rFonts w:asciiTheme="majorHAnsi" w:hAnsiTheme="majorHAnsi"/>
                <w:b/>
                <w:sz w:val="20"/>
                <w:szCs w:val="20"/>
              </w:rPr>
            </w:pPr>
            <w:r>
              <w:rPr>
                <w:rFonts w:asciiTheme="majorHAnsi" w:hAnsiTheme="majorHAnsi"/>
                <w:b/>
                <w:sz w:val="20"/>
                <w:szCs w:val="20"/>
              </w:rPr>
              <w:t>Scope</w:t>
            </w:r>
          </w:p>
        </w:tc>
        <w:tc>
          <w:tcPr>
            <w:tcW w:w="4282" w:type="dxa"/>
          </w:tcPr>
          <w:p w14:paraId="1A9D7986" w14:textId="77777777" w:rsidR="00AD1634" w:rsidRPr="00305B74" w:rsidRDefault="00AD1634" w:rsidP="007A18E4">
            <w:pPr>
              <w:rPr>
                <w:rFonts w:asciiTheme="majorHAnsi" w:hAnsiTheme="majorHAnsi"/>
                <w:sz w:val="20"/>
                <w:szCs w:val="20"/>
                <w:lang w:val="en-GB"/>
              </w:rPr>
            </w:pPr>
            <w:r w:rsidRPr="00305B74">
              <w:rPr>
                <w:rFonts w:asciiTheme="majorHAnsi" w:hAnsiTheme="majorHAnsi"/>
                <w:sz w:val="20"/>
                <w:szCs w:val="20"/>
                <w:lang w:val="en-GB"/>
              </w:rPr>
              <w:t xml:space="preserve">The IAP’s scope will be limited to providing arbitration between the IFM and a TLD registry operator and, when appropriate, the IFM and the DUG in respect to disputes on agreed levels of service or performance, relating to the IFM's naming functions. The IAP will not address policy-related matters, and disputes arising in respect the delegation or re-delegation of a TLD </w:t>
            </w:r>
            <w:proofErr w:type="gramStart"/>
            <w:r w:rsidRPr="00305B74">
              <w:rPr>
                <w:rFonts w:asciiTheme="majorHAnsi" w:hAnsiTheme="majorHAnsi"/>
                <w:sz w:val="20"/>
                <w:szCs w:val="20"/>
                <w:lang w:val="en-GB"/>
              </w:rPr>
              <w:t>are</w:t>
            </w:r>
            <w:proofErr w:type="gramEnd"/>
            <w:r w:rsidRPr="00305B74">
              <w:rPr>
                <w:rFonts w:asciiTheme="majorHAnsi" w:hAnsiTheme="majorHAnsi"/>
                <w:sz w:val="20"/>
                <w:szCs w:val="20"/>
                <w:lang w:val="en-GB"/>
              </w:rPr>
              <w:t xml:space="preserve"> specifically excluded from this process. </w:t>
            </w:r>
          </w:p>
          <w:p w14:paraId="264BC241" w14:textId="77777777" w:rsidR="00AD1634" w:rsidRPr="00305B74" w:rsidRDefault="00AD1634" w:rsidP="007A18E4">
            <w:pPr>
              <w:rPr>
                <w:rFonts w:asciiTheme="majorHAnsi" w:hAnsiTheme="majorHAnsi"/>
                <w:sz w:val="20"/>
                <w:szCs w:val="20"/>
                <w:lang w:val="en-GB"/>
              </w:rPr>
            </w:pPr>
            <w:r w:rsidRPr="00305B74">
              <w:rPr>
                <w:rFonts w:asciiTheme="majorHAnsi" w:hAnsiTheme="majorHAnsi"/>
                <w:sz w:val="20"/>
                <w:szCs w:val="20"/>
                <w:lang w:val="en-GB"/>
              </w:rPr>
              <w:t>The IAP may make the following findings:</w:t>
            </w:r>
          </w:p>
          <w:p w14:paraId="4367FBE9" w14:textId="77777777" w:rsidR="00AD1634" w:rsidRPr="00305B74" w:rsidRDefault="00AD1634" w:rsidP="007A18E4">
            <w:pPr>
              <w:pStyle w:val="ListParagraph"/>
              <w:numPr>
                <w:ilvl w:val="0"/>
                <w:numId w:val="7"/>
              </w:numPr>
              <w:rPr>
                <w:rFonts w:asciiTheme="majorHAnsi" w:hAnsiTheme="majorHAnsi"/>
                <w:sz w:val="20"/>
                <w:szCs w:val="20"/>
                <w:lang w:val="en-GB"/>
              </w:rPr>
            </w:pPr>
            <w:r w:rsidRPr="00305B74">
              <w:rPr>
                <w:rFonts w:asciiTheme="majorHAnsi" w:hAnsiTheme="majorHAnsi"/>
                <w:sz w:val="20"/>
                <w:szCs w:val="20"/>
                <w:lang w:val="en-GB"/>
              </w:rPr>
              <w:t>That the IFM has not breached agreed levels of service or performance in which case the matter will be treated as resolved and no further action taken.</w:t>
            </w:r>
          </w:p>
          <w:p w14:paraId="0737F5FF" w14:textId="77777777" w:rsidR="00AD1634" w:rsidRPr="00305B74" w:rsidRDefault="00AD1634" w:rsidP="007A18E4">
            <w:pPr>
              <w:pStyle w:val="ListParagraph"/>
              <w:numPr>
                <w:ilvl w:val="0"/>
                <w:numId w:val="7"/>
              </w:numPr>
              <w:rPr>
                <w:rFonts w:asciiTheme="majorHAnsi" w:hAnsiTheme="majorHAnsi"/>
                <w:sz w:val="20"/>
                <w:szCs w:val="20"/>
                <w:lang w:val="en-GB"/>
              </w:rPr>
            </w:pPr>
            <w:r w:rsidRPr="00305B74">
              <w:rPr>
                <w:rFonts w:asciiTheme="majorHAnsi" w:hAnsiTheme="majorHAnsi"/>
                <w:sz w:val="20"/>
                <w:szCs w:val="20"/>
                <w:lang w:val="en-GB"/>
              </w:rPr>
              <w:t xml:space="preserve">That the IFM has breached agreed levels of service or performance and such breach is capable of remedy in which case the IFM shall have </w:t>
            </w:r>
            <w:r w:rsidRPr="00305B74">
              <w:rPr>
                <w:rFonts w:asciiTheme="majorHAnsi" w:hAnsiTheme="majorHAnsi"/>
                <w:i/>
                <w:sz w:val="20"/>
                <w:szCs w:val="20"/>
                <w:lang w:val="en-GB"/>
              </w:rPr>
              <w:t>XX</w:t>
            </w:r>
            <w:r w:rsidRPr="00305B74">
              <w:rPr>
                <w:rFonts w:asciiTheme="majorHAnsi" w:hAnsiTheme="majorHAnsi"/>
                <w:sz w:val="20"/>
                <w:szCs w:val="20"/>
                <w:lang w:val="en-GB"/>
              </w:rPr>
              <w:t xml:space="preserve"> days to remedy the breach.</w:t>
            </w:r>
          </w:p>
          <w:p w14:paraId="08E4F96D" w14:textId="77777777" w:rsidR="00AD1634" w:rsidRPr="00305B74" w:rsidRDefault="00AD1634" w:rsidP="007A18E4">
            <w:pPr>
              <w:pStyle w:val="ListParagraph"/>
              <w:numPr>
                <w:ilvl w:val="0"/>
                <w:numId w:val="7"/>
              </w:numPr>
              <w:rPr>
                <w:rFonts w:asciiTheme="majorHAnsi" w:hAnsiTheme="majorHAnsi"/>
                <w:sz w:val="20"/>
                <w:szCs w:val="20"/>
                <w:lang w:val="en-GB"/>
              </w:rPr>
            </w:pPr>
            <w:r w:rsidRPr="00305B74">
              <w:rPr>
                <w:rFonts w:asciiTheme="majorHAnsi" w:hAnsiTheme="majorHAnsi"/>
                <w:sz w:val="20"/>
                <w:szCs w:val="20"/>
                <w:lang w:val="en-GB"/>
              </w:rPr>
              <w:t>That the IFM has breached agreed levels of service or performance and such breach is not capable of remedy.</w:t>
            </w:r>
          </w:p>
          <w:p w14:paraId="53419081" w14:textId="77777777" w:rsidR="00AD1634" w:rsidRPr="00BA7E12" w:rsidRDefault="00AD1634" w:rsidP="007A18E4">
            <w:pPr>
              <w:rPr>
                <w:rFonts w:asciiTheme="majorHAnsi" w:hAnsiTheme="majorHAnsi"/>
                <w:b/>
                <w:sz w:val="20"/>
                <w:szCs w:val="20"/>
              </w:rPr>
            </w:pPr>
            <w:r w:rsidRPr="00305B74">
              <w:rPr>
                <w:rFonts w:asciiTheme="majorHAnsi" w:hAnsiTheme="majorHAnsi"/>
                <w:sz w:val="20"/>
                <w:szCs w:val="20"/>
                <w:lang w:val="en-GB"/>
              </w:rPr>
              <w:t>In the event that the IAP finds a breach that is not capable of remedy or in the event that a remediable breach is not remedied within the prescribed time frame then the DUG may proceed to the ‘Further Escalation Options’. All findings of the IAP will be published and made available to the stakeholder community.</w:t>
            </w:r>
          </w:p>
        </w:tc>
        <w:tc>
          <w:tcPr>
            <w:tcW w:w="855" w:type="dxa"/>
          </w:tcPr>
          <w:p w14:paraId="155190C3" w14:textId="076602CD" w:rsidR="00AD1634" w:rsidRPr="00BA7E12" w:rsidRDefault="001A05E9" w:rsidP="00ED13E0">
            <w:pPr>
              <w:jc w:val="center"/>
              <w:rPr>
                <w:rFonts w:asciiTheme="majorHAnsi" w:hAnsiTheme="majorHAnsi"/>
                <w:b/>
                <w:sz w:val="20"/>
                <w:szCs w:val="20"/>
              </w:rPr>
            </w:pPr>
            <w:r w:rsidRPr="00B17741">
              <w:rPr>
                <w:rFonts w:asciiTheme="majorHAnsi" w:hAnsiTheme="majorHAnsi"/>
                <w:sz w:val="22"/>
                <w:szCs w:val="22"/>
                <w:highlight w:val="yellow"/>
              </w:rPr>
              <w:sym w:font="Symbol" w:char="F02A"/>
            </w:r>
          </w:p>
        </w:tc>
        <w:tc>
          <w:tcPr>
            <w:tcW w:w="4822" w:type="dxa"/>
          </w:tcPr>
          <w:p w14:paraId="752B51E4" w14:textId="77777777" w:rsidR="00AD1634" w:rsidRPr="00BA7E12" w:rsidRDefault="00AD1634" w:rsidP="007A18E4">
            <w:pPr>
              <w:rPr>
                <w:rFonts w:asciiTheme="majorHAnsi" w:hAnsiTheme="majorHAnsi"/>
                <w:color w:val="00000A"/>
                <w:sz w:val="20"/>
                <w:szCs w:val="20"/>
              </w:rPr>
            </w:pPr>
          </w:p>
        </w:tc>
        <w:tc>
          <w:tcPr>
            <w:tcW w:w="855" w:type="dxa"/>
          </w:tcPr>
          <w:p w14:paraId="19F19BDB" w14:textId="77777777" w:rsidR="00AD1634" w:rsidRPr="00BA7E12" w:rsidRDefault="00AD1634" w:rsidP="007A18E4">
            <w:pPr>
              <w:rPr>
                <w:rFonts w:asciiTheme="majorHAnsi" w:hAnsiTheme="majorHAnsi"/>
                <w:b/>
                <w:sz w:val="20"/>
                <w:szCs w:val="20"/>
              </w:rPr>
            </w:pPr>
          </w:p>
        </w:tc>
      </w:tr>
      <w:tr w:rsidR="002E2F04" w:rsidRPr="00BA7E12" w14:paraId="0F72EF82" w14:textId="77777777" w:rsidTr="00661B03">
        <w:trPr>
          <w:cantSplit/>
          <w:jc w:val="center"/>
        </w:trPr>
        <w:tc>
          <w:tcPr>
            <w:tcW w:w="1444" w:type="dxa"/>
          </w:tcPr>
          <w:p w14:paraId="552DF7DA" w14:textId="22536AAE" w:rsidR="002E2F04" w:rsidRPr="00BA7E12" w:rsidRDefault="000F69F1" w:rsidP="00661B03">
            <w:pPr>
              <w:keepNext/>
              <w:rPr>
                <w:rFonts w:asciiTheme="majorHAnsi" w:hAnsiTheme="majorHAnsi"/>
                <w:b/>
                <w:sz w:val="20"/>
                <w:szCs w:val="20"/>
              </w:rPr>
            </w:pPr>
            <w:r w:rsidRPr="00BA7E12">
              <w:rPr>
                <w:rFonts w:asciiTheme="majorHAnsi" w:hAnsiTheme="majorHAnsi"/>
                <w:b/>
                <w:sz w:val="20"/>
                <w:szCs w:val="20"/>
              </w:rPr>
              <w:t>CCWG</w:t>
            </w:r>
          </w:p>
        </w:tc>
        <w:tc>
          <w:tcPr>
            <w:tcW w:w="4282" w:type="dxa"/>
          </w:tcPr>
          <w:p w14:paraId="5F8A3731" w14:textId="77777777" w:rsidR="002E2F04" w:rsidRPr="00BA7E12" w:rsidRDefault="002E2F04" w:rsidP="00661B03">
            <w:pPr>
              <w:keepNext/>
              <w:rPr>
                <w:rFonts w:asciiTheme="majorHAnsi" w:hAnsiTheme="majorHAnsi"/>
                <w:b/>
                <w:sz w:val="20"/>
                <w:szCs w:val="20"/>
              </w:rPr>
            </w:pPr>
          </w:p>
        </w:tc>
        <w:tc>
          <w:tcPr>
            <w:tcW w:w="855" w:type="dxa"/>
          </w:tcPr>
          <w:p w14:paraId="54743A33" w14:textId="77777777" w:rsidR="002E2F04" w:rsidRPr="00BA7E12" w:rsidRDefault="002E2F04" w:rsidP="00661B03">
            <w:pPr>
              <w:keepNext/>
              <w:jc w:val="center"/>
              <w:rPr>
                <w:rFonts w:asciiTheme="majorHAnsi" w:hAnsiTheme="majorHAnsi"/>
                <w:b/>
                <w:sz w:val="20"/>
                <w:szCs w:val="20"/>
              </w:rPr>
            </w:pPr>
          </w:p>
        </w:tc>
        <w:tc>
          <w:tcPr>
            <w:tcW w:w="4822" w:type="dxa"/>
          </w:tcPr>
          <w:p w14:paraId="09E9A9D8" w14:textId="24A70319" w:rsidR="002E2F04" w:rsidRPr="00BA7E12" w:rsidRDefault="0003345D" w:rsidP="00661B03">
            <w:pPr>
              <w:keepNext/>
              <w:rPr>
                <w:rFonts w:asciiTheme="majorHAnsi" w:hAnsiTheme="majorHAnsi"/>
                <w:b/>
                <w:sz w:val="20"/>
                <w:szCs w:val="20"/>
              </w:rPr>
            </w:pPr>
            <w:r w:rsidRPr="00BA7E12">
              <w:rPr>
                <w:rFonts w:asciiTheme="majorHAnsi" w:hAnsiTheme="majorHAnsi"/>
                <w:color w:val="00000A"/>
                <w:sz w:val="20"/>
                <w:szCs w:val="20"/>
              </w:rPr>
              <w:t>Many in the IANA CWG seem to be confounding the mandates of the CWG IANA and the CCWG Accountability by trying to address accountability-related concerns directly within the proposal for the transition of naming-related functions. While these efforts are understandable, many may be misplaced, and should properly be addressed in the work of the CCWG Accountability. We note that the work of the CCWG Accountability is well underway in identifying accountability mechanisms that would empower the multi-stakeholder community and improve upon ICANN’s framework for review and redress and that these efforts would benefit from expanded attention and participation.</w:t>
            </w:r>
          </w:p>
        </w:tc>
        <w:tc>
          <w:tcPr>
            <w:tcW w:w="855" w:type="dxa"/>
          </w:tcPr>
          <w:p w14:paraId="64258BD9" w14:textId="526B539B" w:rsidR="002E2F04" w:rsidRPr="00BA7E12" w:rsidRDefault="003564AF" w:rsidP="00661B03">
            <w:pPr>
              <w:keepNext/>
              <w:jc w:val="center"/>
              <w:rPr>
                <w:rFonts w:asciiTheme="majorHAnsi" w:hAnsiTheme="majorHAnsi"/>
                <w:b/>
                <w:sz w:val="20"/>
                <w:szCs w:val="20"/>
              </w:rPr>
            </w:pPr>
            <w:r w:rsidRPr="00B17741">
              <w:rPr>
                <w:rFonts w:asciiTheme="majorHAnsi" w:hAnsiTheme="majorHAnsi"/>
                <w:sz w:val="22"/>
                <w:szCs w:val="22"/>
                <w:highlight w:val="yellow"/>
              </w:rPr>
              <w:sym w:font="Symbol" w:char="F02A"/>
            </w:r>
          </w:p>
        </w:tc>
      </w:tr>
      <w:tr w:rsidR="002E2F04" w:rsidRPr="00BA7E12" w14:paraId="29CD12CE" w14:textId="77777777" w:rsidTr="00661B03">
        <w:trPr>
          <w:cantSplit/>
          <w:jc w:val="center"/>
        </w:trPr>
        <w:tc>
          <w:tcPr>
            <w:tcW w:w="1444" w:type="dxa"/>
          </w:tcPr>
          <w:p w14:paraId="475B0260" w14:textId="20EF526E" w:rsidR="002E2F04" w:rsidRPr="00BA7E12" w:rsidRDefault="008C3696" w:rsidP="00661B03">
            <w:pPr>
              <w:keepNext/>
              <w:rPr>
                <w:rFonts w:asciiTheme="majorHAnsi" w:hAnsiTheme="majorHAnsi"/>
                <w:b/>
                <w:sz w:val="20"/>
                <w:szCs w:val="20"/>
              </w:rPr>
            </w:pPr>
            <w:r>
              <w:rPr>
                <w:rFonts w:asciiTheme="majorHAnsi" w:hAnsiTheme="majorHAnsi"/>
                <w:b/>
                <w:sz w:val="20"/>
                <w:szCs w:val="20"/>
              </w:rPr>
              <w:t>IANA Budget</w:t>
            </w:r>
          </w:p>
        </w:tc>
        <w:tc>
          <w:tcPr>
            <w:tcW w:w="4282" w:type="dxa"/>
          </w:tcPr>
          <w:p w14:paraId="097706E7" w14:textId="77777777" w:rsidR="002E2F04" w:rsidRPr="00BA7E12" w:rsidRDefault="002E2F04" w:rsidP="00661B03">
            <w:pPr>
              <w:keepNext/>
              <w:rPr>
                <w:rFonts w:asciiTheme="majorHAnsi" w:hAnsiTheme="majorHAnsi"/>
                <w:b/>
                <w:sz w:val="20"/>
                <w:szCs w:val="20"/>
              </w:rPr>
            </w:pPr>
          </w:p>
        </w:tc>
        <w:tc>
          <w:tcPr>
            <w:tcW w:w="855" w:type="dxa"/>
          </w:tcPr>
          <w:p w14:paraId="36508038" w14:textId="77777777" w:rsidR="002E2F04" w:rsidRPr="00BA7E12" w:rsidRDefault="002E2F04" w:rsidP="00661B03">
            <w:pPr>
              <w:keepNext/>
              <w:jc w:val="center"/>
              <w:rPr>
                <w:rFonts w:asciiTheme="majorHAnsi" w:hAnsiTheme="majorHAnsi"/>
                <w:b/>
                <w:sz w:val="20"/>
                <w:szCs w:val="20"/>
              </w:rPr>
            </w:pPr>
          </w:p>
        </w:tc>
        <w:tc>
          <w:tcPr>
            <w:tcW w:w="4822" w:type="dxa"/>
          </w:tcPr>
          <w:p w14:paraId="4953B5F1" w14:textId="0C1D3F09" w:rsidR="002E2F04" w:rsidRPr="00BA7E12" w:rsidRDefault="00BA7E12" w:rsidP="00661B03">
            <w:pPr>
              <w:keepNext/>
              <w:rPr>
                <w:rFonts w:asciiTheme="majorHAnsi" w:hAnsiTheme="majorHAnsi"/>
                <w:sz w:val="20"/>
                <w:szCs w:val="20"/>
              </w:rPr>
            </w:pPr>
            <w:r w:rsidRPr="00BA7E12">
              <w:rPr>
                <w:rFonts w:asciiTheme="majorHAnsi" w:hAnsiTheme="majorHAnsi"/>
                <w:color w:val="00000A"/>
                <w:sz w:val="20"/>
                <w:szCs w:val="20"/>
              </w:rPr>
              <w:t xml:space="preserve">The prime area where functional separation could be enhanced was by providing greater clarity on the budget of the IANA Functions Operator including the source of those funds, how the expenses are divided across the functions deployed by the three primary customer communities, and how the IANA funds are spent. Ideally, we would like to see a stable funding stream for the performance of the IANA naming functions coming from the fees currently paid to ICANN by </w:t>
            </w:r>
            <w:proofErr w:type="spellStart"/>
            <w:r w:rsidRPr="00BA7E12">
              <w:rPr>
                <w:rFonts w:asciiTheme="majorHAnsi" w:hAnsiTheme="majorHAnsi"/>
                <w:color w:val="00000A"/>
                <w:sz w:val="20"/>
                <w:szCs w:val="20"/>
              </w:rPr>
              <w:t>ccTLD</w:t>
            </w:r>
            <w:proofErr w:type="spellEnd"/>
            <w:r w:rsidRPr="00BA7E12">
              <w:rPr>
                <w:rFonts w:asciiTheme="majorHAnsi" w:hAnsiTheme="majorHAnsi"/>
                <w:color w:val="00000A"/>
                <w:sz w:val="20"/>
                <w:szCs w:val="20"/>
              </w:rPr>
              <w:t xml:space="preserve"> and </w:t>
            </w:r>
            <w:proofErr w:type="spellStart"/>
            <w:r w:rsidRPr="00BA7E12">
              <w:rPr>
                <w:rFonts w:asciiTheme="majorHAnsi" w:hAnsiTheme="majorHAnsi"/>
                <w:color w:val="00000A"/>
                <w:sz w:val="20"/>
                <w:szCs w:val="20"/>
              </w:rPr>
              <w:t>gTLD</w:t>
            </w:r>
            <w:proofErr w:type="spellEnd"/>
            <w:r w:rsidRPr="00BA7E12">
              <w:rPr>
                <w:rFonts w:asciiTheme="majorHAnsi" w:hAnsiTheme="majorHAnsi"/>
                <w:color w:val="00000A"/>
                <w:sz w:val="20"/>
                <w:szCs w:val="20"/>
              </w:rPr>
              <w:t xml:space="preserve"> Registry Operators, notwithstanding year-to-year budgeting decisions, as well as to ensure that the functions continue to be supported in a case where they were transitioned to a successor operator. We further believe that providing the customers of the functions input into how these funds are apportioned by the IANA functions operator will ensure that the performance improves and evolves in accordance with the needs and goals of its customers. </w:t>
            </w:r>
          </w:p>
        </w:tc>
        <w:tc>
          <w:tcPr>
            <w:tcW w:w="855" w:type="dxa"/>
          </w:tcPr>
          <w:p w14:paraId="2B77B0F9" w14:textId="7AFCCABD" w:rsidR="002E2F04" w:rsidRPr="00BA7E12" w:rsidRDefault="003564AF" w:rsidP="00661B03">
            <w:pPr>
              <w:keepNext/>
              <w:jc w:val="center"/>
              <w:rPr>
                <w:rFonts w:asciiTheme="majorHAnsi" w:hAnsiTheme="majorHAnsi"/>
                <w:b/>
                <w:sz w:val="20"/>
                <w:szCs w:val="20"/>
              </w:rPr>
            </w:pPr>
            <w:r w:rsidRPr="00B17741">
              <w:rPr>
                <w:rFonts w:asciiTheme="majorHAnsi" w:hAnsiTheme="majorHAnsi"/>
                <w:sz w:val="22"/>
                <w:szCs w:val="22"/>
                <w:highlight w:val="yellow"/>
              </w:rPr>
              <w:sym w:font="Symbol" w:char="F02A"/>
            </w:r>
          </w:p>
        </w:tc>
      </w:tr>
      <w:tr w:rsidR="002E2F04" w:rsidRPr="00BA7E12" w14:paraId="3020D7B6" w14:textId="77777777" w:rsidTr="00661B03">
        <w:trPr>
          <w:cantSplit/>
          <w:jc w:val="center"/>
        </w:trPr>
        <w:tc>
          <w:tcPr>
            <w:tcW w:w="1444" w:type="dxa"/>
          </w:tcPr>
          <w:p w14:paraId="1DC858EC" w14:textId="77777777" w:rsidR="002E2F04" w:rsidRPr="00BA7E12" w:rsidRDefault="002E2F04">
            <w:pPr>
              <w:rPr>
                <w:rFonts w:asciiTheme="majorHAnsi" w:hAnsiTheme="majorHAnsi"/>
                <w:b/>
                <w:sz w:val="20"/>
                <w:szCs w:val="20"/>
              </w:rPr>
            </w:pPr>
            <w:r w:rsidRPr="00BA7E12">
              <w:rPr>
                <w:rFonts w:asciiTheme="majorHAnsi" w:hAnsiTheme="majorHAnsi"/>
                <w:b/>
                <w:sz w:val="20"/>
                <w:szCs w:val="20"/>
              </w:rPr>
              <w:t>Supported by</w:t>
            </w:r>
          </w:p>
        </w:tc>
        <w:tc>
          <w:tcPr>
            <w:tcW w:w="4282" w:type="dxa"/>
          </w:tcPr>
          <w:p w14:paraId="4D58C3B5" w14:textId="77777777" w:rsidR="00FB16F3" w:rsidRPr="00FB16F3" w:rsidRDefault="00FB16F3" w:rsidP="00FB16F3">
            <w:pPr>
              <w:widowControl w:val="0"/>
              <w:autoSpaceDE w:val="0"/>
              <w:autoSpaceDN w:val="0"/>
              <w:adjustRightInd w:val="0"/>
              <w:rPr>
                <w:rFonts w:asciiTheme="majorHAnsi" w:hAnsiTheme="majorHAnsi" w:cs="Verdana"/>
                <w:sz w:val="20"/>
                <w:szCs w:val="20"/>
              </w:rPr>
            </w:pPr>
            <w:r w:rsidRPr="00FB16F3">
              <w:rPr>
                <w:rFonts w:asciiTheme="majorHAnsi" w:hAnsiTheme="majorHAnsi" w:cs="Verdana"/>
                <w:color w:val="1A1A1A"/>
                <w:sz w:val="20"/>
                <w:szCs w:val="20"/>
              </w:rPr>
              <w:t xml:space="preserve">A number of registries have got together and produced the attached document as guidance to the CWG. Our goal has been to provide the CWG </w:t>
            </w:r>
            <w:r w:rsidRPr="00FB16F3">
              <w:rPr>
                <w:rFonts w:asciiTheme="majorHAnsi" w:hAnsiTheme="majorHAnsi" w:cs="Verdana"/>
                <w:sz w:val="20"/>
                <w:szCs w:val="20"/>
              </w:rPr>
              <w:t xml:space="preserve">with some clear information about the thinking of IANA customers about aspects of the transition from the USG. Whilst </w:t>
            </w:r>
            <w:proofErr w:type="gramStart"/>
            <w:r w:rsidRPr="00FB16F3">
              <w:rPr>
                <w:rFonts w:asciiTheme="majorHAnsi" w:hAnsiTheme="majorHAnsi" w:cs="Verdana"/>
                <w:sz w:val="20"/>
                <w:szCs w:val="20"/>
              </w:rPr>
              <w:t>this guidance document is not, at this stage, specifically endorsed by registries</w:t>
            </w:r>
            <w:proofErr w:type="gramEnd"/>
            <w:r w:rsidRPr="00FB16F3">
              <w:rPr>
                <w:rFonts w:asciiTheme="majorHAnsi" w:hAnsiTheme="majorHAnsi" w:cs="Verdana"/>
                <w:sz w:val="20"/>
                <w:szCs w:val="20"/>
              </w:rPr>
              <w:t xml:space="preserve">, it has been put together with input from those registries listed below. It is intended to be constructive and to assist the various design teams with their work whilst at the same time providing guidance about the areas that registries may consider </w:t>
            </w:r>
            <w:proofErr w:type="gramStart"/>
            <w:r w:rsidRPr="00FB16F3">
              <w:rPr>
                <w:rFonts w:asciiTheme="majorHAnsi" w:hAnsiTheme="majorHAnsi" w:cs="Verdana"/>
                <w:sz w:val="20"/>
                <w:szCs w:val="20"/>
              </w:rPr>
              <w:t>to be</w:t>
            </w:r>
            <w:proofErr w:type="gramEnd"/>
            <w:r w:rsidRPr="00FB16F3">
              <w:rPr>
                <w:rFonts w:asciiTheme="majorHAnsi" w:hAnsiTheme="majorHAnsi" w:cs="Verdana"/>
                <w:sz w:val="20"/>
                <w:szCs w:val="20"/>
              </w:rPr>
              <w:t xml:space="preserve"> critical aspects of the plan that the CWG is designing. All of us are happy to engage with the CWG on any aspects of this document or answer any questions.</w:t>
            </w:r>
          </w:p>
          <w:p w14:paraId="2664131C" w14:textId="77777777" w:rsidR="00FB16F3" w:rsidRPr="00FB16F3" w:rsidRDefault="00FB16F3" w:rsidP="00FB16F3">
            <w:pPr>
              <w:widowControl w:val="0"/>
              <w:autoSpaceDE w:val="0"/>
              <w:autoSpaceDN w:val="0"/>
              <w:adjustRightInd w:val="0"/>
              <w:rPr>
                <w:rFonts w:asciiTheme="majorHAnsi" w:hAnsiTheme="majorHAnsi" w:cs="Verdana"/>
                <w:sz w:val="20"/>
                <w:szCs w:val="20"/>
              </w:rPr>
            </w:pPr>
            <w:r w:rsidRPr="00FB16F3">
              <w:rPr>
                <w:rFonts w:asciiTheme="majorHAnsi" w:hAnsiTheme="majorHAnsi" w:cs="Verdana"/>
                <w:sz w:val="20"/>
                <w:szCs w:val="20"/>
              </w:rPr>
              <w:t>Registries:</w:t>
            </w:r>
          </w:p>
          <w:p w14:paraId="683DDEDA" w14:textId="77777777" w:rsidR="00FB16F3" w:rsidRPr="00FB16F3" w:rsidRDefault="00FB16F3" w:rsidP="00FB16F3">
            <w:pPr>
              <w:widowControl w:val="0"/>
              <w:autoSpaceDE w:val="0"/>
              <w:autoSpaceDN w:val="0"/>
              <w:adjustRightInd w:val="0"/>
              <w:rPr>
                <w:rFonts w:asciiTheme="majorHAnsi" w:hAnsiTheme="majorHAnsi" w:cs="Verdana"/>
                <w:sz w:val="20"/>
                <w:szCs w:val="20"/>
              </w:rPr>
            </w:pPr>
          </w:p>
          <w:p w14:paraId="289B4E8D" w14:textId="77777777" w:rsidR="00FB16F3" w:rsidRPr="00FB16F3" w:rsidRDefault="00FB16F3" w:rsidP="00FB16F3">
            <w:pPr>
              <w:widowControl w:val="0"/>
              <w:autoSpaceDE w:val="0"/>
              <w:autoSpaceDN w:val="0"/>
              <w:adjustRightInd w:val="0"/>
              <w:rPr>
                <w:rFonts w:asciiTheme="majorHAnsi" w:hAnsiTheme="majorHAnsi" w:cs="Verdana"/>
                <w:sz w:val="20"/>
                <w:szCs w:val="20"/>
              </w:rPr>
            </w:pPr>
            <w:proofErr w:type="spellStart"/>
            <w:proofErr w:type="gramStart"/>
            <w:r w:rsidRPr="00FB16F3">
              <w:rPr>
                <w:rFonts w:asciiTheme="majorHAnsi" w:hAnsiTheme="majorHAnsi" w:cs="Verdana"/>
                <w:sz w:val="20"/>
                <w:szCs w:val="20"/>
              </w:rPr>
              <w:t>auDA</w:t>
            </w:r>
            <w:proofErr w:type="spellEnd"/>
            <w:proofErr w:type="gramEnd"/>
            <w:r w:rsidRPr="00FB16F3">
              <w:rPr>
                <w:rFonts w:asciiTheme="majorHAnsi" w:hAnsiTheme="majorHAnsi" w:cs="Verdana"/>
                <w:sz w:val="20"/>
                <w:szCs w:val="20"/>
              </w:rPr>
              <w:t xml:space="preserve"> (.au)</w:t>
            </w:r>
          </w:p>
          <w:p w14:paraId="69214CA4" w14:textId="77777777" w:rsidR="00FB16F3" w:rsidRPr="00FB16F3" w:rsidRDefault="00FB16F3" w:rsidP="00FB16F3">
            <w:pPr>
              <w:widowControl w:val="0"/>
              <w:autoSpaceDE w:val="0"/>
              <w:autoSpaceDN w:val="0"/>
              <w:adjustRightInd w:val="0"/>
              <w:rPr>
                <w:rFonts w:asciiTheme="majorHAnsi" w:hAnsiTheme="majorHAnsi" w:cs="Verdana"/>
                <w:sz w:val="20"/>
                <w:szCs w:val="20"/>
              </w:rPr>
            </w:pPr>
            <w:r w:rsidRPr="00FB16F3">
              <w:rPr>
                <w:rFonts w:asciiTheme="majorHAnsi" w:hAnsiTheme="majorHAnsi" w:cs="Verdana"/>
                <w:sz w:val="20"/>
                <w:szCs w:val="20"/>
              </w:rPr>
              <w:t>CIRA (.</w:t>
            </w:r>
            <w:proofErr w:type="spellStart"/>
            <w:r w:rsidRPr="00FB16F3">
              <w:rPr>
                <w:rFonts w:asciiTheme="majorHAnsi" w:hAnsiTheme="majorHAnsi" w:cs="Verdana"/>
                <w:sz w:val="20"/>
                <w:szCs w:val="20"/>
              </w:rPr>
              <w:t>ca</w:t>
            </w:r>
            <w:proofErr w:type="spellEnd"/>
            <w:r w:rsidRPr="00FB16F3">
              <w:rPr>
                <w:rFonts w:asciiTheme="majorHAnsi" w:hAnsiTheme="majorHAnsi" w:cs="Verdana"/>
                <w:sz w:val="20"/>
                <w:szCs w:val="20"/>
              </w:rPr>
              <w:t>)</w:t>
            </w:r>
          </w:p>
          <w:p w14:paraId="3D860C1D" w14:textId="77777777" w:rsidR="00FB16F3" w:rsidRPr="00FB16F3" w:rsidRDefault="00FB16F3" w:rsidP="00FB16F3">
            <w:pPr>
              <w:widowControl w:val="0"/>
              <w:autoSpaceDE w:val="0"/>
              <w:autoSpaceDN w:val="0"/>
              <w:adjustRightInd w:val="0"/>
              <w:rPr>
                <w:rFonts w:asciiTheme="majorHAnsi" w:hAnsiTheme="majorHAnsi" w:cs="Verdana"/>
                <w:sz w:val="20"/>
                <w:szCs w:val="20"/>
              </w:rPr>
            </w:pPr>
            <w:r w:rsidRPr="00FB16F3">
              <w:rPr>
                <w:rFonts w:asciiTheme="majorHAnsi" w:hAnsiTheme="majorHAnsi" w:cs="Verdana"/>
                <w:sz w:val="20"/>
                <w:szCs w:val="20"/>
              </w:rPr>
              <w:t>Internet NZ (.</w:t>
            </w:r>
            <w:proofErr w:type="spellStart"/>
            <w:r w:rsidRPr="00FB16F3">
              <w:rPr>
                <w:rFonts w:asciiTheme="majorHAnsi" w:hAnsiTheme="majorHAnsi" w:cs="Verdana"/>
                <w:sz w:val="20"/>
                <w:szCs w:val="20"/>
              </w:rPr>
              <w:t>nz</w:t>
            </w:r>
            <w:proofErr w:type="spellEnd"/>
            <w:r w:rsidRPr="00FB16F3">
              <w:rPr>
                <w:rFonts w:asciiTheme="majorHAnsi" w:hAnsiTheme="majorHAnsi" w:cs="Verdana"/>
                <w:sz w:val="20"/>
                <w:szCs w:val="20"/>
              </w:rPr>
              <w:t>)</w:t>
            </w:r>
          </w:p>
          <w:p w14:paraId="5A8B9AE3" w14:textId="77777777" w:rsidR="00FB16F3" w:rsidRPr="00FB16F3" w:rsidRDefault="00FB16F3" w:rsidP="00FB16F3">
            <w:pPr>
              <w:widowControl w:val="0"/>
              <w:autoSpaceDE w:val="0"/>
              <w:autoSpaceDN w:val="0"/>
              <w:adjustRightInd w:val="0"/>
              <w:rPr>
                <w:rFonts w:asciiTheme="majorHAnsi" w:hAnsiTheme="majorHAnsi" w:cs="Verdana"/>
                <w:sz w:val="20"/>
                <w:szCs w:val="20"/>
              </w:rPr>
            </w:pPr>
            <w:r w:rsidRPr="00FB16F3">
              <w:rPr>
                <w:rFonts w:asciiTheme="majorHAnsi" w:hAnsiTheme="majorHAnsi" w:cs="Verdana"/>
                <w:sz w:val="20"/>
                <w:szCs w:val="20"/>
              </w:rPr>
              <w:t>DENIC (.de)</w:t>
            </w:r>
          </w:p>
          <w:p w14:paraId="38C1D4F3" w14:textId="77777777" w:rsidR="00FB16F3" w:rsidRPr="00FB16F3" w:rsidRDefault="00FB16F3" w:rsidP="00FB16F3">
            <w:pPr>
              <w:widowControl w:val="0"/>
              <w:autoSpaceDE w:val="0"/>
              <w:autoSpaceDN w:val="0"/>
              <w:adjustRightInd w:val="0"/>
              <w:rPr>
                <w:rFonts w:asciiTheme="majorHAnsi" w:hAnsiTheme="majorHAnsi" w:cs="Verdana"/>
                <w:sz w:val="20"/>
                <w:szCs w:val="20"/>
              </w:rPr>
            </w:pPr>
            <w:r w:rsidRPr="00FB16F3">
              <w:rPr>
                <w:rFonts w:asciiTheme="majorHAnsi" w:hAnsiTheme="majorHAnsi" w:cs="Verdana"/>
                <w:sz w:val="20"/>
                <w:szCs w:val="20"/>
              </w:rPr>
              <w:t>SIDN (.</w:t>
            </w:r>
            <w:proofErr w:type="spellStart"/>
            <w:r w:rsidRPr="00FB16F3">
              <w:rPr>
                <w:rFonts w:asciiTheme="majorHAnsi" w:hAnsiTheme="majorHAnsi" w:cs="Verdana"/>
                <w:sz w:val="20"/>
                <w:szCs w:val="20"/>
              </w:rPr>
              <w:t>nl</w:t>
            </w:r>
            <w:proofErr w:type="spellEnd"/>
            <w:r w:rsidRPr="00FB16F3">
              <w:rPr>
                <w:rFonts w:asciiTheme="majorHAnsi" w:hAnsiTheme="majorHAnsi" w:cs="Verdana"/>
                <w:sz w:val="20"/>
                <w:szCs w:val="20"/>
              </w:rPr>
              <w:t>)</w:t>
            </w:r>
          </w:p>
          <w:p w14:paraId="7F1349FC" w14:textId="77777777" w:rsidR="00FB16F3" w:rsidRPr="00FB16F3" w:rsidRDefault="00FB16F3" w:rsidP="00FB16F3">
            <w:pPr>
              <w:widowControl w:val="0"/>
              <w:autoSpaceDE w:val="0"/>
              <w:autoSpaceDN w:val="0"/>
              <w:adjustRightInd w:val="0"/>
              <w:rPr>
                <w:rFonts w:asciiTheme="majorHAnsi" w:hAnsiTheme="majorHAnsi" w:cs="Verdana"/>
                <w:sz w:val="20"/>
                <w:szCs w:val="20"/>
              </w:rPr>
            </w:pPr>
            <w:r w:rsidRPr="00FB16F3">
              <w:rPr>
                <w:rFonts w:asciiTheme="majorHAnsi" w:hAnsiTheme="majorHAnsi" w:cs="Verdana"/>
                <w:sz w:val="20"/>
                <w:szCs w:val="20"/>
              </w:rPr>
              <w:t>Internet Infrastructure Foundation (.se)</w:t>
            </w:r>
          </w:p>
          <w:p w14:paraId="220A5557" w14:textId="77777777" w:rsidR="00FB16F3" w:rsidRPr="00FB16F3" w:rsidRDefault="00FB16F3" w:rsidP="00FB16F3">
            <w:pPr>
              <w:widowControl w:val="0"/>
              <w:autoSpaceDE w:val="0"/>
              <w:autoSpaceDN w:val="0"/>
              <w:adjustRightInd w:val="0"/>
              <w:rPr>
                <w:rFonts w:asciiTheme="majorHAnsi" w:hAnsiTheme="majorHAnsi" w:cs="Verdana"/>
                <w:sz w:val="20"/>
                <w:szCs w:val="20"/>
              </w:rPr>
            </w:pPr>
            <w:proofErr w:type="spellStart"/>
            <w:r w:rsidRPr="00FB16F3">
              <w:rPr>
                <w:rFonts w:asciiTheme="majorHAnsi" w:hAnsiTheme="majorHAnsi" w:cs="Verdana"/>
                <w:sz w:val="20"/>
                <w:szCs w:val="20"/>
              </w:rPr>
              <w:t>AusRegistry</w:t>
            </w:r>
            <w:proofErr w:type="spellEnd"/>
            <w:r w:rsidRPr="00FB16F3">
              <w:rPr>
                <w:rFonts w:asciiTheme="majorHAnsi" w:hAnsiTheme="majorHAnsi" w:cs="Verdana"/>
                <w:sz w:val="20"/>
                <w:szCs w:val="20"/>
              </w:rPr>
              <w:t xml:space="preserve"> International</w:t>
            </w:r>
          </w:p>
          <w:p w14:paraId="0178A9C6" w14:textId="77777777" w:rsidR="00FB16F3" w:rsidRPr="00FB16F3" w:rsidRDefault="00FB16F3" w:rsidP="00FB16F3">
            <w:pPr>
              <w:widowControl w:val="0"/>
              <w:autoSpaceDE w:val="0"/>
              <w:autoSpaceDN w:val="0"/>
              <w:adjustRightInd w:val="0"/>
              <w:rPr>
                <w:rFonts w:asciiTheme="majorHAnsi" w:hAnsiTheme="majorHAnsi" w:cs="Verdana"/>
                <w:sz w:val="20"/>
                <w:szCs w:val="20"/>
              </w:rPr>
            </w:pPr>
            <w:proofErr w:type="spellStart"/>
            <w:r w:rsidRPr="00FB16F3">
              <w:rPr>
                <w:rFonts w:asciiTheme="majorHAnsi" w:hAnsiTheme="majorHAnsi" w:cs="Verdana"/>
                <w:sz w:val="20"/>
                <w:szCs w:val="20"/>
              </w:rPr>
              <w:t>Afilias</w:t>
            </w:r>
            <w:proofErr w:type="spellEnd"/>
          </w:p>
          <w:p w14:paraId="0D15C921" w14:textId="77777777" w:rsidR="00FB16F3" w:rsidRPr="00FB16F3" w:rsidRDefault="00FB16F3" w:rsidP="00FB16F3">
            <w:pPr>
              <w:widowControl w:val="0"/>
              <w:autoSpaceDE w:val="0"/>
              <w:autoSpaceDN w:val="0"/>
              <w:adjustRightInd w:val="0"/>
              <w:rPr>
                <w:rFonts w:asciiTheme="majorHAnsi" w:hAnsiTheme="majorHAnsi" w:cs="Verdana"/>
                <w:sz w:val="20"/>
                <w:szCs w:val="20"/>
              </w:rPr>
            </w:pPr>
            <w:r w:rsidRPr="00FB16F3">
              <w:rPr>
                <w:rFonts w:asciiTheme="majorHAnsi" w:hAnsiTheme="majorHAnsi" w:cs="Verdana"/>
                <w:sz w:val="20"/>
                <w:szCs w:val="20"/>
              </w:rPr>
              <w:t>Google</w:t>
            </w:r>
          </w:p>
          <w:p w14:paraId="17D1B34F" w14:textId="77777777" w:rsidR="00FB16F3" w:rsidRPr="00FB16F3" w:rsidRDefault="00FB16F3" w:rsidP="00FB16F3">
            <w:pPr>
              <w:widowControl w:val="0"/>
              <w:autoSpaceDE w:val="0"/>
              <w:autoSpaceDN w:val="0"/>
              <w:adjustRightInd w:val="0"/>
              <w:rPr>
                <w:rFonts w:asciiTheme="majorHAnsi" w:hAnsiTheme="majorHAnsi" w:cs="Verdana"/>
                <w:sz w:val="20"/>
                <w:szCs w:val="20"/>
              </w:rPr>
            </w:pPr>
            <w:proofErr w:type="spellStart"/>
            <w:r w:rsidRPr="00FB16F3">
              <w:rPr>
                <w:rFonts w:asciiTheme="majorHAnsi" w:hAnsiTheme="majorHAnsi" w:cs="Verdana"/>
                <w:sz w:val="20"/>
                <w:szCs w:val="20"/>
              </w:rPr>
              <w:t>Neustar</w:t>
            </w:r>
            <w:proofErr w:type="spellEnd"/>
          </w:p>
          <w:p w14:paraId="2A08155A" w14:textId="62D8A524" w:rsidR="002E2F04" w:rsidRPr="00BA7E12" w:rsidRDefault="00FB16F3" w:rsidP="00FB16F3">
            <w:pPr>
              <w:rPr>
                <w:rFonts w:asciiTheme="majorHAnsi" w:hAnsiTheme="majorHAnsi"/>
                <w:b/>
                <w:sz w:val="20"/>
                <w:szCs w:val="20"/>
              </w:rPr>
            </w:pPr>
            <w:r w:rsidRPr="00FB16F3">
              <w:rPr>
                <w:rFonts w:asciiTheme="majorHAnsi" w:hAnsiTheme="majorHAnsi" w:cs="Verdana"/>
                <w:sz w:val="20"/>
                <w:szCs w:val="20"/>
              </w:rPr>
              <w:t>PIR</w:t>
            </w:r>
          </w:p>
        </w:tc>
        <w:tc>
          <w:tcPr>
            <w:tcW w:w="855" w:type="dxa"/>
          </w:tcPr>
          <w:p w14:paraId="1327D957" w14:textId="77777777" w:rsidR="002E2F04" w:rsidRPr="00BA7E12" w:rsidRDefault="002E2F04" w:rsidP="00ED13E0">
            <w:pPr>
              <w:jc w:val="center"/>
              <w:rPr>
                <w:rFonts w:asciiTheme="majorHAnsi" w:hAnsiTheme="majorHAnsi"/>
                <w:b/>
                <w:sz w:val="20"/>
                <w:szCs w:val="20"/>
              </w:rPr>
            </w:pPr>
          </w:p>
        </w:tc>
        <w:tc>
          <w:tcPr>
            <w:tcW w:w="4822" w:type="dxa"/>
          </w:tcPr>
          <w:p w14:paraId="7AC9A88E" w14:textId="453963E6" w:rsidR="002E2F04" w:rsidRPr="00BA7E12" w:rsidRDefault="00FB16F3">
            <w:pPr>
              <w:rPr>
                <w:rFonts w:asciiTheme="majorHAnsi" w:hAnsiTheme="majorHAnsi"/>
                <w:b/>
                <w:sz w:val="20"/>
                <w:szCs w:val="20"/>
              </w:rPr>
            </w:pPr>
            <w:r w:rsidRPr="00FB16F3">
              <w:rPr>
                <w:rFonts w:asciiTheme="majorHAnsi" w:hAnsiTheme="majorHAnsi"/>
                <w:color w:val="00000A"/>
                <w:sz w:val="20"/>
                <w:szCs w:val="20"/>
              </w:rPr>
              <w:t xml:space="preserve">The attached statement was prepared by </w:t>
            </w:r>
            <w:proofErr w:type="spellStart"/>
            <w:r w:rsidRPr="00FB16F3">
              <w:rPr>
                <w:rFonts w:asciiTheme="majorHAnsi" w:hAnsiTheme="majorHAnsi"/>
                <w:color w:val="00000A"/>
                <w:sz w:val="20"/>
                <w:szCs w:val="20"/>
              </w:rPr>
              <w:t>gTLD</w:t>
            </w:r>
            <w:proofErr w:type="spellEnd"/>
            <w:r w:rsidRPr="00FB16F3">
              <w:rPr>
                <w:rFonts w:asciiTheme="majorHAnsi" w:hAnsiTheme="majorHAnsi"/>
                <w:color w:val="00000A"/>
                <w:sz w:val="20"/>
                <w:szCs w:val="20"/>
              </w:rPr>
              <w:t xml:space="preserve"> members participating in this working group with input and support from the wider Registries Stakeholder Group. Though no formal vote was taken, all feedback received was constructive and supportive of the statement. It is meant as </w:t>
            </w:r>
            <w:proofErr w:type="gramStart"/>
            <w:r w:rsidRPr="00FB16F3">
              <w:rPr>
                <w:rFonts w:asciiTheme="majorHAnsi" w:hAnsiTheme="majorHAnsi"/>
                <w:color w:val="00000A"/>
                <w:sz w:val="20"/>
                <w:szCs w:val="20"/>
              </w:rPr>
              <w:t>a follow</w:t>
            </w:r>
            <w:proofErr w:type="gramEnd"/>
            <w:r w:rsidRPr="00FB16F3">
              <w:rPr>
                <w:rFonts w:asciiTheme="majorHAnsi" w:hAnsiTheme="majorHAnsi"/>
                <w:color w:val="00000A"/>
                <w:sz w:val="20"/>
                <w:szCs w:val="20"/>
              </w:rPr>
              <w:t xml:space="preserve">-on to the </w:t>
            </w:r>
            <w:proofErr w:type="spellStart"/>
            <w:r w:rsidRPr="00FB16F3">
              <w:rPr>
                <w:rFonts w:asciiTheme="majorHAnsi" w:hAnsiTheme="majorHAnsi"/>
                <w:color w:val="00000A"/>
                <w:sz w:val="20"/>
                <w:szCs w:val="20"/>
              </w:rPr>
              <w:t>RySG</w:t>
            </w:r>
            <w:proofErr w:type="spellEnd"/>
            <w:r w:rsidRPr="00FB16F3">
              <w:rPr>
                <w:rFonts w:asciiTheme="majorHAnsi" w:hAnsiTheme="majorHAnsi"/>
                <w:color w:val="00000A"/>
                <w:sz w:val="20"/>
                <w:szCs w:val="20"/>
              </w:rPr>
              <w:t xml:space="preserve"> comments provided on the Draft IANA proposal, taking into account additional work and developments since December.</w:t>
            </w:r>
          </w:p>
        </w:tc>
        <w:tc>
          <w:tcPr>
            <w:tcW w:w="855" w:type="dxa"/>
          </w:tcPr>
          <w:p w14:paraId="25545A81" w14:textId="77777777" w:rsidR="002E2F04" w:rsidRPr="00BA7E12" w:rsidRDefault="002E2F04">
            <w:pPr>
              <w:rPr>
                <w:rFonts w:asciiTheme="majorHAnsi" w:hAnsiTheme="majorHAnsi"/>
                <w:b/>
                <w:sz w:val="20"/>
                <w:szCs w:val="20"/>
              </w:rPr>
            </w:pPr>
          </w:p>
        </w:tc>
      </w:tr>
    </w:tbl>
    <w:p w14:paraId="77003A94" w14:textId="77777777" w:rsidR="00C029D1" w:rsidRDefault="00C029D1"/>
    <w:sectPr w:rsidR="00C029D1" w:rsidSect="008F2A3C">
      <w:headerReference w:type="even" r:id="rId10"/>
      <w:headerReference w:type="default" r:id="rId11"/>
      <w:footerReference w:type="even" r:id="rId12"/>
      <w:footerReference w:type="default" r:id="rId13"/>
      <w:headerReference w:type="first" r:id="rId14"/>
      <w:footerReference w:type="first" r:id="rId15"/>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0A3FA" w14:textId="77777777" w:rsidR="00002776" w:rsidRDefault="00002776" w:rsidP="00305B74">
      <w:r>
        <w:separator/>
      </w:r>
    </w:p>
  </w:endnote>
  <w:endnote w:type="continuationSeparator" w:id="0">
    <w:p w14:paraId="3E9154E3" w14:textId="77777777" w:rsidR="00002776" w:rsidRDefault="00002776" w:rsidP="0030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OpenSymbol">
    <w:altName w:val="Arial Unicode MS"/>
    <w:charset w:val="01"/>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0F77D6" w14:textId="77777777" w:rsidR="00005E7E" w:rsidRDefault="00005E7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C5E33F" w14:textId="77777777" w:rsidR="00005E7E" w:rsidRDefault="00005E7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8D8CF9" w14:textId="77777777" w:rsidR="00005E7E" w:rsidRDefault="00005E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6A674" w14:textId="77777777" w:rsidR="00002776" w:rsidRDefault="00002776" w:rsidP="00305B74">
      <w:r>
        <w:separator/>
      </w:r>
    </w:p>
  </w:footnote>
  <w:footnote w:type="continuationSeparator" w:id="0">
    <w:p w14:paraId="1874CC9F" w14:textId="77777777" w:rsidR="00002776" w:rsidRDefault="00002776" w:rsidP="00305B74">
      <w:r>
        <w:continuationSeparator/>
      </w:r>
    </w:p>
  </w:footnote>
  <w:footnote w:id="1">
    <w:p w14:paraId="0945E416" w14:textId="77777777" w:rsidR="00002776" w:rsidRPr="00FB16F3" w:rsidRDefault="00002776" w:rsidP="00305B74">
      <w:pPr>
        <w:pStyle w:val="FootnoteText"/>
        <w:rPr>
          <w:rFonts w:asciiTheme="majorHAnsi" w:hAnsiTheme="majorHAnsi"/>
        </w:rPr>
      </w:pPr>
      <w:r w:rsidRPr="00FB16F3">
        <w:rPr>
          <w:rStyle w:val="FootnoteReference"/>
          <w:rFonts w:asciiTheme="majorHAnsi" w:hAnsiTheme="majorHAnsi"/>
        </w:rPr>
        <w:footnoteRef/>
      </w:r>
      <w:r w:rsidRPr="00FB16F3">
        <w:rPr>
          <w:rFonts w:asciiTheme="majorHAnsi" w:hAnsiTheme="majorHAnsi"/>
        </w:rPr>
        <w:t xml:space="preserve"> The concept of a "DUG" is similar to the "Customer Service Committee" outlined in other proposals and discussions.</w:t>
      </w:r>
    </w:p>
  </w:footnote>
  <w:footnote w:id="2">
    <w:p w14:paraId="05425E34" w14:textId="77777777" w:rsidR="00002776" w:rsidRDefault="00002776" w:rsidP="00305B74">
      <w:pPr>
        <w:pStyle w:val="FootnoteText"/>
      </w:pPr>
      <w:r w:rsidRPr="00FB16F3">
        <w:rPr>
          <w:rStyle w:val="FootnoteReference"/>
          <w:rFonts w:asciiTheme="majorHAnsi" w:hAnsiTheme="majorHAnsi"/>
        </w:rPr>
        <w:footnoteRef/>
      </w:r>
      <w:r w:rsidRPr="00FB16F3">
        <w:rPr>
          <w:rFonts w:asciiTheme="majorHAnsi" w:hAnsiTheme="majorHAnsi"/>
        </w:rPr>
        <w:t xml:space="preserve"> </w:t>
      </w:r>
      <w:proofErr w:type="gramStart"/>
      <w:r w:rsidRPr="00FB16F3">
        <w:rPr>
          <w:rFonts w:asciiTheme="majorHAnsi" w:hAnsiTheme="majorHAnsi"/>
        </w:rPr>
        <w:t xml:space="preserve">Such an agreement to be voluntarily bound by an appeals process in essential, given most </w:t>
      </w:r>
      <w:proofErr w:type="spellStart"/>
      <w:r w:rsidRPr="00FB16F3">
        <w:rPr>
          <w:rFonts w:asciiTheme="majorHAnsi" w:hAnsiTheme="majorHAnsi"/>
        </w:rPr>
        <w:t>ccTLDs</w:t>
      </w:r>
      <w:proofErr w:type="spellEnd"/>
      <w:r w:rsidRPr="00FB16F3">
        <w:rPr>
          <w:rFonts w:asciiTheme="majorHAnsi" w:hAnsiTheme="majorHAnsi"/>
        </w:rPr>
        <w:t xml:space="preserve"> do</w:t>
      </w:r>
      <w:proofErr w:type="gramEnd"/>
      <w:r w:rsidRPr="00FB16F3">
        <w:rPr>
          <w:rFonts w:asciiTheme="majorHAnsi" w:hAnsiTheme="majorHAnsi"/>
        </w:rPr>
        <w:t xml:space="preserve"> not have a contractual agreement with ICANN/IANA.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EF1AC8" w14:textId="52082258" w:rsidR="00005E7E" w:rsidRDefault="00005E7E">
    <w:pPr>
      <w:pStyle w:val="Header"/>
    </w:pPr>
    <w:r>
      <w:rPr>
        <w:noProof/>
      </w:rPr>
      <w:pict w14:anchorId="4294658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456.8pt;height:152.25pt;rotation:315;z-index:-251649024;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silver" stroked="f">
          <v:fill opacity="34078f"/>
          <v:textpath style="font-family:&quot;Calibri&quot;;font-size:1pt" string="DRAFT"/>
        </v:shape>
      </w:pict>
    </w:r>
    <w:r>
      <w:rPr>
        <w:noProof/>
      </w:rPr>
      <w:pict w14:anchorId="5A6FBADA">
        <v:shape id="_x0000_s1026" type="#_x0000_t136" style="position:absolute;margin-left:0;margin-top:0;width:1in;height:1in;z-index:251661312"/>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1A9331" w14:textId="12EC4E25" w:rsidR="00005E7E" w:rsidRDefault="00005E7E">
    <w:pPr>
      <w:pStyle w:val="Header"/>
    </w:pPr>
    <w:r>
      <w:rPr>
        <w:noProof/>
      </w:rPr>
      <w:pict w14:anchorId="7A686B6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margin-left:0;margin-top:0;width:456.8pt;height:152.25pt;rotation:315;z-index:-251651072;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silver" stroked="f">
          <v:fill opacity="34078f"/>
          <v:textpath style="font-family:&quot;Calibri&quot;;font-size:1pt" string="DRAFT"/>
        </v:shape>
      </w:pict>
    </w:r>
    <w:r>
      <w:rPr>
        <w:noProof/>
      </w:rPr>
      <w:pict w14:anchorId="6CE498BE">
        <v:shape id="_x0000_s1025" type="#_x0000_t136" style="position:absolute;margin-left:0;margin-top:0;width:1in;height:1in;z-index:251659264"/>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927E77" w14:textId="2D429A14" w:rsidR="00005E7E" w:rsidRDefault="00005E7E">
    <w:pPr>
      <w:pStyle w:val="Header"/>
    </w:pPr>
    <w:r>
      <w:rPr>
        <w:noProof/>
      </w:rPr>
      <w:pict w14:anchorId="6F33B20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0" type="#_x0000_t136" style="position:absolute;margin-left:0;margin-top:0;width:456.8pt;height:152.25pt;rotation:315;z-index:-251646976;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silver" stroked="f">
          <v:fill opacity="34078f"/>
          <v:textpath style="font-family:&quot;Calibri&quot;;font-size:1pt" string="DRAFT"/>
        </v:shape>
      </w:pict>
    </w:r>
    <w:r>
      <w:rPr>
        <w:noProof/>
      </w:rPr>
      <w:pict w14:anchorId="253A6A27">
        <v:shape id="_x0000_s1027" type="#_x0000_t136" style="position:absolute;margin-left:0;margin-top:0;width:1in;height:1in;z-index:251663360"/>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F66"/>
    <w:multiLevelType w:val="hybridMultilevel"/>
    <w:tmpl w:val="C286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818B8"/>
    <w:multiLevelType w:val="hybridMultilevel"/>
    <w:tmpl w:val="554228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3D08C3"/>
    <w:multiLevelType w:val="hybridMultilevel"/>
    <w:tmpl w:val="554228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DF7657"/>
    <w:multiLevelType w:val="hybridMultilevel"/>
    <w:tmpl w:val="6B5CF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3C5EAE"/>
    <w:multiLevelType w:val="multilevel"/>
    <w:tmpl w:val="F5BA748E"/>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
    <w:nsid w:val="3AAF183E"/>
    <w:multiLevelType w:val="hybridMultilevel"/>
    <w:tmpl w:val="5C34D3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422507"/>
    <w:multiLevelType w:val="hybridMultilevel"/>
    <w:tmpl w:val="6B10B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B8A7774"/>
    <w:multiLevelType w:val="multilevel"/>
    <w:tmpl w:val="E182D5E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nsid w:val="5DD3344F"/>
    <w:multiLevelType w:val="hybridMultilevel"/>
    <w:tmpl w:val="043844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nsid w:val="6DE94B57"/>
    <w:multiLevelType w:val="hybridMultilevel"/>
    <w:tmpl w:val="044AC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47878EC"/>
    <w:multiLevelType w:val="hybridMultilevel"/>
    <w:tmpl w:val="936E4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3"/>
  </w:num>
  <w:num w:numId="5">
    <w:abstractNumId w:val="1"/>
  </w:num>
  <w:num w:numId="6">
    <w:abstractNumId w:val="2"/>
  </w:num>
  <w:num w:numId="7">
    <w:abstractNumId w:val="5"/>
  </w:num>
  <w:num w:numId="8">
    <w:abstractNumId w:val="8"/>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103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3C"/>
    <w:rsid w:val="00002776"/>
    <w:rsid w:val="00005E7E"/>
    <w:rsid w:val="0003345D"/>
    <w:rsid w:val="0005589F"/>
    <w:rsid w:val="000F69F1"/>
    <w:rsid w:val="001812B7"/>
    <w:rsid w:val="001A05E9"/>
    <w:rsid w:val="001E3707"/>
    <w:rsid w:val="002E2F04"/>
    <w:rsid w:val="00305B74"/>
    <w:rsid w:val="003564AF"/>
    <w:rsid w:val="0038109A"/>
    <w:rsid w:val="00384F17"/>
    <w:rsid w:val="00455F87"/>
    <w:rsid w:val="004D5302"/>
    <w:rsid w:val="004F769B"/>
    <w:rsid w:val="00534AB9"/>
    <w:rsid w:val="00584E8C"/>
    <w:rsid w:val="005F44A3"/>
    <w:rsid w:val="00661B03"/>
    <w:rsid w:val="006C49F5"/>
    <w:rsid w:val="007856B8"/>
    <w:rsid w:val="007A18E4"/>
    <w:rsid w:val="007B0780"/>
    <w:rsid w:val="007B2EA5"/>
    <w:rsid w:val="0083439C"/>
    <w:rsid w:val="0084047B"/>
    <w:rsid w:val="008C3696"/>
    <w:rsid w:val="008F2A3C"/>
    <w:rsid w:val="00974878"/>
    <w:rsid w:val="00AD1634"/>
    <w:rsid w:val="00B17741"/>
    <w:rsid w:val="00B63D39"/>
    <w:rsid w:val="00BA7E12"/>
    <w:rsid w:val="00C029D1"/>
    <w:rsid w:val="00D05330"/>
    <w:rsid w:val="00D9435B"/>
    <w:rsid w:val="00DB48F9"/>
    <w:rsid w:val="00EA7C86"/>
    <w:rsid w:val="00ED13E0"/>
    <w:rsid w:val="00F02960"/>
    <w:rsid w:val="00FB1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F4A6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2A3C"/>
    <w:pPr>
      <w:ind w:left="720"/>
      <w:contextualSpacing/>
    </w:pPr>
  </w:style>
  <w:style w:type="character" w:styleId="Hyperlink">
    <w:name w:val="Hyperlink"/>
    <w:basedOn w:val="DefaultParagraphFont"/>
    <w:uiPriority w:val="99"/>
    <w:unhideWhenUsed/>
    <w:rsid w:val="00B17741"/>
    <w:rPr>
      <w:color w:val="0000FF" w:themeColor="hyperlink"/>
      <w:u w:val="single"/>
    </w:rPr>
  </w:style>
  <w:style w:type="character" w:styleId="Strong">
    <w:name w:val="Strong"/>
    <w:basedOn w:val="DefaultParagraphFont"/>
    <w:uiPriority w:val="22"/>
    <w:qFormat/>
    <w:rsid w:val="00BA7E12"/>
    <w:rPr>
      <w:b/>
      <w:bCs/>
    </w:rPr>
  </w:style>
  <w:style w:type="paragraph" w:styleId="FootnoteText">
    <w:name w:val="footnote text"/>
    <w:basedOn w:val="Normal"/>
    <w:link w:val="FootnoteTextChar"/>
    <w:uiPriority w:val="99"/>
    <w:unhideWhenUsed/>
    <w:rsid w:val="00305B74"/>
    <w:rPr>
      <w:rFonts w:eastAsiaTheme="minorHAnsi"/>
      <w:sz w:val="20"/>
      <w:szCs w:val="20"/>
      <w:lang w:val="en-AU"/>
    </w:rPr>
  </w:style>
  <w:style w:type="character" w:customStyle="1" w:styleId="FootnoteTextChar">
    <w:name w:val="Footnote Text Char"/>
    <w:basedOn w:val="DefaultParagraphFont"/>
    <w:link w:val="FootnoteText"/>
    <w:uiPriority w:val="99"/>
    <w:rsid w:val="00305B74"/>
    <w:rPr>
      <w:rFonts w:eastAsiaTheme="minorHAnsi"/>
      <w:sz w:val="20"/>
      <w:szCs w:val="20"/>
      <w:lang w:val="en-AU"/>
    </w:rPr>
  </w:style>
  <w:style w:type="character" w:styleId="FootnoteReference">
    <w:name w:val="footnote reference"/>
    <w:basedOn w:val="DefaultParagraphFont"/>
    <w:uiPriority w:val="99"/>
    <w:unhideWhenUsed/>
    <w:rsid w:val="00305B74"/>
    <w:rPr>
      <w:vertAlign w:val="superscript"/>
    </w:rPr>
  </w:style>
  <w:style w:type="paragraph" w:styleId="CommentText">
    <w:name w:val="annotation text"/>
    <w:basedOn w:val="Normal"/>
    <w:link w:val="CommentTextChar"/>
    <w:uiPriority w:val="99"/>
    <w:unhideWhenUsed/>
    <w:rsid w:val="00305B74"/>
    <w:pPr>
      <w:spacing w:after="200"/>
    </w:pPr>
    <w:rPr>
      <w:rFonts w:eastAsiaTheme="minorHAnsi"/>
      <w:lang w:val="en-AU"/>
    </w:rPr>
  </w:style>
  <w:style w:type="character" w:customStyle="1" w:styleId="CommentTextChar">
    <w:name w:val="Comment Text Char"/>
    <w:basedOn w:val="DefaultParagraphFont"/>
    <w:link w:val="CommentText"/>
    <w:uiPriority w:val="99"/>
    <w:rsid w:val="00305B74"/>
    <w:rPr>
      <w:rFonts w:eastAsiaTheme="minorHAnsi"/>
      <w:lang w:val="en-AU"/>
    </w:rPr>
  </w:style>
  <w:style w:type="paragraph" w:styleId="Header">
    <w:name w:val="header"/>
    <w:basedOn w:val="Normal"/>
    <w:link w:val="HeaderChar"/>
    <w:uiPriority w:val="99"/>
    <w:unhideWhenUsed/>
    <w:rsid w:val="00005E7E"/>
    <w:pPr>
      <w:tabs>
        <w:tab w:val="center" w:pos="4320"/>
        <w:tab w:val="right" w:pos="8640"/>
      </w:tabs>
    </w:pPr>
  </w:style>
  <w:style w:type="character" w:customStyle="1" w:styleId="HeaderChar">
    <w:name w:val="Header Char"/>
    <w:basedOn w:val="DefaultParagraphFont"/>
    <w:link w:val="Header"/>
    <w:uiPriority w:val="99"/>
    <w:rsid w:val="00005E7E"/>
  </w:style>
  <w:style w:type="paragraph" w:styleId="Footer">
    <w:name w:val="footer"/>
    <w:basedOn w:val="Normal"/>
    <w:link w:val="FooterChar"/>
    <w:uiPriority w:val="99"/>
    <w:unhideWhenUsed/>
    <w:rsid w:val="00005E7E"/>
    <w:pPr>
      <w:tabs>
        <w:tab w:val="center" w:pos="4320"/>
        <w:tab w:val="right" w:pos="8640"/>
      </w:tabs>
    </w:pPr>
  </w:style>
  <w:style w:type="character" w:customStyle="1" w:styleId="FooterChar">
    <w:name w:val="Footer Char"/>
    <w:basedOn w:val="DefaultParagraphFont"/>
    <w:link w:val="Footer"/>
    <w:uiPriority w:val="99"/>
    <w:rsid w:val="00005E7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2A3C"/>
    <w:pPr>
      <w:ind w:left="720"/>
      <w:contextualSpacing/>
    </w:pPr>
  </w:style>
  <w:style w:type="character" w:styleId="Hyperlink">
    <w:name w:val="Hyperlink"/>
    <w:basedOn w:val="DefaultParagraphFont"/>
    <w:uiPriority w:val="99"/>
    <w:unhideWhenUsed/>
    <w:rsid w:val="00B17741"/>
    <w:rPr>
      <w:color w:val="0000FF" w:themeColor="hyperlink"/>
      <w:u w:val="single"/>
    </w:rPr>
  </w:style>
  <w:style w:type="character" w:styleId="Strong">
    <w:name w:val="Strong"/>
    <w:basedOn w:val="DefaultParagraphFont"/>
    <w:uiPriority w:val="22"/>
    <w:qFormat/>
    <w:rsid w:val="00BA7E12"/>
    <w:rPr>
      <w:b/>
      <w:bCs/>
    </w:rPr>
  </w:style>
  <w:style w:type="paragraph" w:styleId="FootnoteText">
    <w:name w:val="footnote text"/>
    <w:basedOn w:val="Normal"/>
    <w:link w:val="FootnoteTextChar"/>
    <w:uiPriority w:val="99"/>
    <w:unhideWhenUsed/>
    <w:rsid w:val="00305B74"/>
    <w:rPr>
      <w:rFonts w:eastAsiaTheme="minorHAnsi"/>
      <w:sz w:val="20"/>
      <w:szCs w:val="20"/>
      <w:lang w:val="en-AU"/>
    </w:rPr>
  </w:style>
  <w:style w:type="character" w:customStyle="1" w:styleId="FootnoteTextChar">
    <w:name w:val="Footnote Text Char"/>
    <w:basedOn w:val="DefaultParagraphFont"/>
    <w:link w:val="FootnoteText"/>
    <w:uiPriority w:val="99"/>
    <w:rsid w:val="00305B74"/>
    <w:rPr>
      <w:rFonts w:eastAsiaTheme="minorHAnsi"/>
      <w:sz w:val="20"/>
      <w:szCs w:val="20"/>
      <w:lang w:val="en-AU"/>
    </w:rPr>
  </w:style>
  <w:style w:type="character" w:styleId="FootnoteReference">
    <w:name w:val="footnote reference"/>
    <w:basedOn w:val="DefaultParagraphFont"/>
    <w:uiPriority w:val="99"/>
    <w:unhideWhenUsed/>
    <w:rsid w:val="00305B74"/>
    <w:rPr>
      <w:vertAlign w:val="superscript"/>
    </w:rPr>
  </w:style>
  <w:style w:type="paragraph" w:styleId="CommentText">
    <w:name w:val="annotation text"/>
    <w:basedOn w:val="Normal"/>
    <w:link w:val="CommentTextChar"/>
    <w:uiPriority w:val="99"/>
    <w:unhideWhenUsed/>
    <w:rsid w:val="00305B74"/>
    <w:pPr>
      <w:spacing w:after="200"/>
    </w:pPr>
    <w:rPr>
      <w:rFonts w:eastAsiaTheme="minorHAnsi"/>
      <w:lang w:val="en-AU"/>
    </w:rPr>
  </w:style>
  <w:style w:type="character" w:customStyle="1" w:styleId="CommentTextChar">
    <w:name w:val="Comment Text Char"/>
    <w:basedOn w:val="DefaultParagraphFont"/>
    <w:link w:val="CommentText"/>
    <w:uiPriority w:val="99"/>
    <w:rsid w:val="00305B74"/>
    <w:rPr>
      <w:rFonts w:eastAsiaTheme="minorHAnsi"/>
      <w:lang w:val="en-AU"/>
    </w:rPr>
  </w:style>
  <w:style w:type="paragraph" w:styleId="Header">
    <w:name w:val="header"/>
    <w:basedOn w:val="Normal"/>
    <w:link w:val="HeaderChar"/>
    <w:uiPriority w:val="99"/>
    <w:unhideWhenUsed/>
    <w:rsid w:val="00005E7E"/>
    <w:pPr>
      <w:tabs>
        <w:tab w:val="center" w:pos="4320"/>
        <w:tab w:val="right" w:pos="8640"/>
      </w:tabs>
    </w:pPr>
  </w:style>
  <w:style w:type="character" w:customStyle="1" w:styleId="HeaderChar">
    <w:name w:val="Header Char"/>
    <w:basedOn w:val="DefaultParagraphFont"/>
    <w:link w:val="Header"/>
    <w:uiPriority w:val="99"/>
    <w:rsid w:val="00005E7E"/>
  </w:style>
  <w:style w:type="paragraph" w:styleId="Footer">
    <w:name w:val="footer"/>
    <w:basedOn w:val="Normal"/>
    <w:link w:val="FooterChar"/>
    <w:uiPriority w:val="99"/>
    <w:unhideWhenUsed/>
    <w:rsid w:val="00005E7E"/>
    <w:pPr>
      <w:tabs>
        <w:tab w:val="center" w:pos="4320"/>
        <w:tab w:val="right" w:pos="8640"/>
      </w:tabs>
    </w:pPr>
  </w:style>
  <w:style w:type="character" w:customStyle="1" w:styleId="FooterChar">
    <w:name w:val="Footer Char"/>
    <w:basedOn w:val="DefaultParagraphFont"/>
    <w:link w:val="Footer"/>
    <w:uiPriority w:val="99"/>
    <w:rsid w:val="00005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ownload/attachments/49351404/IANA%20Stewardship%20Transition%20-%20Guidance%2019%20March%202015.docx?version=1&amp;modificationDate=1427100244000&amp;api=v2" TargetMode="External"/><Relationship Id="rId9" Type="http://schemas.openxmlformats.org/officeDocument/2006/relationships/hyperlink" Target="https://community.icann.org/download/attachments/49351404/RySG%20IANA%20Statement%203%2022%202015%20%28Final%29.docx?version=1&amp;modificationDate=1427153768000&amp;api=v2"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3051</Words>
  <Characters>17391</Characters>
  <Application>Microsoft Macintosh Word</Application>
  <DocSecurity>0</DocSecurity>
  <Lines>144</Lines>
  <Paragraphs>40</Paragraphs>
  <ScaleCrop>false</ScaleCrop>
  <Company/>
  <LinksUpToDate>false</LinksUpToDate>
  <CharactersWithSpaces>20402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2015-03-25T10:57:00Z</dcterms:created>
  <dcterms:modified xsi:type="dcterms:W3CDTF">2015-03-25T10:57:00Z</dcterms:modified>
</cp:coreProperties>
</file>